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eastAsiaTheme="majorEastAsia"/>
        </w:rPr>
        <w:id w:val="1459625244"/>
        <w:docPartObj>
          <w:docPartGallery w:val="Cover Pages"/>
          <w:docPartUnique/>
        </w:docPartObj>
      </w:sdtPr>
      <w:sdtEndPr>
        <w:rPr>
          <w:rFonts w:eastAsiaTheme="minorEastAsia"/>
          <w:sz w:val="24"/>
          <w:szCs w:val="24"/>
          <w:lang w:val="en-US"/>
        </w:rPr>
      </w:sdtEndPr>
      <w:sdtContent>
        <w:p w14:paraId="5A105419" w14:textId="3685A099" w:rsidR="00271936" w:rsidRPr="009B6626" w:rsidRDefault="00BF0992" w:rsidP="0058348D">
          <w:pPr>
            <w:jc w:val="center"/>
            <w:rPr>
              <w:rFonts w:eastAsiaTheme="majorEastAsia"/>
              <w:b/>
              <w:noProof/>
              <w:color w:val="1F497D" w:themeColor="text2"/>
              <w:lang w:val="en-US"/>
            </w:rPr>
          </w:pPr>
          <w:r>
            <w:rPr>
              <w:rFonts w:eastAsiaTheme="majorEastAsia"/>
              <w:b/>
              <w:noProof/>
              <w:color w:val="1F497D" w:themeColor="text2"/>
              <w:lang w:val="en-US"/>
            </w:rPr>
            <w:drawing>
              <wp:anchor distT="0" distB="0" distL="114300" distR="114300" simplePos="0" relativeHeight="251693056" behindDoc="0" locked="0" layoutInCell="1" allowOverlap="1" wp14:anchorId="3F6EE805" wp14:editId="46F91ABC">
                <wp:simplePos x="0" y="0"/>
                <wp:positionH relativeFrom="column">
                  <wp:posOffset>-1524000</wp:posOffset>
                </wp:positionH>
                <wp:positionV relativeFrom="paragraph">
                  <wp:posOffset>-991235</wp:posOffset>
                </wp:positionV>
                <wp:extent cx="7625966" cy="10534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BP_2026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3659" cy="10572905"/>
                        </a:xfrm>
                        <a:prstGeom prst="rect">
                          <a:avLst/>
                        </a:prstGeom>
                      </pic:spPr>
                    </pic:pic>
                  </a:graphicData>
                </a:graphic>
                <wp14:sizeRelH relativeFrom="margin">
                  <wp14:pctWidth>0</wp14:pctWidth>
                </wp14:sizeRelH>
                <wp14:sizeRelV relativeFrom="margin">
                  <wp14:pctHeight>0</wp14:pctHeight>
                </wp14:sizeRelV>
              </wp:anchor>
            </w:drawing>
          </w:r>
          <w:r w:rsidR="009B6626" w:rsidRPr="009B6626">
            <w:rPr>
              <w:rFonts w:eastAsiaTheme="majorEastAsia"/>
              <w:b/>
              <w:noProof/>
              <w:color w:val="1F497D" w:themeColor="text2"/>
              <w:lang w:val="en-US"/>
            </w:rPr>
            <w:t>Greece</w:t>
          </w:r>
        </w:p>
        <w:p w14:paraId="3F772BFB" w14:textId="0B8E2FE4" w:rsidR="009B6626" w:rsidRPr="009B6626" w:rsidRDefault="009B6626" w:rsidP="0058348D">
          <w:pPr>
            <w:jc w:val="center"/>
            <w:rPr>
              <w:rFonts w:asciiTheme="majorHAnsi" w:eastAsiaTheme="majorEastAsia" w:hAnsiTheme="majorHAnsi" w:cstheme="majorBidi"/>
              <w:b/>
              <w:color w:val="1F497D" w:themeColor="text2"/>
              <w:sz w:val="36"/>
              <w:szCs w:val="36"/>
              <w:lang w:val="en-US"/>
            </w:rPr>
          </w:pPr>
          <w:r w:rsidRPr="009B6626">
            <w:rPr>
              <w:rFonts w:asciiTheme="majorHAnsi" w:eastAsiaTheme="majorEastAsia" w:hAnsiTheme="majorHAnsi" w:cstheme="majorBidi"/>
              <w:b/>
              <w:color w:val="1F497D" w:themeColor="text2"/>
              <w:sz w:val="36"/>
              <w:szCs w:val="36"/>
              <w:lang w:val="en-US"/>
            </w:rPr>
            <w:t>Draft Budgetary</w:t>
          </w:r>
          <w:r w:rsidR="00480211">
            <w:rPr>
              <w:rFonts w:asciiTheme="majorHAnsi" w:eastAsiaTheme="majorEastAsia" w:hAnsiTheme="majorHAnsi" w:cstheme="majorBidi"/>
              <w:b/>
              <w:color w:val="1F497D" w:themeColor="text2"/>
              <w:sz w:val="36"/>
              <w:szCs w:val="36"/>
              <w:lang w:val="en-US"/>
            </w:rPr>
            <w:t xml:space="preserve"> Plan</w:t>
          </w:r>
          <w:r w:rsidRPr="009B6626">
            <w:rPr>
              <w:rFonts w:asciiTheme="majorHAnsi" w:eastAsiaTheme="majorEastAsia" w:hAnsiTheme="majorHAnsi" w:cstheme="majorBidi"/>
              <w:b/>
              <w:color w:val="1F497D" w:themeColor="text2"/>
              <w:sz w:val="36"/>
              <w:szCs w:val="36"/>
              <w:lang w:val="en-US"/>
            </w:rPr>
            <w:t xml:space="preserve"> </w:t>
          </w:r>
          <w:r w:rsidRPr="00304EC6">
            <w:rPr>
              <w:rFonts w:asciiTheme="majorHAnsi" w:eastAsiaTheme="majorEastAsia" w:hAnsiTheme="majorHAnsi" w:cstheme="majorBidi"/>
              <w:b/>
              <w:color w:val="E36C0A" w:themeColor="accent6" w:themeShade="BF"/>
              <w:sz w:val="36"/>
              <w:szCs w:val="36"/>
              <w:lang w:val="en-US"/>
            </w:rPr>
            <w:t>2026</w:t>
          </w:r>
        </w:p>
        <w:p w14:paraId="59DF2169" w14:textId="77777777" w:rsidR="009B6626" w:rsidRPr="009B6626" w:rsidRDefault="009B6626" w:rsidP="0058348D">
          <w:pPr>
            <w:jc w:val="center"/>
            <w:rPr>
              <w:rFonts w:asciiTheme="majorHAnsi" w:eastAsiaTheme="majorEastAsia" w:hAnsiTheme="majorHAnsi" w:cstheme="majorBidi"/>
              <w:color w:val="1F497D" w:themeColor="text2"/>
              <w:sz w:val="36"/>
              <w:szCs w:val="36"/>
              <w:lang w:val="en-US"/>
            </w:rPr>
          </w:pPr>
          <w:r w:rsidRPr="009B6626">
            <w:rPr>
              <w:rFonts w:asciiTheme="majorHAnsi" w:eastAsiaTheme="majorEastAsia" w:hAnsiTheme="majorHAnsi" w:cstheme="majorBidi"/>
              <w:color w:val="1F497D" w:themeColor="text2"/>
              <w:sz w:val="36"/>
              <w:szCs w:val="36"/>
              <w:lang w:val="en-US"/>
            </w:rPr>
            <w:t>[cover]</w:t>
          </w:r>
        </w:p>
        <w:p w14:paraId="6011A231" w14:textId="77777777" w:rsidR="00271936" w:rsidRDefault="00271936" w:rsidP="007A7773">
          <w:pPr>
            <w:pStyle w:val="af2"/>
            <w:rPr>
              <w:rFonts w:asciiTheme="majorHAnsi" w:eastAsiaTheme="majorEastAsia" w:hAnsiTheme="majorHAnsi" w:cstheme="majorBidi"/>
              <w:color w:val="1F497D" w:themeColor="text2"/>
              <w:sz w:val="36"/>
              <w:szCs w:val="36"/>
              <w:lang w:val="en-US"/>
            </w:rPr>
          </w:pPr>
        </w:p>
        <w:p w14:paraId="1F8824F8" w14:textId="77777777" w:rsidR="003975D1" w:rsidRPr="00271936" w:rsidRDefault="003975D1" w:rsidP="007A7773">
          <w:pPr>
            <w:pStyle w:val="af2"/>
            <w:rPr>
              <w:rFonts w:asciiTheme="majorHAnsi" w:eastAsiaTheme="majorEastAsia" w:hAnsiTheme="majorHAnsi" w:cstheme="majorBidi"/>
              <w:color w:val="1F497D" w:themeColor="text2"/>
              <w:sz w:val="36"/>
              <w:szCs w:val="36"/>
              <w:lang w:val="en-US"/>
            </w:rPr>
          </w:pPr>
        </w:p>
        <w:p w14:paraId="44FEF88A" w14:textId="77777777" w:rsidR="00271936" w:rsidRPr="00271936" w:rsidRDefault="00271936" w:rsidP="007A7773">
          <w:pPr>
            <w:pStyle w:val="af2"/>
            <w:rPr>
              <w:color w:val="1F497D" w:themeColor="text2"/>
              <w:lang w:val="en-US"/>
            </w:rPr>
          </w:pPr>
        </w:p>
        <w:p w14:paraId="049193B0" w14:textId="77777777" w:rsidR="00271936" w:rsidRPr="003975D1" w:rsidRDefault="00271936" w:rsidP="007A7773">
          <w:pPr>
            <w:pStyle w:val="af2"/>
            <w:rPr>
              <w:color w:val="1F497D" w:themeColor="text2"/>
              <w:sz w:val="24"/>
              <w:lang w:val="en-US"/>
            </w:rPr>
          </w:pPr>
        </w:p>
        <w:p w14:paraId="5FDB7A56" w14:textId="77777777" w:rsidR="00271936" w:rsidRPr="00271936" w:rsidRDefault="00271936" w:rsidP="007A7773">
          <w:pPr>
            <w:pStyle w:val="af2"/>
            <w:rPr>
              <w:color w:val="1F497D" w:themeColor="text2"/>
              <w:lang w:val="en-US"/>
            </w:rPr>
          </w:pPr>
        </w:p>
        <w:p w14:paraId="01F12650" w14:textId="77777777" w:rsidR="00271936" w:rsidRPr="00271936" w:rsidRDefault="00271936" w:rsidP="007A7773">
          <w:pPr>
            <w:jc w:val="left"/>
            <w:rPr>
              <w:lang w:val="en-US"/>
            </w:rPr>
          </w:pPr>
        </w:p>
        <w:p w14:paraId="1B578236" w14:textId="77777777" w:rsidR="00271936" w:rsidRDefault="00271936" w:rsidP="007A7773">
          <w:pPr>
            <w:jc w:val="left"/>
            <w:rPr>
              <w:sz w:val="24"/>
              <w:szCs w:val="24"/>
              <w:lang w:val="en-US"/>
            </w:rPr>
          </w:pPr>
          <w:r>
            <w:rPr>
              <w:sz w:val="24"/>
              <w:szCs w:val="24"/>
              <w:lang w:val="en-US"/>
            </w:rPr>
            <w:br w:type="page"/>
          </w:r>
        </w:p>
      </w:sdtContent>
    </w:sdt>
    <w:p w14:paraId="072B1F79" w14:textId="77777777" w:rsidR="00893525" w:rsidRDefault="00893525" w:rsidP="007A7773">
      <w:pPr>
        <w:jc w:val="left"/>
        <w:sectPr w:rsidR="00893525" w:rsidSect="006D781A">
          <w:footerReference w:type="even" r:id="rId9"/>
          <w:footerReference w:type="default" r:id="rId10"/>
          <w:footerReference w:type="first" r:id="rId11"/>
          <w:pgSz w:w="11906" w:h="16838"/>
          <w:pgMar w:top="1531" w:right="1304" w:bottom="1418" w:left="1588" w:header="709" w:footer="709" w:gutter="737"/>
          <w:cols w:space="708"/>
          <w:titlePg/>
          <w:docGrid w:linePitch="360"/>
        </w:sectPr>
      </w:pPr>
    </w:p>
    <w:p w14:paraId="1C6324E0" w14:textId="77777777" w:rsidR="00271936" w:rsidRDefault="00271936" w:rsidP="007A7773">
      <w:pPr>
        <w:jc w:val="left"/>
      </w:pPr>
    </w:p>
    <w:p w14:paraId="228A5688" w14:textId="77777777" w:rsidR="00751F16" w:rsidRDefault="005F62F9" w:rsidP="00393363">
      <w:pPr>
        <w:rPr>
          <w:lang w:val="en-US"/>
        </w:rPr>
      </w:pPr>
      <w:r>
        <w:rPr>
          <w:lang w:val="en-US"/>
        </w:rPr>
        <w:br w:type="page"/>
      </w:r>
    </w:p>
    <w:sdt>
      <w:sdtPr>
        <w:rPr>
          <w:b/>
          <w:bCs/>
        </w:rPr>
        <w:id w:val="1339343142"/>
        <w:docPartObj>
          <w:docPartGallery w:val="Table of Contents"/>
          <w:docPartUnique/>
        </w:docPartObj>
      </w:sdtPr>
      <w:sdtEndPr>
        <w:rPr>
          <w:b w:val="0"/>
          <w:bCs w:val="0"/>
          <w:noProof/>
        </w:rPr>
      </w:sdtEndPr>
      <w:sdtContent>
        <w:p w14:paraId="302658E1" w14:textId="77777777" w:rsidR="007D7AD1" w:rsidRPr="001E0E69" w:rsidRDefault="007D7AD1" w:rsidP="00F867A5">
          <w:pPr>
            <w:pBdr>
              <w:bottom w:val="single" w:sz="18" w:space="1" w:color="E36C0A" w:themeColor="accent6" w:themeShade="BF"/>
            </w:pBdr>
            <w:rPr>
              <w:b/>
              <w:color w:val="4F81BD" w:themeColor="accent1"/>
              <w:sz w:val="44"/>
            </w:rPr>
          </w:pPr>
          <w:r w:rsidRPr="001E0E69">
            <w:rPr>
              <w:b/>
              <w:color w:val="4F81BD" w:themeColor="accent1"/>
              <w:sz w:val="44"/>
            </w:rPr>
            <w:t>Contents</w:t>
          </w:r>
        </w:p>
        <w:p w14:paraId="1710CC80" w14:textId="104E35DF" w:rsidR="00224A29" w:rsidRDefault="00540C3A">
          <w:pPr>
            <w:pStyle w:val="11"/>
            <w:rPr>
              <w:rFonts w:asciiTheme="minorHAnsi" w:hAnsiTheme="minorHAnsi"/>
              <w:b w:val="0"/>
              <w:sz w:val="22"/>
              <w:lang w:val="el-GR"/>
            </w:rPr>
          </w:pPr>
          <w:r>
            <w:fldChar w:fldCharType="begin"/>
          </w:r>
          <w:r w:rsidR="007D7AD1">
            <w:instrText xml:space="preserve"> TOC \o "1-3" \h \z \u </w:instrText>
          </w:r>
          <w:r>
            <w:fldChar w:fldCharType="separate"/>
          </w:r>
          <w:hyperlink w:anchor="_Toc211418433" w:history="1">
            <w:r w:rsidR="00224A29" w:rsidRPr="004E0442">
              <w:rPr>
                <w:rStyle w:val="-"/>
              </w:rPr>
              <w:t>1.</w:t>
            </w:r>
            <w:r w:rsidR="00224A29">
              <w:rPr>
                <w:rFonts w:asciiTheme="minorHAnsi" w:hAnsiTheme="minorHAnsi"/>
                <w:b w:val="0"/>
                <w:sz w:val="22"/>
                <w:lang w:val="el-GR"/>
              </w:rPr>
              <w:tab/>
            </w:r>
            <w:r w:rsidR="00224A29" w:rsidRPr="004E0442">
              <w:rPr>
                <w:rStyle w:val="-"/>
              </w:rPr>
              <w:t>Introduction</w:t>
            </w:r>
            <w:r w:rsidR="00224A29">
              <w:rPr>
                <w:webHidden/>
              </w:rPr>
              <w:tab/>
            </w:r>
            <w:r w:rsidR="00224A29">
              <w:rPr>
                <w:webHidden/>
              </w:rPr>
              <w:fldChar w:fldCharType="begin"/>
            </w:r>
            <w:r w:rsidR="00224A29">
              <w:rPr>
                <w:webHidden/>
              </w:rPr>
              <w:instrText xml:space="preserve"> PAGEREF _Toc211418433 \h </w:instrText>
            </w:r>
            <w:r w:rsidR="00224A29">
              <w:rPr>
                <w:webHidden/>
              </w:rPr>
            </w:r>
            <w:r w:rsidR="00224A29">
              <w:rPr>
                <w:webHidden/>
              </w:rPr>
              <w:fldChar w:fldCharType="separate"/>
            </w:r>
            <w:r w:rsidR="00AF0E6B">
              <w:rPr>
                <w:webHidden/>
              </w:rPr>
              <w:t>6</w:t>
            </w:r>
            <w:r w:rsidR="00224A29">
              <w:rPr>
                <w:webHidden/>
              </w:rPr>
              <w:fldChar w:fldCharType="end"/>
            </w:r>
          </w:hyperlink>
        </w:p>
        <w:p w14:paraId="7A820D68" w14:textId="78C06C73" w:rsidR="00224A29" w:rsidRDefault="00D06AE5">
          <w:pPr>
            <w:pStyle w:val="11"/>
            <w:rPr>
              <w:rFonts w:asciiTheme="minorHAnsi" w:hAnsiTheme="minorHAnsi"/>
              <w:b w:val="0"/>
              <w:sz w:val="22"/>
              <w:lang w:val="el-GR"/>
            </w:rPr>
          </w:pPr>
          <w:hyperlink w:anchor="_Toc211418434" w:history="1">
            <w:r w:rsidR="00224A29" w:rsidRPr="004E0442">
              <w:rPr>
                <w:rStyle w:val="-"/>
              </w:rPr>
              <w:t>2.</w:t>
            </w:r>
            <w:r w:rsidR="00224A29">
              <w:rPr>
                <w:rFonts w:asciiTheme="minorHAnsi" w:hAnsiTheme="minorHAnsi"/>
                <w:b w:val="0"/>
                <w:sz w:val="22"/>
                <w:lang w:val="el-GR"/>
              </w:rPr>
              <w:tab/>
            </w:r>
            <w:r w:rsidR="00224A29" w:rsidRPr="004E0442">
              <w:rPr>
                <w:rStyle w:val="-"/>
              </w:rPr>
              <w:t>Macroeconomic forecast</w:t>
            </w:r>
            <w:r w:rsidR="00224A29">
              <w:rPr>
                <w:webHidden/>
              </w:rPr>
              <w:tab/>
            </w:r>
            <w:r w:rsidR="00224A29">
              <w:rPr>
                <w:webHidden/>
              </w:rPr>
              <w:fldChar w:fldCharType="begin"/>
            </w:r>
            <w:r w:rsidR="00224A29">
              <w:rPr>
                <w:webHidden/>
              </w:rPr>
              <w:instrText xml:space="preserve"> PAGEREF _Toc211418434 \h </w:instrText>
            </w:r>
            <w:r w:rsidR="00224A29">
              <w:rPr>
                <w:webHidden/>
              </w:rPr>
            </w:r>
            <w:r w:rsidR="00224A29">
              <w:rPr>
                <w:webHidden/>
              </w:rPr>
              <w:fldChar w:fldCharType="separate"/>
            </w:r>
            <w:r w:rsidR="00AF0E6B">
              <w:rPr>
                <w:webHidden/>
              </w:rPr>
              <w:t>7</w:t>
            </w:r>
            <w:r w:rsidR="00224A29">
              <w:rPr>
                <w:webHidden/>
              </w:rPr>
              <w:fldChar w:fldCharType="end"/>
            </w:r>
          </w:hyperlink>
        </w:p>
        <w:p w14:paraId="6A4956D9" w14:textId="629BA28E" w:rsidR="00224A29" w:rsidRDefault="00D06AE5">
          <w:pPr>
            <w:pStyle w:val="21"/>
            <w:rPr>
              <w:rFonts w:asciiTheme="minorHAnsi" w:hAnsiTheme="minorHAnsi"/>
              <w:noProof/>
              <w:sz w:val="22"/>
            </w:rPr>
          </w:pPr>
          <w:hyperlink w:anchor="_Toc211418435" w:history="1">
            <w:r w:rsidR="00224A29" w:rsidRPr="004E0442">
              <w:rPr>
                <w:rStyle w:val="-"/>
                <w:noProof/>
                <w:lang w:val="en-US"/>
              </w:rPr>
              <w:t>2.1.</w:t>
            </w:r>
            <w:r w:rsidR="00224A29">
              <w:rPr>
                <w:rFonts w:asciiTheme="minorHAnsi" w:hAnsiTheme="minorHAnsi"/>
                <w:noProof/>
                <w:sz w:val="22"/>
              </w:rPr>
              <w:tab/>
            </w:r>
            <w:r w:rsidR="00224A29" w:rsidRPr="004E0442">
              <w:rPr>
                <w:rStyle w:val="-"/>
                <w:noProof/>
                <w:lang w:val="en-US"/>
              </w:rPr>
              <w:t>Macroeconomic developments in 2025</w:t>
            </w:r>
            <w:r w:rsidR="00224A29">
              <w:rPr>
                <w:noProof/>
                <w:webHidden/>
              </w:rPr>
              <w:tab/>
            </w:r>
            <w:r w:rsidR="00224A29">
              <w:rPr>
                <w:noProof/>
                <w:webHidden/>
              </w:rPr>
              <w:fldChar w:fldCharType="begin"/>
            </w:r>
            <w:r w:rsidR="00224A29">
              <w:rPr>
                <w:noProof/>
                <w:webHidden/>
              </w:rPr>
              <w:instrText xml:space="preserve"> PAGEREF _Toc211418435 \h </w:instrText>
            </w:r>
            <w:r w:rsidR="00224A29">
              <w:rPr>
                <w:noProof/>
                <w:webHidden/>
              </w:rPr>
            </w:r>
            <w:r w:rsidR="00224A29">
              <w:rPr>
                <w:noProof/>
                <w:webHidden/>
              </w:rPr>
              <w:fldChar w:fldCharType="separate"/>
            </w:r>
            <w:r w:rsidR="00AF0E6B">
              <w:rPr>
                <w:noProof/>
                <w:webHidden/>
              </w:rPr>
              <w:t>7</w:t>
            </w:r>
            <w:r w:rsidR="00224A29">
              <w:rPr>
                <w:noProof/>
                <w:webHidden/>
              </w:rPr>
              <w:fldChar w:fldCharType="end"/>
            </w:r>
          </w:hyperlink>
        </w:p>
        <w:p w14:paraId="1A95BDA4" w14:textId="3B1DD4C6" w:rsidR="00224A29" w:rsidRDefault="00D06AE5">
          <w:pPr>
            <w:pStyle w:val="21"/>
            <w:rPr>
              <w:rFonts w:asciiTheme="minorHAnsi" w:hAnsiTheme="minorHAnsi"/>
              <w:noProof/>
              <w:sz w:val="22"/>
            </w:rPr>
          </w:pPr>
          <w:hyperlink w:anchor="_Toc211418436" w:history="1">
            <w:r w:rsidR="00224A29" w:rsidRPr="004E0442">
              <w:rPr>
                <w:rStyle w:val="-"/>
                <w:noProof/>
                <w:lang w:val="en-US"/>
              </w:rPr>
              <w:t>2.2.</w:t>
            </w:r>
            <w:r w:rsidR="00224A29">
              <w:rPr>
                <w:rFonts w:asciiTheme="minorHAnsi" w:hAnsiTheme="minorHAnsi"/>
                <w:noProof/>
                <w:sz w:val="22"/>
              </w:rPr>
              <w:tab/>
            </w:r>
            <w:r w:rsidR="00224A29" w:rsidRPr="004E0442">
              <w:rPr>
                <w:rStyle w:val="-"/>
                <w:noProof/>
                <w:lang w:val="en-US"/>
              </w:rPr>
              <w:t>Macroeconomic prospects in 2026</w:t>
            </w:r>
            <w:r w:rsidR="00224A29">
              <w:rPr>
                <w:noProof/>
                <w:webHidden/>
              </w:rPr>
              <w:tab/>
            </w:r>
            <w:r w:rsidR="00224A29">
              <w:rPr>
                <w:noProof/>
                <w:webHidden/>
              </w:rPr>
              <w:fldChar w:fldCharType="begin"/>
            </w:r>
            <w:r w:rsidR="00224A29">
              <w:rPr>
                <w:noProof/>
                <w:webHidden/>
              </w:rPr>
              <w:instrText xml:space="preserve"> PAGEREF _Toc211418436 \h </w:instrText>
            </w:r>
            <w:r w:rsidR="00224A29">
              <w:rPr>
                <w:noProof/>
                <w:webHidden/>
              </w:rPr>
            </w:r>
            <w:r w:rsidR="00224A29">
              <w:rPr>
                <w:noProof/>
                <w:webHidden/>
              </w:rPr>
              <w:fldChar w:fldCharType="separate"/>
            </w:r>
            <w:r w:rsidR="00AF0E6B">
              <w:rPr>
                <w:noProof/>
                <w:webHidden/>
              </w:rPr>
              <w:t>16</w:t>
            </w:r>
            <w:r w:rsidR="00224A29">
              <w:rPr>
                <w:noProof/>
                <w:webHidden/>
              </w:rPr>
              <w:fldChar w:fldCharType="end"/>
            </w:r>
          </w:hyperlink>
        </w:p>
        <w:p w14:paraId="7D990B40" w14:textId="663E713E" w:rsidR="00224A29" w:rsidRDefault="00D06AE5">
          <w:pPr>
            <w:pStyle w:val="11"/>
            <w:rPr>
              <w:rFonts w:asciiTheme="minorHAnsi" w:hAnsiTheme="minorHAnsi"/>
              <w:b w:val="0"/>
              <w:sz w:val="22"/>
              <w:lang w:val="el-GR"/>
            </w:rPr>
          </w:pPr>
          <w:hyperlink w:anchor="_Toc211418437" w:history="1">
            <w:r w:rsidR="00224A29" w:rsidRPr="004E0442">
              <w:rPr>
                <w:rStyle w:val="-"/>
              </w:rPr>
              <w:t>3.</w:t>
            </w:r>
            <w:r w:rsidR="00224A29">
              <w:rPr>
                <w:rFonts w:asciiTheme="minorHAnsi" w:hAnsiTheme="minorHAnsi"/>
                <w:b w:val="0"/>
                <w:sz w:val="22"/>
                <w:lang w:val="el-GR"/>
              </w:rPr>
              <w:tab/>
            </w:r>
            <w:r w:rsidR="00224A29" w:rsidRPr="004E0442">
              <w:rPr>
                <w:rStyle w:val="-"/>
              </w:rPr>
              <w:t>Budgetary targets</w:t>
            </w:r>
            <w:r w:rsidR="00224A29">
              <w:rPr>
                <w:webHidden/>
              </w:rPr>
              <w:tab/>
            </w:r>
            <w:r w:rsidR="00224A29">
              <w:rPr>
                <w:webHidden/>
              </w:rPr>
              <w:fldChar w:fldCharType="begin"/>
            </w:r>
            <w:r w:rsidR="00224A29">
              <w:rPr>
                <w:webHidden/>
              </w:rPr>
              <w:instrText xml:space="preserve"> PAGEREF _Toc211418437 \h </w:instrText>
            </w:r>
            <w:r w:rsidR="00224A29">
              <w:rPr>
                <w:webHidden/>
              </w:rPr>
            </w:r>
            <w:r w:rsidR="00224A29">
              <w:rPr>
                <w:webHidden/>
              </w:rPr>
              <w:fldChar w:fldCharType="separate"/>
            </w:r>
            <w:r w:rsidR="00AF0E6B">
              <w:rPr>
                <w:webHidden/>
              </w:rPr>
              <w:t>23</w:t>
            </w:r>
            <w:r w:rsidR="00224A29">
              <w:rPr>
                <w:webHidden/>
              </w:rPr>
              <w:fldChar w:fldCharType="end"/>
            </w:r>
          </w:hyperlink>
        </w:p>
        <w:p w14:paraId="73518BCF" w14:textId="6FDF8CAF" w:rsidR="00224A29" w:rsidRDefault="00D06AE5">
          <w:pPr>
            <w:pStyle w:val="21"/>
            <w:rPr>
              <w:rFonts w:asciiTheme="minorHAnsi" w:hAnsiTheme="minorHAnsi"/>
              <w:noProof/>
              <w:sz w:val="22"/>
            </w:rPr>
          </w:pPr>
          <w:hyperlink w:anchor="_Toc211418438" w:history="1">
            <w:r w:rsidR="00224A29" w:rsidRPr="004E0442">
              <w:rPr>
                <w:rStyle w:val="-"/>
                <w:noProof/>
                <w:lang w:val="en-US"/>
              </w:rPr>
              <w:t>3.1.</w:t>
            </w:r>
            <w:r w:rsidR="00224A29">
              <w:rPr>
                <w:rFonts w:asciiTheme="minorHAnsi" w:hAnsiTheme="minorHAnsi"/>
                <w:noProof/>
                <w:sz w:val="22"/>
              </w:rPr>
              <w:tab/>
            </w:r>
            <w:r w:rsidR="00224A29" w:rsidRPr="004E0442">
              <w:rPr>
                <w:rStyle w:val="-"/>
                <w:noProof/>
                <w:lang w:val="en-US"/>
              </w:rPr>
              <w:t>Fiscal outlook 2025</w:t>
            </w:r>
            <w:r w:rsidR="00224A29">
              <w:rPr>
                <w:noProof/>
                <w:webHidden/>
              </w:rPr>
              <w:tab/>
            </w:r>
            <w:r w:rsidR="00224A29">
              <w:rPr>
                <w:noProof/>
                <w:webHidden/>
              </w:rPr>
              <w:fldChar w:fldCharType="begin"/>
            </w:r>
            <w:r w:rsidR="00224A29">
              <w:rPr>
                <w:noProof/>
                <w:webHidden/>
              </w:rPr>
              <w:instrText xml:space="preserve"> PAGEREF _Toc211418438 \h </w:instrText>
            </w:r>
            <w:r w:rsidR="00224A29">
              <w:rPr>
                <w:noProof/>
                <w:webHidden/>
              </w:rPr>
            </w:r>
            <w:r w:rsidR="00224A29">
              <w:rPr>
                <w:noProof/>
                <w:webHidden/>
              </w:rPr>
              <w:fldChar w:fldCharType="separate"/>
            </w:r>
            <w:r w:rsidR="00AF0E6B">
              <w:rPr>
                <w:noProof/>
                <w:webHidden/>
              </w:rPr>
              <w:t>23</w:t>
            </w:r>
            <w:r w:rsidR="00224A29">
              <w:rPr>
                <w:noProof/>
                <w:webHidden/>
              </w:rPr>
              <w:fldChar w:fldCharType="end"/>
            </w:r>
          </w:hyperlink>
        </w:p>
        <w:p w14:paraId="1A6D8441" w14:textId="1D6B5FF1" w:rsidR="00224A29" w:rsidRDefault="00D06AE5">
          <w:pPr>
            <w:pStyle w:val="21"/>
            <w:rPr>
              <w:rFonts w:asciiTheme="minorHAnsi" w:hAnsiTheme="minorHAnsi"/>
              <w:noProof/>
              <w:sz w:val="22"/>
            </w:rPr>
          </w:pPr>
          <w:hyperlink w:anchor="_Toc211418439" w:history="1">
            <w:r w:rsidR="00224A29" w:rsidRPr="004E0442">
              <w:rPr>
                <w:rStyle w:val="-"/>
                <w:noProof/>
                <w:lang w:val="en-US"/>
              </w:rPr>
              <w:t>3.2.</w:t>
            </w:r>
            <w:r w:rsidR="00224A29">
              <w:rPr>
                <w:rFonts w:asciiTheme="minorHAnsi" w:hAnsiTheme="minorHAnsi"/>
                <w:noProof/>
                <w:sz w:val="22"/>
              </w:rPr>
              <w:tab/>
            </w:r>
            <w:r w:rsidR="00224A29" w:rsidRPr="004E0442">
              <w:rPr>
                <w:rStyle w:val="-"/>
                <w:noProof/>
                <w:lang w:val="en-US"/>
              </w:rPr>
              <w:t>Fiscal outlook 2026</w:t>
            </w:r>
            <w:r w:rsidR="00224A29">
              <w:rPr>
                <w:noProof/>
                <w:webHidden/>
              </w:rPr>
              <w:tab/>
            </w:r>
            <w:r w:rsidR="00224A29">
              <w:rPr>
                <w:noProof/>
                <w:webHidden/>
              </w:rPr>
              <w:fldChar w:fldCharType="begin"/>
            </w:r>
            <w:r w:rsidR="00224A29">
              <w:rPr>
                <w:noProof/>
                <w:webHidden/>
              </w:rPr>
              <w:instrText xml:space="preserve"> PAGEREF _Toc211418439 \h </w:instrText>
            </w:r>
            <w:r w:rsidR="00224A29">
              <w:rPr>
                <w:noProof/>
                <w:webHidden/>
              </w:rPr>
            </w:r>
            <w:r w:rsidR="00224A29">
              <w:rPr>
                <w:noProof/>
                <w:webHidden/>
              </w:rPr>
              <w:fldChar w:fldCharType="separate"/>
            </w:r>
            <w:r w:rsidR="00AF0E6B">
              <w:rPr>
                <w:noProof/>
                <w:webHidden/>
              </w:rPr>
              <w:t>24</w:t>
            </w:r>
            <w:r w:rsidR="00224A29">
              <w:rPr>
                <w:noProof/>
                <w:webHidden/>
              </w:rPr>
              <w:fldChar w:fldCharType="end"/>
            </w:r>
          </w:hyperlink>
        </w:p>
        <w:p w14:paraId="7677756C" w14:textId="7D374012" w:rsidR="00224A29" w:rsidRDefault="00D06AE5">
          <w:pPr>
            <w:pStyle w:val="21"/>
            <w:rPr>
              <w:rFonts w:asciiTheme="minorHAnsi" w:hAnsiTheme="minorHAnsi"/>
              <w:noProof/>
              <w:sz w:val="22"/>
            </w:rPr>
          </w:pPr>
          <w:hyperlink w:anchor="_Toc211418440" w:history="1">
            <w:r w:rsidR="00224A29" w:rsidRPr="004E0442">
              <w:rPr>
                <w:rStyle w:val="-"/>
                <w:noProof/>
                <w:lang w:val="en-US"/>
              </w:rPr>
              <w:t>3.3.</w:t>
            </w:r>
            <w:r w:rsidR="00224A29">
              <w:rPr>
                <w:rFonts w:asciiTheme="minorHAnsi" w:hAnsiTheme="minorHAnsi"/>
                <w:noProof/>
                <w:sz w:val="22"/>
              </w:rPr>
              <w:tab/>
            </w:r>
            <w:r w:rsidR="00224A29" w:rsidRPr="004E0442">
              <w:rPr>
                <w:rStyle w:val="-"/>
                <w:noProof/>
                <w:lang w:val="en-US"/>
              </w:rPr>
              <w:t>Net expenditure growth</w:t>
            </w:r>
            <w:r w:rsidR="00224A29">
              <w:rPr>
                <w:noProof/>
                <w:webHidden/>
              </w:rPr>
              <w:tab/>
            </w:r>
            <w:r w:rsidR="00224A29">
              <w:rPr>
                <w:noProof/>
                <w:webHidden/>
              </w:rPr>
              <w:fldChar w:fldCharType="begin"/>
            </w:r>
            <w:r w:rsidR="00224A29">
              <w:rPr>
                <w:noProof/>
                <w:webHidden/>
              </w:rPr>
              <w:instrText xml:space="preserve"> PAGEREF _Toc211418440 \h </w:instrText>
            </w:r>
            <w:r w:rsidR="00224A29">
              <w:rPr>
                <w:noProof/>
                <w:webHidden/>
              </w:rPr>
            </w:r>
            <w:r w:rsidR="00224A29">
              <w:rPr>
                <w:noProof/>
                <w:webHidden/>
              </w:rPr>
              <w:fldChar w:fldCharType="separate"/>
            </w:r>
            <w:r w:rsidR="00AF0E6B">
              <w:rPr>
                <w:noProof/>
                <w:webHidden/>
              </w:rPr>
              <w:t>24</w:t>
            </w:r>
            <w:r w:rsidR="00224A29">
              <w:rPr>
                <w:noProof/>
                <w:webHidden/>
              </w:rPr>
              <w:fldChar w:fldCharType="end"/>
            </w:r>
          </w:hyperlink>
        </w:p>
        <w:p w14:paraId="5FE098D5" w14:textId="1CC80D58" w:rsidR="00224A29" w:rsidRDefault="00D06AE5">
          <w:pPr>
            <w:pStyle w:val="21"/>
            <w:rPr>
              <w:rFonts w:asciiTheme="minorHAnsi" w:hAnsiTheme="minorHAnsi"/>
              <w:noProof/>
              <w:sz w:val="22"/>
            </w:rPr>
          </w:pPr>
          <w:hyperlink w:anchor="_Toc211418441" w:history="1">
            <w:r w:rsidR="00224A29" w:rsidRPr="004E0442">
              <w:rPr>
                <w:rStyle w:val="-"/>
                <w:noProof/>
                <w:lang w:val="en-US"/>
              </w:rPr>
              <w:t>3.4.</w:t>
            </w:r>
            <w:r w:rsidR="00224A29">
              <w:rPr>
                <w:rFonts w:asciiTheme="minorHAnsi" w:hAnsiTheme="minorHAnsi"/>
                <w:noProof/>
                <w:sz w:val="22"/>
              </w:rPr>
              <w:tab/>
            </w:r>
            <w:r w:rsidR="00224A29" w:rsidRPr="004E0442">
              <w:rPr>
                <w:rStyle w:val="-"/>
                <w:noProof/>
                <w:lang w:val="en-US"/>
              </w:rPr>
              <w:t>Debt developments</w:t>
            </w:r>
            <w:r w:rsidR="00224A29">
              <w:rPr>
                <w:noProof/>
                <w:webHidden/>
              </w:rPr>
              <w:tab/>
            </w:r>
            <w:r w:rsidR="00224A29">
              <w:rPr>
                <w:noProof/>
                <w:webHidden/>
              </w:rPr>
              <w:fldChar w:fldCharType="begin"/>
            </w:r>
            <w:r w:rsidR="00224A29">
              <w:rPr>
                <w:noProof/>
                <w:webHidden/>
              </w:rPr>
              <w:instrText xml:space="preserve"> PAGEREF _Toc211418441 \h </w:instrText>
            </w:r>
            <w:r w:rsidR="00224A29">
              <w:rPr>
                <w:noProof/>
                <w:webHidden/>
              </w:rPr>
            </w:r>
            <w:r w:rsidR="00224A29">
              <w:rPr>
                <w:noProof/>
                <w:webHidden/>
              </w:rPr>
              <w:fldChar w:fldCharType="separate"/>
            </w:r>
            <w:r w:rsidR="00AF0E6B">
              <w:rPr>
                <w:noProof/>
                <w:webHidden/>
              </w:rPr>
              <w:t>25</w:t>
            </w:r>
            <w:r w:rsidR="00224A29">
              <w:rPr>
                <w:noProof/>
                <w:webHidden/>
              </w:rPr>
              <w:fldChar w:fldCharType="end"/>
            </w:r>
          </w:hyperlink>
        </w:p>
        <w:p w14:paraId="46541319" w14:textId="4C384CAD" w:rsidR="00224A29" w:rsidRDefault="00D06AE5">
          <w:pPr>
            <w:pStyle w:val="11"/>
            <w:rPr>
              <w:rFonts w:asciiTheme="minorHAnsi" w:hAnsiTheme="minorHAnsi"/>
              <w:b w:val="0"/>
              <w:sz w:val="22"/>
              <w:lang w:val="el-GR"/>
            </w:rPr>
          </w:pPr>
          <w:hyperlink w:anchor="_Toc211418442" w:history="1">
            <w:r w:rsidR="00224A29" w:rsidRPr="004E0442">
              <w:rPr>
                <w:rStyle w:val="-"/>
              </w:rPr>
              <w:t>4.</w:t>
            </w:r>
            <w:r w:rsidR="00224A29">
              <w:rPr>
                <w:rFonts w:asciiTheme="minorHAnsi" w:hAnsiTheme="minorHAnsi"/>
                <w:b w:val="0"/>
                <w:sz w:val="22"/>
                <w:lang w:val="el-GR"/>
              </w:rPr>
              <w:tab/>
            </w:r>
            <w:r w:rsidR="00224A29" w:rsidRPr="004E0442">
              <w:rPr>
                <w:rStyle w:val="-"/>
              </w:rPr>
              <w:t>Expenditure and revenue projections</w:t>
            </w:r>
            <w:r w:rsidR="00224A29">
              <w:rPr>
                <w:webHidden/>
              </w:rPr>
              <w:tab/>
            </w:r>
            <w:r w:rsidR="00224A29">
              <w:rPr>
                <w:webHidden/>
              </w:rPr>
              <w:fldChar w:fldCharType="begin"/>
            </w:r>
            <w:r w:rsidR="00224A29">
              <w:rPr>
                <w:webHidden/>
              </w:rPr>
              <w:instrText xml:space="preserve"> PAGEREF _Toc211418442 \h </w:instrText>
            </w:r>
            <w:r w:rsidR="00224A29">
              <w:rPr>
                <w:webHidden/>
              </w:rPr>
            </w:r>
            <w:r w:rsidR="00224A29">
              <w:rPr>
                <w:webHidden/>
              </w:rPr>
              <w:fldChar w:fldCharType="separate"/>
            </w:r>
            <w:r w:rsidR="00AF0E6B">
              <w:rPr>
                <w:webHidden/>
              </w:rPr>
              <w:t>27</w:t>
            </w:r>
            <w:r w:rsidR="00224A29">
              <w:rPr>
                <w:webHidden/>
              </w:rPr>
              <w:fldChar w:fldCharType="end"/>
            </w:r>
          </w:hyperlink>
        </w:p>
        <w:p w14:paraId="226D7941" w14:textId="566C660C" w:rsidR="00224A29" w:rsidRDefault="00D06AE5">
          <w:pPr>
            <w:pStyle w:val="21"/>
            <w:rPr>
              <w:rFonts w:asciiTheme="minorHAnsi" w:hAnsiTheme="minorHAnsi"/>
              <w:noProof/>
              <w:sz w:val="22"/>
            </w:rPr>
          </w:pPr>
          <w:hyperlink w:anchor="_Toc211418443" w:history="1">
            <w:r w:rsidR="00224A29" w:rsidRPr="004E0442">
              <w:rPr>
                <w:rStyle w:val="-"/>
                <w:noProof/>
                <w:lang w:val="en-US"/>
              </w:rPr>
              <w:t>4.1.</w:t>
            </w:r>
            <w:r w:rsidR="00224A29">
              <w:rPr>
                <w:rFonts w:asciiTheme="minorHAnsi" w:hAnsiTheme="minorHAnsi"/>
                <w:noProof/>
                <w:sz w:val="22"/>
              </w:rPr>
              <w:tab/>
            </w:r>
            <w:r w:rsidR="00224A29" w:rsidRPr="004E0442">
              <w:rPr>
                <w:rStyle w:val="-"/>
                <w:noProof/>
                <w:lang w:val="en-US"/>
              </w:rPr>
              <w:t>GG Revenue &amp; expenditure</w:t>
            </w:r>
            <w:r w:rsidR="00224A29">
              <w:rPr>
                <w:noProof/>
                <w:webHidden/>
              </w:rPr>
              <w:tab/>
            </w:r>
            <w:r w:rsidR="00224A29">
              <w:rPr>
                <w:noProof/>
                <w:webHidden/>
              </w:rPr>
              <w:fldChar w:fldCharType="begin"/>
            </w:r>
            <w:r w:rsidR="00224A29">
              <w:rPr>
                <w:noProof/>
                <w:webHidden/>
              </w:rPr>
              <w:instrText xml:space="preserve"> PAGEREF _Toc211418443 \h </w:instrText>
            </w:r>
            <w:r w:rsidR="00224A29">
              <w:rPr>
                <w:noProof/>
                <w:webHidden/>
              </w:rPr>
            </w:r>
            <w:r w:rsidR="00224A29">
              <w:rPr>
                <w:noProof/>
                <w:webHidden/>
              </w:rPr>
              <w:fldChar w:fldCharType="separate"/>
            </w:r>
            <w:r w:rsidR="00AF0E6B">
              <w:rPr>
                <w:noProof/>
                <w:webHidden/>
              </w:rPr>
              <w:t>27</w:t>
            </w:r>
            <w:r w:rsidR="00224A29">
              <w:rPr>
                <w:noProof/>
                <w:webHidden/>
              </w:rPr>
              <w:fldChar w:fldCharType="end"/>
            </w:r>
          </w:hyperlink>
        </w:p>
        <w:p w14:paraId="5CD17DEA" w14:textId="1A9421C2" w:rsidR="00224A29" w:rsidRDefault="00D06AE5">
          <w:pPr>
            <w:pStyle w:val="21"/>
            <w:rPr>
              <w:rFonts w:asciiTheme="minorHAnsi" w:hAnsiTheme="minorHAnsi"/>
              <w:noProof/>
              <w:sz w:val="22"/>
            </w:rPr>
          </w:pPr>
          <w:hyperlink w:anchor="_Toc211418444" w:history="1">
            <w:r w:rsidR="00224A29" w:rsidRPr="004E0442">
              <w:rPr>
                <w:rStyle w:val="-"/>
                <w:noProof/>
                <w:lang w:val="en-US"/>
              </w:rPr>
              <w:t>4.2.</w:t>
            </w:r>
            <w:r w:rsidR="00224A29">
              <w:rPr>
                <w:rFonts w:asciiTheme="minorHAnsi" w:hAnsiTheme="minorHAnsi"/>
                <w:noProof/>
                <w:sz w:val="22"/>
              </w:rPr>
              <w:tab/>
            </w:r>
            <w:r w:rsidR="00224A29" w:rsidRPr="004E0442">
              <w:rPr>
                <w:rStyle w:val="-"/>
                <w:noProof/>
                <w:lang w:val="en-US"/>
              </w:rPr>
              <w:t>Discretionary measures</w:t>
            </w:r>
            <w:r w:rsidR="00224A29">
              <w:rPr>
                <w:noProof/>
                <w:webHidden/>
              </w:rPr>
              <w:tab/>
            </w:r>
            <w:r w:rsidR="00224A29">
              <w:rPr>
                <w:noProof/>
                <w:webHidden/>
              </w:rPr>
              <w:fldChar w:fldCharType="begin"/>
            </w:r>
            <w:r w:rsidR="00224A29">
              <w:rPr>
                <w:noProof/>
                <w:webHidden/>
              </w:rPr>
              <w:instrText xml:space="preserve"> PAGEREF _Toc211418444 \h </w:instrText>
            </w:r>
            <w:r w:rsidR="00224A29">
              <w:rPr>
                <w:noProof/>
                <w:webHidden/>
              </w:rPr>
            </w:r>
            <w:r w:rsidR="00224A29">
              <w:rPr>
                <w:noProof/>
                <w:webHidden/>
              </w:rPr>
              <w:fldChar w:fldCharType="separate"/>
            </w:r>
            <w:r w:rsidR="00AF0E6B">
              <w:rPr>
                <w:noProof/>
                <w:webHidden/>
              </w:rPr>
              <w:t>29</w:t>
            </w:r>
            <w:r w:rsidR="00224A29">
              <w:rPr>
                <w:noProof/>
                <w:webHidden/>
              </w:rPr>
              <w:fldChar w:fldCharType="end"/>
            </w:r>
          </w:hyperlink>
        </w:p>
        <w:p w14:paraId="6BD868E6" w14:textId="0A37CEEC" w:rsidR="00224A29" w:rsidRDefault="00D06AE5">
          <w:pPr>
            <w:pStyle w:val="21"/>
            <w:rPr>
              <w:rFonts w:asciiTheme="minorHAnsi" w:hAnsiTheme="minorHAnsi"/>
              <w:noProof/>
              <w:sz w:val="22"/>
            </w:rPr>
          </w:pPr>
          <w:hyperlink w:anchor="_Toc211418445" w:history="1">
            <w:r w:rsidR="00224A29" w:rsidRPr="004E0442">
              <w:rPr>
                <w:rStyle w:val="-"/>
                <w:noProof/>
                <w:lang w:val="en-US"/>
              </w:rPr>
              <w:t>4.3.</w:t>
            </w:r>
            <w:r w:rsidR="00224A29">
              <w:rPr>
                <w:rFonts w:asciiTheme="minorHAnsi" w:hAnsiTheme="minorHAnsi"/>
                <w:noProof/>
                <w:sz w:val="22"/>
              </w:rPr>
              <w:tab/>
            </w:r>
            <w:r w:rsidR="00224A29" w:rsidRPr="004E0442">
              <w:rPr>
                <w:rStyle w:val="-"/>
                <w:noProof/>
                <w:lang w:val="en-US"/>
              </w:rPr>
              <w:t>National Recovery &amp; Resilience Plan (NRRP)</w:t>
            </w:r>
            <w:r w:rsidR="00224A29">
              <w:rPr>
                <w:noProof/>
                <w:webHidden/>
              </w:rPr>
              <w:tab/>
            </w:r>
            <w:r w:rsidR="00224A29">
              <w:rPr>
                <w:noProof/>
                <w:webHidden/>
              </w:rPr>
              <w:fldChar w:fldCharType="begin"/>
            </w:r>
            <w:r w:rsidR="00224A29">
              <w:rPr>
                <w:noProof/>
                <w:webHidden/>
              </w:rPr>
              <w:instrText xml:space="preserve"> PAGEREF _Toc211418445 \h </w:instrText>
            </w:r>
            <w:r w:rsidR="00224A29">
              <w:rPr>
                <w:noProof/>
                <w:webHidden/>
              </w:rPr>
            </w:r>
            <w:r w:rsidR="00224A29">
              <w:rPr>
                <w:noProof/>
                <w:webHidden/>
              </w:rPr>
              <w:fldChar w:fldCharType="separate"/>
            </w:r>
            <w:r w:rsidR="00AF0E6B">
              <w:rPr>
                <w:noProof/>
                <w:webHidden/>
              </w:rPr>
              <w:t>36</w:t>
            </w:r>
            <w:r w:rsidR="00224A29">
              <w:rPr>
                <w:noProof/>
                <w:webHidden/>
              </w:rPr>
              <w:fldChar w:fldCharType="end"/>
            </w:r>
          </w:hyperlink>
        </w:p>
        <w:p w14:paraId="683D3929" w14:textId="0A98A18A" w:rsidR="00224A29" w:rsidRDefault="00D06AE5">
          <w:pPr>
            <w:pStyle w:val="11"/>
            <w:rPr>
              <w:rFonts w:asciiTheme="minorHAnsi" w:hAnsiTheme="minorHAnsi"/>
              <w:b w:val="0"/>
              <w:sz w:val="22"/>
              <w:lang w:val="el-GR"/>
            </w:rPr>
          </w:pPr>
          <w:hyperlink w:anchor="_Toc211418446" w:history="1">
            <w:r w:rsidR="00224A29" w:rsidRPr="004E0442">
              <w:rPr>
                <w:rStyle w:val="-"/>
              </w:rPr>
              <w:t>5.</w:t>
            </w:r>
            <w:r w:rsidR="00224A29">
              <w:rPr>
                <w:rFonts w:asciiTheme="minorHAnsi" w:hAnsiTheme="minorHAnsi"/>
                <w:b w:val="0"/>
                <w:sz w:val="22"/>
                <w:lang w:val="el-GR"/>
              </w:rPr>
              <w:tab/>
            </w:r>
            <w:r w:rsidR="00224A29" w:rsidRPr="004E0442">
              <w:rPr>
                <w:rStyle w:val="-"/>
              </w:rPr>
              <w:t>Distributional impact of the main revenue and expenditure measures</w:t>
            </w:r>
            <w:r w:rsidR="00224A29">
              <w:rPr>
                <w:webHidden/>
              </w:rPr>
              <w:tab/>
            </w:r>
            <w:r w:rsidR="00224A29">
              <w:rPr>
                <w:webHidden/>
              </w:rPr>
              <w:fldChar w:fldCharType="begin"/>
            </w:r>
            <w:r w:rsidR="00224A29">
              <w:rPr>
                <w:webHidden/>
              </w:rPr>
              <w:instrText xml:space="preserve"> PAGEREF _Toc211418446 \h </w:instrText>
            </w:r>
            <w:r w:rsidR="00224A29">
              <w:rPr>
                <w:webHidden/>
              </w:rPr>
            </w:r>
            <w:r w:rsidR="00224A29">
              <w:rPr>
                <w:webHidden/>
              </w:rPr>
              <w:fldChar w:fldCharType="separate"/>
            </w:r>
            <w:r w:rsidR="00AF0E6B">
              <w:rPr>
                <w:webHidden/>
              </w:rPr>
              <w:t>38</w:t>
            </w:r>
            <w:r w:rsidR="00224A29">
              <w:rPr>
                <w:webHidden/>
              </w:rPr>
              <w:fldChar w:fldCharType="end"/>
            </w:r>
          </w:hyperlink>
        </w:p>
        <w:p w14:paraId="0FC6D29B" w14:textId="0CBC5D0F" w:rsidR="00224A29" w:rsidRDefault="00D06AE5">
          <w:pPr>
            <w:pStyle w:val="21"/>
            <w:rPr>
              <w:rFonts w:asciiTheme="minorHAnsi" w:hAnsiTheme="minorHAnsi"/>
              <w:noProof/>
              <w:sz w:val="22"/>
            </w:rPr>
          </w:pPr>
          <w:hyperlink w:anchor="_Toc211418447" w:history="1">
            <w:r w:rsidR="00224A29" w:rsidRPr="004E0442">
              <w:rPr>
                <w:rStyle w:val="-"/>
                <w:noProof/>
                <w:lang w:val="en-US"/>
              </w:rPr>
              <w:t>5.1.</w:t>
            </w:r>
            <w:r w:rsidR="00224A29">
              <w:rPr>
                <w:rFonts w:asciiTheme="minorHAnsi" w:hAnsiTheme="minorHAnsi"/>
                <w:noProof/>
                <w:sz w:val="22"/>
              </w:rPr>
              <w:tab/>
            </w:r>
            <w:r w:rsidR="00224A29" w:rsidRPr="004E0442">
              <w:rPr>
                <w:rStyle w:val="-"/>
                <w:noProof/>
                <w:lang w:val="en-US"/>
              </w:rPr>
              <w:t>Methodology</w:t>
            </w:r>
            <w:r w:rsidR="00224A29">
              <w:rPr>
                <w:noProof/>
                <w:webHidden/>
              </w:rPr>
              <w:tab/>
            </w:r>
            <w:r w:rsidR="00224A29">
              <w:rPr>
                <w:noProof/>
                <w:webHidden/>
              </w:rPr>
              <w:fldChar w:fldCharType="begin"/>
            </w:r>
            <w:r w:rsidR="00224A29">
              <w:rPr>
                <w:noProof/>
                <w:webHidden/>
              </w:rPr>
              <w:instrText xml:space="preserve"> PAGEREF _Toc211418447 \h </w:instrText>
            </w:r>
            <w:r w:rsidR="00224A29">
              <w:rPr>
                <w:noProof/>
                <w:webHidden/>
              </w:rPr>
            </w:r>
            <w:r w:rsidR="00224A29">
              <w:rPr>
                <w:noProof/>
                <w:webHidden/>
              </w:rPr>
              <w:fldChar w:fldCharType="separate"/>
            </w:r>
            <w:r w:rsidR="00AF0E6B">
              <w:rPr>
                <w:noProof/>
                <w:webHidden/>
              </w:rPr>
              <w:t>38</w:t>
            </w:r>
            <w:r w:rsidR="00224A29">
              <w:rPr>
                <w:noProof/>
                <w:webHidden/>
              </w:rPr>
              <w:fldChar w:fldCharType="end"/>
            </w:r>
          </w:hyperlink>
        </w:p>
        <w:p w14:paraId="598A4FAF" w14:textId="1CF28F6F" w:rsidR="00224A29" w:rsidRDefault="00D06AE5">
          <w:pPr>
            <w:pStyle w:val="21"/>
            <w:rPr>
              <w:rFonts w:asciiTheme="minorHAnsi" w:hAnsiTheme="minorHAnsi"/>
              <w:noProof/>
              <w:sz w:val="22"/>
            </w:rPr>
          </w:pPr>
          <w:hyperlink w:anchor="_Toc211418448" w:history="1">
            <w:r w:rsidR="00224A29" w:rsidRPr="004E0442">
              <w:rPr>
                <w:rStyle w:val="-"/>
                <w:noProof/>
                <w:lang w:val="en-US"/>
              </w:rPr>
              <w:t>5.2.</w:t>
            </w:r>
            <w:r w:rsidR="00224A29">
              <w:rPr>
                <w:rFonts w:asciiTheme="minorHAnsi" w:hAnsiTheme="minorHAnsi"/>
                <w:noProof/>
                <w:sz w:val="22"/>
              </w:rPr>
              <w:tab/>
            </w:r>
            <w:r w:rsidR="00224A29" w:rsidRPr="004E0442">
              <w:rPr>
                <w:rStyle w:val="-"/>
                <w:noProof/>
                <w:lang w:val="en-US"/>
              </w:rPr>
              <w:t>Results</w:t>
            </w:r>
            <w:r w:rsidR="00224A29">
              <w:rPr>
                <w:noProof/>
                <w:webHidden/>
              </w:rPr>
              <w:tab/>
            </w:r>
            <w:r w:rsidR="00224A29">
              <w:rPr>
                <w:noProof/>
                <w:webHidden/>
              </w:rPr>
              <w:fldChar w:fldCharType="begin"/>
            </w:r>
            <w:r w:rsidR="00224A29">
              <w:rPr>
                <w:noProof/>
                <w:webHidden/>
              </w:rPr>
              <w:instrText xml:space="preserve"> PAGEREF _Toc211418448 \h </w:instrText>
            </w:r>
            <w:r w:rsidR="00224A29">
              <w:rPr>
                <w:noProof/>
                <w:webHidden/>
              </w:rPr>
            </w:r>
            <w:r w:rsidR="00224A29">
              <w:rPr>
                <w:noProof/>
                <w:webHidden/>
              </w:rPr>
              <w:fldChar w:fldCharType="separate"/>
            </w:r>
            <w:r w:rsidR="00AF0E6B">
              <w:rPr>
                <w:noProof/>
                <w:webHidden/>
              </w:rPr>
              <w:t>39</w:t>
            </w:r>
            <w:r w:rsidR="00224A29">
              <w:rPr>
                <w:noProof/>
                <w:webHidden/>
              </w:rPr>
              <w:fldChar w:fldCharType="end"/>
            </w:r>
          </w:hyperlink>
        </w:p>
        <w:p w14:paraId="2A1FE270" w14:textId="4FFAC0AF" w:rsidR="00224A29" w:rsidRDefault="00D06AE5">
          <w:pPr>
            <w:pStyle w:val="11"/>
            <w:rPr>
              <w:rFonts w:asciiTheme="minorHAnsi" w:hAnsiTheme="minorHAnsi"/>
              <w:b w:val="0"/>
              <w:sz w:val="22"/>
              <w:lang w:val="el-GR"/>
            </w:rPr>
          </w:pPr>
          <w:hyperlink w:anchor="_Toc211418449" w:history="1">
            <w:r w:rsidR="00224A29" w:rsidRPr="004E0442">
              <w:rPr>
                <w:rStyle w:val="-"/>
              </w:rPr>
              <w:t>6.</w:t>
            </w:r>
            <w:r w:rsidR="00224A29">
              <w:rPr>
                <w:rFonts w:asciiTheme="minorHAnsi" w:hAnsiTheme="minorHAnsi"/>
                <w:b w:val="0"/>
                <w:sz w:val="22"/>
                <w:lang w:val="el-GR"/>
              </w:rPr>
              <w:tab/>
            </w:r>
            <w:r w:rsidR="00224A29" w:rsidRPr="004E0442">
              <w:rPr>
                <w:rStyle w:val="-"/>
              </w:rPr>
              <w:t>Country Specific Recommendations 2025</w:t>
            </w:r>
            <w:r w:rsidR="00224A29">
              <w:rPr>
                <w:webHidden/>
              </w:rPr>
              <w:tab/>
            </w:r>
            <w:r w:rsidR="00224A29">
              <w:rPr>
                <w:webHidden/>
              </w:rPr>
              <w:fldChar w:fldCharType="begin"/>
            </w:r>
            <w:r w:rsidR="00224A29">
              <w:rPr>
                <w:webHidden/>
              </w:rPr>
              <w:instrText xml:space="preserve"> PAGEREF _Toc211418449 \h </w:instrText>
            </w:r>
            <w:r w:rsidR="00224A29">
              <w:rPr>
                <w:webHidden/>
              </w:rPr>
            </w:r>
            <w:r w:rsidR="00224A29">
              <w:rPr>
                <w:webHidden/>
              </w:rPr>
              <w:fldChar w:fldCharType="separate"/>
            </w:r>
            <w:r w:rsidR="00AF0E6B">
              <w:rPr>
                <w:webHidden/>
              </w:rPr>
              <w:t>42</w:t>
            </w:r>
            <w:r w:rsidR="00224A29">
              <w:rPr>
                <w:webHidden/>
              </w:rPr>
              <w:fldChar w:fldCharType="end"/>
            </w:r>
          </w:hyperlink>
        </w:p>
        <w:p w14:paraId="243EB1D0" w14:textId="738D1AFA" w:rsidR="00224A29" w:rsidRDefault="00D06AE5">
          <w:pPr>
            <w:pStyle w:val="11"/>
            <w:rPr>
              <w:rFonts w:asciiTheme="minorHAnsi" w:hAnsiTheme="minorHAnsi"/>
              <w:b w:val="0"/>
              <w:sz w:val="22"/>
              <w:lang w:val="el-GR"/>
            </w:rPr>
          </w:pPr>
          <w:hyperlink w:anchor="_Toc211418450" w:history="1">
            <w:r w:rsidR="00224A29" w:rsidRPr="004E0442">
              <w:rPr>
                <w:rStyle w:val="-"/>
              </w:rPr>
              <w:t>Annex I: DBP tables</w:t>
            </w:r>
            <w:r w:rsidR="00224A29">
              <w:rPr>
                <w:webHidden/>
              </w:rPr>
              <w:tab/>
            </w:r>
            <w:r w:rsidR="00224A29">
              <w:rPr>
                <w:webHidden/>
              </w:rPr>
              <w:fldChar w:fldCharType="begin"/>
            </w:r>
            <w:r w:rsidR="00224A29">
              <w:rPr>
                <w:webHidden/>
              </w:rPr>
              <w:instrText xml:space="preserve"> PAGEREF _Toc211418450 \h </w:instrText>
            </w:r>
            <w:r w:rsidR="00224A29">
              <w:rPr>
                <w:webHidden/>
              </w:rPr>
            </w:r>
            <w:r w:rsidR="00224A29">
              <w:rPr>
                <w:webHidden/>
              </w:rPr>
              <w:fldChar w:fldCharType="separate"/>
            </w:r>
            <w:r w:rsidR="00AF0E6B">
              <w:rPr>
                <w:webHidden/>
              </w:rPr>
              <w:t>67</w:t>
            </w:r>
            <w:r w:rsidR="00224A29">
              <w:rPr>
                <w:webHidden/>
              </w:rPr>
              <w:fldChar w:fldCharType="end"/>
            </w:r>
          </w:hyperlink>
        </w:p>
        <w:p w14:paraId="14384B36" w14:textId="41AA2F4F" w:rsidR="00224A29" w:rsidRDefault="00D06AE5">
          <w:pPr>
            <w:pStyle w:val="11"/>
            <w:rPr>
              <w:rFonts w:asciiTheme="minorHAnsi" w:hAnsiTheme="minorHAnsi"/>
              <w:b w:val="0"/>
              <w:sz w:val="22"/>
              <w:lang w:val="el-GR"/>
            </w:rPr>
          </w:pPr>
          <w:hyperlink w:anchor="_Toc211418451" w:history="1">
            <w:r w:rsidR="00224A29" w:rsidRPr="004E0442">
              <w:rPr>
                <w:rStyle w:val="-"/>
              </w:rPr>
              <w:t>Annex II: Measure tables</w:t>
            </w:r>
            <w:r w:rsidR="00224A29">
              <w:rPr>
                <w:webHidden/>
              </w:rPr>
              <w:tab/>
            </w:r>
            <w:r w:rsidR="00224A29">
              <w:rPr>
                <w:webHidden/>
              </w:rPr>
              <w:fldChar w:fldCharType="begin"/>
            </w:r>
            <w:r w:rsidR="00224A29">
              <w:rPr>
                <w:webHidden/>
              </w:rPr>
              <w:instrText xml:space="preserve"> PAGEREF _Toc211418451 \h </w:instrText>
            </w:r>
            <w:r w:rsidR="00224A29">
              <w:rPr>
                <w:webHidden/>
              </w:rPr>
            </w:r>
            <w:r w:rsidR="00224A29">
              <w:rPr>
                <w:webHidden/>
              </w:rPr>
              <w:fldChar w:fldCharType="separate"/>
            </w:r>
            <w:r w:rsidR="00AF0E6B">
              <w:rPr>
                <w:webHidden/>
              </w:rPr>
              <w:t>70</w:t>
            </w:r>
            <w:r w:rsidR="00224A29">
              <w:rPr>
                <w:webHidden/>
              </w:rPr>
              <w:fldChar w:fldCharType="end"/>
            </w:r>
          </w:hyperlink>
        </w:p>
        <w:p w14:paraId="4EAA1781" w14:textId="62576D9F" w:rsidR="00224A29" w:rsidRDefault="00D06AE5">
          <w:pPr>
            <w:pStyle w:val="11"/>
            <w:rPr>
              <w:rFonts w:asciiTheme="minorHAnsi" w:hAnsiTheme="minorHAnsi"/>
              <w:b w:val="0"/>
              <w:sz w:val="22"/>
              <w:lang w:val="el-GR"/>
            </w:rPr>
          </w:pPr>
          <w:hyperlink w:anchor="_Toc211418452" w:history="1">
            <w:r w:rsidR="00224A29" w:rsidRPr="004E0442">
              <w:rPr>
                <w:rStyle w:val="-"/>
              </w:rPr>
              <w:t>Annex III: Hellenic Fiscal Council opinion</w:t>
            </w:r>
            <w:r w:rsidR="00224A29">
              <w:rPr>
                <w:webHidden/>
              </w:rPr>
              <w:tab/>
            </w:r>
            <w:r w:rsidR="00224A29">
              <w:rPr>
                <w:webHidden/>
              </w:rPr>
              <w:fldChar w:fldCharType="begin"/>
            </w:r>
            <w:r w:rsidR="00224A29">
              <w:rPr>
                <w:webHidden/>
              </w:rPr>
              <w:instrText xml:space="preserve"> PAGEREF _Toc211418452 \h </w:instrText>
            </w:r>
            <w:r w:rsidR="00224A29">
              <w:rPr>
                <w:webHidden/>
              </w:rPr>
            </w:r>
            <w:r w:rsidR="00224A29">
              <w:rPr>
                <w:webHidden/>
              </w:rPr>
              <w:fldChar w:fldCharType="separate"/>
            </w:r>
            <w:r w:rsidR="00AF0E6B">
              <w:rPr>
                <w:webHidden/>
              </w:rPr>
              <w:t>72</w:t>
            </w:r>
            <w:r w:rsidR="00224A29">
              <w:rPr>
                <w:webHidden/>
              </w:rPr>
              <w:fldChar w:fldCharType="end"/>
            </w:r>
          </w:hyperlink>
        </w:p>
        <w:p w14:paraId="58D34D89" w14:textId="53A921E2" w:rsidR="007D7AD1" w:rsidRDefault="00540C3A">
          <w:r>
            <w:rPr>
              <w:b/>
              <w:bCs/>
              <w:noProof/>
            </w:rPr>
            <w:fldChar w:fldCharType="end"/>
          </w:r>
        </w:p>
      </w:sdtContent>
    </w:sdt>
    <w:p w14:paraId="3D527176" w14:textId="77777777" w:rsidR="00D03822" w:rsidRDefault="00D03822">
      <w:pPr>
        <w:spacing w:line="276" w:lineRule="auto"/>
        <w:jc w:val="left"/>
        <w:rPr>
          <w:rFonts w:cstheme="minorHAnsi"/>
          <w:b/>
          <w:color w:val="4F81BD" w:themeColor="accent1"/>
          <w:sz w:val="40"/>
          <w:lang w:val="en-US"/>
        </w:rPr>
      </w:pPr>
      <w:r>
        <w:rPr>
          <w:rFonts w:cstheme="minorHAnsi"/>
          <w:bCs/>
          <w:sz w:val="40"/>
          <w:lang w:val="en-US"/>
        </w:rPr>
        <w:br w:type="page"/>
      </w:r>
    </w:p>
    <w:p w14:paraId="1ED79CE7" w14:textId="77777777" w:rsidR="00FA62EC" w:rsidRPr="00CC3B3F" w:rsidRDefault="00CC3B3F" w:rsidP="00F867A5">
      <w:pPr>
        <w:pBdr>
          <w:bottom w:val="single" w:sz="18" w:space="1" w:color="E36C0A" w:themeColor="accent6" w:themeShade="BF"/>
        </w:pBdr>
        <w:rPr>
          <w:b/>
          <w:bCs/>
          <w:lang w:val="en-US"/>
        </w:rPr>
      </w:pPr>
      <w:r>
        <w:rPr>
          <w:b/>
          <w:color w:val="4F81BD" w:themeColor="accent1"/>
          <w:sz w:val="44"/>
          <w:lang w:val="en-US"/>
        </w:rPr>
        <w:lastRenderedPageBreak/>
        <w:t>Tables</w:t>
      </w:r>
    </w:p>
    <w:p w14:paraId="6F23F742" w14:textId="5DD3AD93" w:rsidR="00C13ACE" w:rsidRDefault="00540C3A">
      <w:pPr>
        <w:pStyle w:val="af"/>
        <w:tabs>
          <w:tab w:val="right" w:leader="dot" w:pos="8834"/>
        </w:tabs>
        <w:rPr>
          <w:rFonts w:asciiTheme="minorHAnsi" w:hAnsiTheme="minorHAnsi"/>
          <w:noProof/>
          <w:sz w:val="22"/>
        </w:rPr>
      </w:pPr>
      <w:r>
        <w:rPr>
          <w:lang w:val="en-US"/>
        </w:rPr>
        <w:fldChar w:fldCharType="begin"/>
      </w:r>
      <w:r w:rsidR="007E0D49">
        <w:rPr>
          <w:lang w:val="en-US"/>
        </w:rPr>
        <w:instrText xml:space="preserve"> TOC \h \z \c "Table" </w:instrText>
      </w:r>
      <w:r>
        <w:rPr>
          <w:lang w:val="en-US"/>
        </w:rPr>
        <w:fldChar w:fldCharType="separate"/>
      </w:r>
      <w:hyperlink w:anchor="_Toc211355095" w:history="1">
        <w:r w:rsidR="00C13ACE" w:rsidRPr="008C7E85">
          <w:rPr>
            <w:rStyle w:val="-"/>
            <w:noProof/>
          </w:rPr>
          <w:t xml:space="preserve">Table 1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noProof/>
          </w:rPr>
          <w:t>Key indicators for the European and the world economy</w:t>
        </w:r>
        <w:r w:rsidR="00C13ACE">
          <w:rPr>
            <w:noProof/>
            <w:webHidden/>
          </w:rPr>
          <w:tab/>
        </w:r>
        <w:r w:rsidR="00C13ACE">
          <w:rPr>
            <w:noProof/>
            <w:webHidden/>
          </w:rPr>
          <w:fldChar w:fldCharType="begin"/>
        </w:r>
        <w:r w:rsidR="00C13ACE">
          <w:rPr>
            <w:noProof/>
            <w:webHidden/>
          </w:rPr>
          <w:instrText xml:space="preserve"> PAGEREF _Toc211355095 \h </w:instrText>
        </w:r>
        <w:r w:rsidR="00C13ACE">
          <w:rPr>
            <w:noProof/>
            <w:webHidden/>
          </w:rPr>
        </w:r>
        <w:r w:rsidR="00C13ACE">
          <w:rPr>
            <w:noProof/>
            <w:webHidden/>
          </w:rPr>
          <w:fldChar w:fldCharType="separate"/>
        </w:r>
        <w:r w:rsidR="00AF0E6B">
          <w:rPr>
            <w:noProof/>
            <w:webHidden/>
          </w:rPr>
          <w:t>16</w:t>
        </w:r>
        <w:r w:rsidR="00C13ACE">
          <w:rPr>
            <w:noProof/>
            <w:webHidden/>
          </w:rPr>
          <w:fldChar w:fldCharType="end"/>
        </w:r>
      </w:hyperlink>
    </w:p>
    <w:p w14:paraId="51D18A59" w14:textId="2BA8D074" w:rsidR="00C13ACE" w:rsidRDefault="00D06AE5">
      <w:pPr>
        <w:pStyle w:val="af"/>
        <w:tabs>
          <w:tab w:val="right" w:leader="dot" w:pos="8834"/>
        </w:tabs>
        <w:rPr>
          <w:rFonts w:asciiTheme="minorHAnsi" w:hAnsiTheme="minorHAnsi"/>
          <w:noProof/>
          <w:sz w:val="22"/>
        </w:rPr>
      </w:pPr>
      <w:hyperlink w:anchor="_Toc211355096" w:history="1">
        <w:r w:rsidR="00C13ACE" w:rsidRPr="008C7E85">
          <w:rPr>
            <w:rStyle w:val="-"/>
            <w:noProof/>
          </w:rPr>
          <w:t xml:space="preserve">Table 2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bCs/>
            <w:noProof/>
          </w:rPr>
          <w:t>Key indicators of the Greek economy</w:t>
        </w:r>
        <w:r w:rsidR="00C13ACE">
          <w:rPr>
            <w:noProof/>
            <w:webHidden/>
          </w:rPr>
          <w:tab/>
        </w:r>
        <w:r w:rsidR="00C13ACE">
          <w:rPr>
            <w:noProof/>
            <w:webHidden/>
          </w:rPr>
          <w:fldChar w:fldCharType="begin"/>
        </w:r>
        <w:r w:rsidR="00C13ACE">
          <w:rPr>
            <w:noProof/>
            <w:webHidden/>
          </w:rPr>
          <w:instrText xml:space="preserve"> PAGEREF _Toc211355096 \h </w:instrText>
        </w:r>
        <w:r w:rsidR="00C13ACE">
          <w:rPr>
            <w:noProof/>
            <w:webHidden/>
          </w:rPr>
        </w:r>
        <w:r w:rsidR="00C13ACE">
          <w:rPr>
            <w:noProof/>
            <w:webHidden/>
          </w:rPr>
          <w:fldChar w:fldCharType="separate"/>
        </w:r>
        <w:r w:rsidR="00AF0E6B">
          <w:rPr>
            <w:noProof/>
            <w:webHidden/>
          </w:rPr>
          <w:t>22</w:t>
        </w:r>
        <w:r w:rsidR="00C13ACE">
          <w:rPr>
            <w:noProof/>
            <w:webHidden/>
          </w:rPr>
          <w:fldChar w:fldCharType="end"/>
        </w:r>
      </w:hyperlink>
    </w:p>
    <w:p w14:paraId="6EB55D68" w14:textId="06E95D73" w:rsidR="00C13ACE" w:rsidRDefault="00D06AE5">
      <w:pPr>
        <w:pStyle w:val="af"/>
        <w:tabs>
          <w:tab w:val="right" w:leader="dot" w:pos="8834"/>
        </w:tabs>
        <w:rPr>
          <w:rFonts w:asciiTheme="minorHAnsi" w:hAnsiTheme="minorHAnsi"/>
          <w:noProof/>
          <w:sz w:val="22"/>
        </w:rPr>
      </w:pPr>
      <w:hyperlink w:anchor="_Toc211355097" w:history="1">
        <w:r w:rsidR="00C13ACE" w:rsidRPr="008C7E85">
          <w:rPr>
            <w:rStyle w:val="-"/>
            <w:noProof/>
          </w:rPr>
          <w:t xml:space="preserve">Table 3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noProof/>
          </w:rPr>
          <w:t>Main variables</w:t>
        </w:r>
        <w:r w:rsidR="00C13ACE">
          <w:rPr>
            <w:noProof/>
            <w:webHidden/>
          </w:rPr>
          <w:tab/>
        </w:r>
        <w:r w:rsidR="00C13ACE">
          <w:rPr>
            <w:noProof/>
            <w:webHidden/>
          </w:rPr>
          <w:fldChar w:fldCharType="begin"/>
        </w:r>
        <w:r w:rsidR="00C13ACE">
          <w:rPr>
            <w:noProof/>
            <w:webHidden/>
          </w:rPr>
          <w:instrText xml:space="preserve"> PAGEREF _Toc211355097 \h </w:instrText>
        </w:r>
        <w:r w:rsidR="00C13ACE">
          <w:rPr>
            <w:noProof/>
            <w:webHidden/>
          </w:rPr>
        </w:r>
        <w:r w:rsidR="00C13ACE">
          <w:rPr>
            <w:noProof/>
            <w:webHidden/>
          </w:rPr>
          <w:fldChar w:fldCharType="separate"/>
        </w:r>
        <w:r w:rsidR="00AF0E6B">
          <w:rPr>
            <w:noProof/>
            <w:webHidden/>
          </w:rPr>
          <w:t>24</w:t>
        </w:r>
        <w:r w:rsidR="00C13ACE">
          <w:rPr>
            <w:noProof/>
            <w:webHidden/>
          </w:rPr>
          <w:fldChar w:fldCharType="end"/>
        </w:r>
      </w:hyperlink>
    </w:p>
    <w:p w14:paraId="3ECD6042" w14:textId="035004E3" w:rsidR="00C13ACE" w:rsidRDefault="00D06AE5">
      <w:pPr>
        <w:pStyle w:val="af"/>
        <w:tabs>
          <w:tab w:val="right" w:leader="dot" w:pos="8834"/>
        </w:tabs>
        <w:rPr>
          <w:rFonts w:asciiTheme="minorHAnsi" w:hAnsiTheme="minorHAnsi"/>
          <w:noProof/>
          <w:sz w:val="22"/>
        </w:rPr>
      </w:pPr>
      <w:hyperlink w:anchor="_Toc211355098" w:history="1">
        <w:r w:rsidR="00C13ACE" w:rsidRPr="008C7E85">
          <w:rPr>
            <w:rStyle w:val="-"/>
            <w:noProof/>
          </w:rPr>
          <w:t xml:space="preserve">Table 4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noProof/>
          </w:rPr>
          <w:t>Fiscal commitments</w:t>
        </w:r>
        <w:r w:rsidR="00C13ACE">
          <w:rPr>
            <w:noProof/>
            <w:webHidden/>
          </w:rPr>
          <w:tab/>
        </w:r>
        <w:r w:rsidR="00C13ACE">
          <w:rPr>
            <w:noProof/>
            <w:webHidden/>
          </w:rPr>
          <w:fldChar w:fldCharType="begin"/>
        </w:r>
        <w:r w:rsidR="00C13ACE">
          <w:rPr>
            <w:noProof/>
            <w:webHidden/>
          </w:rPr>
          <w:instrText xml:space="preserve"> PAGEREF _Toc211355098 \h </w:instrText>
        </w:r>
        <w:r w:rsidR="00C13ACE">
          <w:rPr>
            <w:noProof/>
            <w:webHidden/>
          </w:rPr>
        </w:r>
        <w:r w:rsidR="00C13ACE">
          <w:rPr>
            <w:noProof/>
            <w:webHidden/>
          </w:rPr>
          <w:fldChar w:fldCharType="separate"/>
        </w:r>
        <w:r w:rsidR="00AF0E6B">
          <w:rPr>
            <w:noProof/>
            <w:webHidden/>
          </w:rPr>
          <w:t>25</w:t>
        </w:r>
        <w:r w:rsidR="00C13ACE">
          <w:rPr>
            <w:noProof/>
            <w:webHidden/>
          </w:rPr>
          <w:fldChar w:fldCharType="end"/>
        </w:r>
      </w:hyperlink>
    </w:p>
    <w:p w14:paraId="67F29905" w14:textId="157BF2D0" w:rsidR="00C13ACE" w:rsidRDefault="00D06AE5">
      <w:pPr>
        <w:pStyle w:val="af"/>
        <w:tabs>
          <w:tab w:val="right" w:leader="dot" w:pos="8834"/>
        </w:tabs>
        <w:rPr>
          <w:rFonts w:asciiTheme="minorHAnsi" w:hAnsiTheme="minorHAnsi"/>
          <w:noProof/>
          <w:sz w:val="22"/>
        </w:rPr>
      </w:pPr>
      <w:hyperlink w:anchor="_Toc211355099" w:history="1">
        <w:r w:rsidR="00C13ACE" w:rsidRPr="008C7E85">
          <w:rPr>
            <w:rStyle w:val="-"/>
            <w:noProof/>
          </w:rPr>
          <w:t xml:space="preserve">Table 5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noProof/>
          </w:rPr>
          <w:t>Budgetary projections</w:t>
        </w:r>
        <w:r w:rsidR="00C13ACE">
          <w:rPr>
            <w:noProof/>
            <w:webHidden/>
          </w:rPr>
          <w:tab/>
        </w:r>
        <w:r w:rsidR="00C13ACE">
          <w:rPr>
            <w:noProof/>
            <w:webHidden/>
          </w:rPr>
          <w:fldChar w:fldCharType="begin"/>
        </w:r>
        <w:r w:rsidR="00C13ACE">
          <w:rPr>
            <w:noProof/>
            <w:webHidden/>
          </w:rPr>
          <w:instrText xml:space="preserve"> PAGEREF _Toc211355099 \h </w:instrText>
        </w:r>
        <w:r w:rsidR="00C13ACE">
          <w:rPr>
            <w:noProof/>
            <w:webHidden/>
          </w:rPr>
        </w:r>
        <w:r w:rsidR="00C13ACE">
          <w:rPr>
            <w:noProof/>
            <w:webHidden/>
          </w:rPr>
          <w:fldChar w:fldCharType="separate"/>
        </w:r>
        <w:r w:rsidR="00AF0E6B">
          <w:rPr>
            <w:noProof/>
            <w:webHidden/>
          </w:rPr>
          <w:t>27</w:t>
        </w:r>
        <w:r w:rsidR="00C13ACE">
          <w:rPr>
            <w:noProof/>
            <w:webHidden/>
          </w:rPr>
          <w:fldChar w:fldCharType="end"/>
        </w:r>
      </w:hyperlink>
    </w:p>
    <w:p w14:paraId="60E534DF" w14:textId="6A024297" w:rsidR="00C13ACE" w:rsidRDefault="00D06AE5">
      <w:pPr>
        <w:pStyle w:val="af"/>
        <w:tabs>
          <w:tab w:val="right" w:leader="dot" w:pos="8834"/>
        </w:tabs>
        <w:rPr>
          <w:rFonts w:asciiTheme="minorHAnsi" w:hAnsiTheme="minorHAnsi"/>
          <w:noProof/>
          <w:sz w:val="22"/>
        </w:rPr>
      </w:pPr>
      <w:hyperlink w:anchor="_Toc211355100" w:history="1">
        <w:r w:rsidR="00C13ACE" w:rsidRPr="008C7E85">
          <w:rPr>
            <w:rStyle w:val="-"/>
            <w:noProof/>
          </w:rPr>
          <w:t xml:space="preserve">Table 6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noProof/>
          </w:rPr>
          <w:t>Main permanent discretionary measures 2025-2026</w:t>
        </w:r>
        <w:r w:rsidR="00C13ACE">
          <w:rPr>
            <w:noProof/>
            <w:webHidden/>
          </w:rPr>
          <w:tab/>
        </w:r>
        <w:r w:rsidR="00C13ACE">
          <w:rPr>
            <w:noProof/>
            <w:webHidden/>
          </w:rPr>
          <w:fldChar w:fldCharType="begin"/>
        </w:r>
        <w:r w:rsidR="00C13ACE">
          <w:rPr>
            <w:noProof/>
            <w:webHidden/>
          </w:rPr>
          <w:instrText xml:space="preserve"> PAGEREF _Toc211355100 \h </w:instrText>
        </w:r>
        <w:r w:rsidR="00C13ACE">
          <w:rPr>
            <w:noProof/>
            <w:webHidden/>
          </w:rPr>
        </w:r>
        <w:r w:rsidR="00C13ACE">
          <w:rPr>
            <w:noProof/>
            <w:webHidden/>
          </w:rPr>
          <w:fldChar w:fldCharType="separate"/>
        </w:r>
        <w:r w:rsidR="00AF0E6B">
          <w:rPr>
            <w:noProof/>
            <w:webHidden/>
          </w:rPr>
          <w:t>30</w:t>
        </w:r>
        <w:r w:rsidR="00C13ACE">
          <w:rPr>
            <w:noProof/>
            <w:webHidden/>
          </w:rPr>
          <w:fldChar w:fldCharType="end"/>
        </w:r>
      </w:hyperlink>
    </w:p>
    <w:p w14:paraId="542A49F8" w14:textId="60C33588" w:rsidR="00C13ACE" w:rsidRDefault="00D06AE5">
      <w:pPr>
        <w:pStyle w:val="af"/>
        <w:tabs>
          <w:tab w:val="right" w:leader="dot" w:pos="8834"/>
        </w:tabs>
        <w:rPr>
          <w:rFonts w:asciiTheme="minorHAnsi" w:hAnsiTheme="minorHAnsi"/>
          <w:noProof/>
          <w:sz w:val="22"/>
        </w:rPr>
      </w:pPr>
      <w:hyperlink w:anchor="_Toc211355101" w:history="1">
        <w:r w:rsidR="00C13ACE" w:rsidRPr="008C7E85">
          <w:rPr>
            <w:rStyle w:val="-"/>
            <w:noProof/>
          </w:rPr>
          <w:t xml:space="preserve">Table 7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noProof/>
          </w:rPr>
          <w:t>RRF grants</w:t>
        </w:r>
        <w:r w:rsidR="000D2C66">
          <w:rPr>
            <w:rStyle w:val="-"/>
            <w:noProof/>
            <w:lang w:val="en-US"/>
          </w:rPr>
          <w:t xml:space="preserve"> </w:t>
        </w:r>
        <w:r w:rsidR="00C13ACE">
          <w:rPr>
            <w:noProof/>
            <w:webHidden/>
          </w:rPr>
          <w:tab/>
        </w:r>
        <w:r w:rsidR="00C13ACE">
          <w:rPr>
            <w:noProof/>
            <w:webHidden/>
          </w:rPr>
          <w:fldChar w:fldCharType="begin"/>
        </w:r>
        <w:r w:rsidR="00C13ACE">
          <w:rPr>
            <w:noProof/>
            <w:webHidden/>
          </w:rPr>
          <w:instrText xml:space="preserve"> PAGEREF _Toc211355101 \h </w:instrText>
        </w:r>
        <w:r w:rsidR="00C13ACE">
          <w:rPr>
            <w:noProof/>
            <w:webHidden/>
          </w:rPr>
        </w:r>
        <w:r w:rsidR="00C13ACE">
          <w:rPr>
            <w:noProof/>
            <w:webHidden/>
          </w:rPr>
          <w:fldChar w:fldCharType="separate"/>
        </w:r>
        <w:r w:rsidR="00AF0E6B">
          <w:rPr>
            <w:noProof/>
            <w:webHidden/>
          </w:rPr>
          <w:t>37</w:t>
        </w:r>
        <w:r w:rsidR="00C13ACE">
          <w:rPr>
            <w:noProof/>
            <w:webHidden/>
          </w:rPr>
          <w:fldChar w:fldCharType="end"/>
        </w:r>
      </w:hyperlink>
    </w:p>
    <w:p w14:paraId="75648BB4" w14:textId="095B7706" w:rsidR="00C13ACE" w:rsidRDefault="00D06AE5">
      <w:pPr>
        <w:pStyle w:val="af"/>
        <w:tabs>
          <w:tab w:val="right" w:leader="dot" w:pos="8834"/>
        </w:tabs>
        <w:rPr>
          <w:rFonts w:asciiTheme="minorHAnsi" w:hAnsiTheme="minorHAnsi"/>
          <w:noProof/>
          <w:sz w:val="22"/>
        </w:rPr>
      </w:pPr>
      <w:hyperlink w:anchor="_Toc211355102" w:history="1">
        <w:r w:rsidR="00C13ACE" w:rsidRPr="008C7E85">
          <w:rPr>
            <w:rStyle w:val="-"/>
            <w:noProof/>
          </w:rPr>
          <w:t xml:space="preserve">Table 8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noProof/>
          </w:rPr>
          <w:t>RRF loans</w:t>
        </w:r>
        <w:r w:rsidR="00C13ACE">
          <w:rPr>
            <w:noProof/>
            <w:webHidden/>
          </w:rPr>
          <w:tab/>
        </w:r>
        <w:r w:rsidR="00C13ACE">
          <w:rPr>
            <w:noProof/>
            <w:webHidden/>
          </w:rPr>
          <w:fldChar w:fldCharType="begin"/>
        </w:r>
        <w:r w:rsidR="00C13ACE">
          <w:rPr>
            <w:noProof/>
            <w:webHidden/>
          </w:rPr>
          <w:instrText xml:space="preserve"> PAGEREF _Toc211355102 \h </w:instrText>
        </w:r>
        <w:r w:rsidR="00C13ACE">
          <w:rPr>
            <w:noProof/>
            <w:webHidden/>
          </w:rPr>
        </w:r>
        <w:r w:rsidR="00C13ACE">
          <w:rPr>
            <w:noProof/>
            <w:webHidden/>
          </w:rPr>
          <w:fldChar w:fldCharType="separate"/>
        </w:r>
        <w:r w:rsidR="00AF0E6B">
          <w:rPr>
            <w:noProof/>
            <w:webHidden/>
          </w:rPr>
          <w:t>37</w:t>
        </w:r>
        <w:r w:rsidR="00C13ACE">
          <w:rPr>
            <w:noProof/>
            <w:webHidden/>
          </w:rPr>
          <w:fldChar w:fldCharType="end"/>
        </w:r>
      </w:hyperlink>
    </w:p>
    <w:p w14:paraId="2D5065B6" w14:textId="1EFBE5BD" w:rsidR="00C13ACE" w:rsidRDefault="00D06AE5">
      <w:pPr>
        <w:pStyle w:val="af"/>
        <w:tabs>
          <w:tab w:val="right" w:leader="dot" w:pos="8834"/>
        </w:tabs>
        <w:rPr>
          <w:rFonts w:asciiTheme="minorHAnsi" w:hAnsiTheme="minorHAnsi"/>
          <w:noProof/>
          <w:sz w:val="22"/>
        </w:rPr>
      </w:pPr>
      <w:hyperlink w:anchor="_Toc211355103" w:history="1">
        <w:r w:rsidR="00C13ACE" w:rsidRPr="008C7E85">
          <w:rPr>
            <w:rStyle w:val="-"/>
            <w:noProof/>
          </w:rPr>
          <w:t xml:space="preserve">Table 9 </w:t>
        </w:r>
        <w:r w:rsidR="00C13ACE">
          <w:rPr>
            <w:rStyle w:val="-"/>
            <w:noProof/>
            <w:lang w:val="en-US"/>
          </w:rPr>
          <w:t xml:space="preserve"> </w:t>
        </w:r>
        <w:r w:rsidR="00C13ACE" w:rsidRPr="008C7E85">
          <w:rPr>
            <w:rStyle w:val="-"/>
            <w:noProof/>
          </w:rPr>
          <w:t xml:space="preserve"> </w:t>
        </w:r>
        <w:r w:rsidR="00C13ACE">
          <w:rPr>
            <w:rStyle w:val="-"/>
            <w:noProof/>
            <w:lang w:val="en-US"/>
          </w:rPr>
          <w:t xml:space="preserve"> </w:t>
        </w:r>
        <w:r w:rsidR="00C13ACE" w:rsidRPr="008C7E85">
          <w:rPr>
            <w:rStyle w:val="-"/>
            <w:noProof/>
            <w:lang w:val="en-GB"/>
          </w:rPr>
          <w:t>Scenarios simulated for distributional analysis</w:t>
        </w:r>
        <w:r w:rsidR="00C13ACE">
          <w:rPr>
            <w:noProof/>
            <w:webHidden/>
          </w:rPr>
          <w:tab/>
        </w:r>
        <w:r w:rsidR="00C13ACE">
          <w:rPr>
            <w:noProof/>
            <w:webHidden/>
          </w:rPr>
          <w:fldChar w:fldCharType="begin"/>
        </w:r>
        <w:r w:rsidR="00C13ACE">
          <w:rPr>
            <w:noProof/>
            <w:webHidden/>
          </w:rPr>
          <w:instrText xml:space="preserve"> PAGEREF _Toc211355103 \h </w:instrText>
        </w:r>
        <w:r w:rsidR="00C13ACE">
          <w:rPr>
            <w:noProof/>
            <w:webHidden/>
          </w:rPr>
        </w:r>
        <w:r w:rsidR="00C13ACE">
          <w:rPr>
            <w:noProof/>
            <w:webHidden/>
          </w:rPr>
          <w:fldChar w:fldCharType="separate"/>
        </w:r>
        <w:r w:rsidR="00AF0E6B">
          <w:rPr>
            <w:noProof/>
            <w:webHidden/>
          </w:rPr>
          <w:t>38</w:t>
        </w:r>
        <w:r w:rsidR="00C13ACE">
          <w:rPr>
            <w:noProof/>
            <w:webHidden/>
          </w:rPr>
          <w:fldChar w:fldCharType="end"/>
        </w:r>
      </w:hyperlink>
    </w:p>
    <w:p w14:paraId="005AD18F" w14:textId="3647D04D" w:rsidR="00C13ACE" w:rsidRDefault="00D06AE5">
      <w:pPr>
        <w:pStyle w:val="af"/>
        <w:tabs>
          <w:tab w:val="right" w:leader="dot" w:pos="8834"/>
        </w:tabs>
        <w:rPr>
          <w:rFonts w:asciiTheme="minorHAnsi" w:hAnsiTheme="minorHAnsi"/>
          <w:noProof/>
          <w:sz w:val="22"/>
        </w:rPr>
      </w:pPr>
      <w:hyperlink w:anchor="_Toc211355104" w:history="1">
        <w:r w:rsidR="00C13ACE" w:rsidRPr="008C7E85">
          <w:rPr>
            <w:rStyle w:val="-"/>
            <w:noProof/>
          </w:rPr>
          <w:t>Table 10  Mean annual equivalised disposable income, relative and absolute changes</w:t>
        </w:r>
        <w:r w:rsidR="00C13ACE">
          <w:rPr>
            <w:noProof/>
            <w:webHidden/>
          </w:rPr>
          <w:tab/>
        </w:r>
        <w:r w:rsidR="00C13ACE">
          <w:rPr>
            <w:noProof/>
            <w:webHidden/>
          </w:rPr>
          <w:fldChar w:fldCharType="begin"/>
        </w:r>
        <w:r w:rsidR="00C13ACE">
          <w:rPr>
            <w:noProof/>
            <w:webHidden/>
          </w:rPr>
          <w:instrText xml:space="preserve"> PAGEREF _Toc211355104 \h </w:instrText>
        </w:r>
        <w:r w:rsidR="00C13ACE">
          <w:rPr>
            <w:noProof/>
            <w:webHidden/>
          </w:rPr>
        </w:r>
        <w:r w:rsidR="00C13ACE">
          <w:rPr>
            <w:noProof/>
            <w:webHidden/>
          </w:rPr>
          <w:fldChar w:fldCharType="separate"/>
        </w:r>
        <w:r w:rsidR="00AF0E6B">
          <w:rPr>
            <w:noProof/>
            <w:webHidden/>
          </w:rPr>
          <w:t>39</w:t>
        </w:r>
        <w:r w:rsidR="00C13ACE">
          <w:rPr>
            <w:noProof/>
            <w:webHidden/>
          </w:rPr>
          <w:fldChar w:fldCharType="end"/>
        </w:r>
      </w:hyperlink>
    </w:p>
    <w:p w14:paraId="372617A4" w14:textId="6513BF94" w:rsidR="00C13ACE" w:rsidRDefault="00D06AE5">
      <w:pPr>
        <w:pStyle w:val="af"/>
        <w:tabs>
          <w:tab w:val="right" w:leader="dot" w:pos="8834"/>
        </w:tabs>
        <w:rPr>
          <w:rFonts w:asciiTheme="minorHAnsi" w:hAnsiTheme="minorHAnsi"/>
          <w:noProof/>
          <w:sz w:val="22"/>
        </w:rPr>
      </w:pPr>
      <w:hyperlink w:anchor="_Toc211355105" w:history="1">
        <w:r w:rsidR="00C13ACE" w:rsidRPr="008C7E85">
          <w:rPr>
            <w:rStyle w:val="-"/>
            <w:noProof/>
          </w:rPr>
          <w:t>Table 11  Average tax burden, relative changes</w:t>
        </w:r>
        <w:r w:rsidR="00C13ACE">
          <w:rPr>
            <w:noProof/>
            <w:webHidden/>
          </w:rPr>
          <w:tab/>
        </w:r>
        <w:r w:rsidR="00C13ACE">
          <w:rPr>
            <w:noProof/>
            <w:webHidden/>
          </w:rPr>
          <w:fldChar w:fldCharType="begin"/>
        </w:r>
        <w:r w:rsidR="00C13ACE">
          <w:rPr>
            <w:noProof/>
            <w:webHidden/>
          </w:rPr>
          <w:instrText xml:space="preserve"> PAGEREF _Toc211355105 \h </w:instrText>
        </w:r>
        <w:r w:rsidR="00C13ACE">
          <w:rPr>
            <w:noProof/>
            <w:webHidden/>
          </w:rPr>
        </w:r>
        <w:r w:rsidR="00C13ACE">
          <w:rPr>
            <w:noProof/>
            <w:webHidden/>
          </w:rPr>
          <w:fldChar w:fldCharType="separate"/>
        </w:r>
        <w:r w:rsidR="00AF0E6B">
          <w:rPr>
            <w:noProof/>
            <w:webHidden/>
          </w:rPr>
          <w:t>40</w:t>
        </w:r>
        <w:r w:rsidR="00C13ACE">
          <w:rPr>
            <w:noProof/>
            <w:webHidden/>
          </w:rPr>
          <w:fldChar w:fldCharType="end"/>
        </w:r>
      </w:hyperlink>
    </w:p>
    <w:p w14:paraId="4B65CD5D" w14:textId="1C2385B5" w:rsidR="00C13ACE" w:rsidRDefault="00D06AE5">
      <w:pPr>
        <w:pStyle w:val="af"/>
        <w:tabs>
          <w:tab w:val="right" w:leader="dot" w:pos="8834"/>
        </w:tabs>
        <w:rPr>
          <w:rFonts w:asciiTheme="minorHAnsi" w:hAnsiTheme="minorHAnsi"/>
          <w:noProof/>
          <w:sz w:val="22"/>
        </w:rPr>
      </w:pPr>
      <w:hyperlink w:anchor="_Toc211355106" w:history="1">
        <w:r w:rsidR="00C13ACE" w:rsidRPr="008C7E85">
          <w:rPr>
            <w:rStyle w:val="-"/>
            <w:noProof/>
          </w:rPr>
          <w:t xml:space="preserve">Table 12  </w:t>
        </w:r>
        <w:r w:rsidR="00C13ACE" w:rsidRPr="008C7E85">
          <w:rPr>
            <w:rStyle w:val="-"/>
            <w:noProof/>
            <w:lang w:val="en-GB"/>
          </w:rPr>
          <w:t>Inequality indices</w:t>
        </w:r>
        <w:r w:rsidR="00C13ACE">
          <w:rPr>
            <w:noProof/>
            <w:webHidden/>
          </w:rPr>
          <w:tab/>
        </w:r>
        <w:r w:rsidR="00C13ACE">
          <w:rPr>
            <w:noProof/>
            <w:webHidden/>
          </w:rPr>
          <w:fldChar w:fldCharType="begin"/>
        </w:r>
        <w:r w:rsidR="00C13ACE">
          <w:rPr>
            <w:noProof/>
            <w:webHidden/>
          </w:rPr>
          <w:instrText xml:space="preserve"> PAGEREF _Toc211355106 \h </w:instrText>
        </w:r>
        <w:r w:rsidR="00C13ACE">
          <w:rPr>
            <w:noProof/>
            <w:webHidden/>
          </w:rPr>
        </w:r>
        <w:r w:rsidR="00C13ACE">
          <w:rPr>
            <w:noProof/>
            <w:webHidden/>
          </w:rPr>
          <w:fldChar w:fldCharType="separate"/>
        </w:r>
        <w:r w:rsidR="00AF0E6B">
          <w:rPr>
            <w:noProof/>
            <w:webHidden/>
          </w:rPr>
          <w:t>40</w:t>
        </w:r>
        <w:r w:rsidR="00C13ACE">
          <w:rPr>
            <w:noProof/>
            <w:webHidden/>
          </w:rPr>
          <w:fldChar w:fldCharType="end"/>
        </w:r>
      </w:hyperlink>
    </w:p>
    <w:p w14:paraId="1B844865" w14:textId="6E9A759A" w:rsidR="00C13ACE" w:rsidRDefault="00D06AE5">
      <w:pPr>
        <w:pStyle w:val="af"/>
        <w:tabs>
          <w:tab w:val="right" w:leader="dot" w:pos="8834"/>
        </w:tabs>
        <w:rPr>
          <w:rFonts w:asciiTheme="minorHAnsi" w:hAnsiTheme="minorHAnsi"/>
          <w:noProof/>
          <w:sz w:val="22"/>
        </w:rPr>
      </w:pPr>
      <w:hyperlink w:anchor="_Toc211355107" w:history="1">
        <w:r w:rsidR="00C13ACE" w:rsidRPr="008C7E85">
          <w:rPr>
            <w:rStyle w:val="-"/>
            <w:noProof/>
          </w:rPr>
          <w:t>Table 13  FGT(0) poverty headcount index</w:t>
        </w:r>
        <w:r w:rsidR="000D2C66">
          <w:rPr>
            <w:rStyle w:val="-"/>
            <w:noProof/>
            <w:lang w:val="en-US"/>
          </w:rPr>
          <w:t xml:space="preserve"> </w:t>
        </w:r>
        <w:r w:rsidR="00C13ACE">
          <w:rPr>
            <w:noProof/>
            <w:webHidden/>
          </w:rPr>
          <w:tab/>
        </w:r>
        <w:r w:rsidR="00C13ACE">
          <w:rPr>
            <w:noProof/>
            <w:webHidden/>
          </w:rPr>
          <w:fldChar w:fldCharType="begin"/>
        </w:r>
        <w:r w:rsidR="00C13ACE">
          <w:rPr>
            <w:noProof/>
            <w:webHidden/>
          </w:rPr>
          <w:instrText xml:space="preserve"> PAGEREF _Toc211355107 \h </w:instrText>
        </w:r>
        <w:r w:rsidR="00C13ACE">
          <w:rPr>
            <w:noProof/>
            <w:webHidden/>
          </w:rPr>
        </w:r>
        <w:r w:rsidR="00C13ACE">
          <w:rPr>
            <w:noProof/>
            <w:webHidden/>
          </w:rPr>
          <w:fldChar w:fldCharType="separate"/>
        </w:r>
        <w:r w:rsidR="00AF0E6B">
          <w:rPr>
            <w:noProof/>
            <w:webHidden/>
          </w:rPr>
          <w:t>41</w:t>
        </w:r>
        <w:r w:rsidR="00C13ACE">
          <w:rPr>
            <w:noProof/>
            <w:webHidden/>
          </w:rPr>
          <w:fldChar w:fldCharType="end"/>
        </w:r>
      </w:hyperlink>
    </w:p>
    <w:p w14:paraId="3CDA1BD7" w14:textId="7B683496" w:rsidR="00C13ACE" w:rsidRDefault="00D06AE5">
      <w:pPr>
        <w:pStyle w:val="af"/>
        <w:tabs>
          <w:tab w:val="right" w:leader="dot" w:pos="8834"/>
        </w:tabs>
        <w:rPr>
          <w:rFonts w:asciiTheme="minorHAnsi" w:hAnsiTheme="minorHAnsi"/>
          <w:noProof/>
          <w:sz w:val="22"/>
        </w:rPr>
      </w:pPr>
      <w:hyperlink w:anchor="_Toc211355108" w:history="1">
        <w:r w:rsidR="00C13ACE" w:rsidRPr="008C7E85">
          <w:rPr>
            <w:rStyle w:val="-"/>
            <w:noProof/>
          </w:rPr>
          <w:t>Table 14  FGT(1) poverty gap</w:t>
        </w:r>
        <w:r w:rsidR="000D2C66">
          <w:rPr>
            <w:rStyle w:val="-"/>
            <w:noProof/>
            <w:lang w:val="en-US"/>
          </w:rPr>
          <w:t xml:space="preserve"> </w:t>
        </w:r>
        <w:r w:rsidR="00C13ACE">
          <w:rPr>
            <w:noProof/>
            <w:webHidden/>
          </w:rPr>
          <w:tab/>
        </w:r>
        <w:r w:rsidR="00C13ACE">
          <w:rPr>
            <w:noProof/>
            <w:webHidden/>
          </w:rPr>
          <w:fldChar w:fldCharType="begin"/>
        </w:r>
        <w:r w:rsidR="00C13ACE">
          <w:rPr>
            <w:noProof/>
            <w:webHidden/>
          </w:rPr>
          <w:instrText xml:space="preserve"> PAGEREF _Toc211355108 \h </w:instrText>
        </w:r>
        <w:r w:rsidR="00C13ACE">
          <w:rPr>
            <w:noProof/>
            <w:webHidden/>
          </w:rPr>
        </w:r>
        <w:r w:rsidR="00C13ACE">
          <w:rPr>
            <w:noProof/>
            <w:webHidden/>
          </w:rPr>
          <w:fldChar w:fldCharType="separate"/>
        </w:r>
        <w:r w:rsidR="00AF0E6B">
          <w:rPr>
            <w:noProof/>
            <w:webHidden/>
          </w:rPr>
          <w:t>41</w:t>
        </w:r>
        <w:r w:rsidR="00C13ACE">
          <w:rPr>
            <w:noProof/>
            <w:webHidden/>
          </w:rPr>
          <w:fldChar w:fldCharType="end"/>
        </w:r>
      </w:hyperlink>
    </w:p>
    <w:p w14:paraId="166AD615" w14:textId="576D663D" w:rsidR="00C13ACE" w:rsidRDefault="00D06AE5">
      <w:pPr>
        <w:pStyle w:val="af"/>
        <w:tabs>
          <w:tab w:val="right" w:leader="dot" w:pos="8834"/>
        </w:tabs>
        <w:rPr>
          <w:rFonts w:asciiTheme="minorHAnsi" w:hAnsiTheme="minorHAnsi"/>
          <w:noProof/>
          <w:sz w:val="22"/>
        </w:rPr>
      </w:pPr>
      <w:hyperlink w:anchor="_Toc211355109" w:history="1">
        <w:r w:rsidR="00C13ACE" w:rsidRPr="008C7E85">
          <w:rPr>
            <w:rStyle w:val="-"/>
            <w:noProof/>
          </w:rPr>
          <w:t>Table 15  FGT(0) poverty headcount index</w:t>
        </w:r>
        <w:r w:rsidR="000D2C66">
          <w:rPr>
            <w:rStyle w:val="-"/>
            <w:noProof/>
            <w:lang w:val="en-US"/>
          </w:rPr>
          <w:t xml:space="preserve"> </w:t>
        </w:r>
        <w:r w:rsidR="00C13ACE">
          <w:rPr>
            <w:noProof/>
            <w:webHidden/>
          </w:rPr>
          <w:tab/>
        </w:r>
        <w:r w:rsidR="00C13ACE">
          <w:rPr>
            <w:noProof/>
            <w:webHidden/>
          </w:rPr>
          <w:fldChar w:fldCharType="begin"/>
        </w:r>
        <w:r w:rsidR="00C13ACE">
          <w:rPr>
            <w:noProof/>
            <w:webHidden/>
          </w:rPr>
          <w:instrText xml:space="preserve"> PAGEREF _Toc211355109 \h </w:instrText>
        </w:r>
        <w:r w:rsidR="00C13ACE">
          <w:rPr>
            <w:noProof/>
            <w:webHidden/>
          </w:rPr>
        </w:r>
        <w:r w:rsidR="00C13ACE">
          <w:rPr>
            <w:noProof/>
            <w:webHidden/>
          </w:rPr>
          <w:fldChar w:fldCharType="separate"/>
        </w:r>
        <w:r w:rsidR="00AF0E6B">
          <w:rPr>
            <w:noProof/>
            <w:webHidden/>
          </w:rPr>
          <w:t>41</w:t>
        </w:r>
        <w:r w:rsidR="00C13ACE">
          <w:rPr>
            <w:noProof/>
            <w:webHidden/>
          </w:rPr>
          <w:fldChar w:fldCharType="end"/>
        </w:r>
      </w:hyperlink>
    </w:p>
    <w:p w14:paraId="1BA3A857" w14:textId="3B2D33F0" w:rsidR="00C13ACE" w:rsidRDefault="00D06AE5">
      <w:pPr>
        <w:pStyle w:val="af"/>
        <w:tabs>
          <w:tab w:val="right" w:leader="dot" w:pos="8834"/>
        </w:tabs>
        <w:rPr>
          <w:rFonts w:asciiTheme="minorHAnsi" w:hAnsiTheme="minorHAnsi"/>
          <w:noProof/>
          <w:sz w:val="22"/>
        </w:rPr>
      </w:pPr>
      <w:hyperlink w:anchor="_Toc211355110" w:history="1">
        <w:r w:rsidR="00C13ACE" w:rsidRPr="008C7E85">
          <w:rPr>
            <w:rStyle w:val="-"/>
            <w:noProof/>
          </w:rPr>
          <w:t>Table 16  Macroeconomic scenario</w:t>
        </w:r>
        <w:r w:rsidR="00C13ACE">
          <w:rPr>
            <w:noProof/>
            <w:webHidden/>
          </w:rPr>
          <w:tab/>
        </w:r>
        <w:r w:rsidR="00C13ACE">
          <w:rPr>
            <w:noProof/>
            <w:webHidden/>
          </w:rPr>
          <w:fldChar w:fldCharType="begin"/>
        </w:r>
        <w:r w:rsidR="00C13ACE">
          <w:rPr>
            <w:noProof/>
            <w:webHidden/>
          </w:rPr>
          <w:instrText xml:space="preserve"> PAGEREF _Toc211355110 \h </w:instrText>
        </w:r>
        <w:r w:rsidR="00C13ACE">
          <w:rPr>
            <w:noProof/>
            <w:webHidden/>
          </w:rPr>
        </w:r>
        <w:r w:rsidR="00C13ACE">
          <w:rPr>
            <w:noProof/>
            <w:webHidden/>
          </w:rPr>
          <w:fldChar w:fldCharType="separate"/>
        </w:r>
        <w:r w:rsidR="00AF0E6B">
          <w:rPr>
            <w:noProof/>
            <w:webHidden/>
          </w:rPr>
          <w:t>67</w:t>
        </w:r>
        <w:r w:rsidR="00C13ACE">
          <w:rPr>
            <w:noProof/>
            <w:webHidden/>
          </w:rPr>
          <w:fldChar w:fldCharType="end"/>
        </w:r>
      </w:hyperlink>
    </w:p>
    <w:p w14:paraId="707DDABC" w14:textId="1AB7CFF4" w:rsidR="00C13ACE" w:rsidRDefault="00D06AE5">
      <w:pPr>
        <w:pStyle w:val="af"/>
        <w:tabs>
          <w:tab w:val="right" w:leader="dot" w:pos="8834"/>
        </w:tabs>
        <w:rPr>
          <w:rFonts w:asciiTheme="minorHAnsi" w:hAnsiTheme="minorHAnsi"/>
          <w:noProof/>
          <w:sz w:val="22"/>
        </w:rPr>
      </w:pPr>
      <w:hyperlink w:anchor="_Toc211355111" w:history="1">
        <w:r w:rsidR="00C13ACE" w:rsidRPr="008C7E85">
          <w:rPr>
            <w:rStyle w:val="-"/>
            <w:noProof/>
          </w:rPr>
          <w:t>Table 17  External assumptions</w:t>
        </w:r>
        <w:r w:rsidR="00C13ACE">
          <w:rPr>
            <w:noProof/>
            <w:webHidden/>
          </w:rPr>
          <w:tab/>
        </w:r>
        <w:r w:rsidR="00C13ACE">
          <w:rPr>
            <w:noProof/>
            <w:webHidden/>
          </w:rPr>
          <w:fldChar w:fldCharType="begin"/>
        </w:r>
        <w:r w:rsidR="00C13ACE">
          <w:rPr>
            <w:noProof/>
            <w:webHidden/>
          </w:rPr>
          <w:instrText xml:space="preserve"> PAGEREF _Toc211355111 \h </w:instrText>
        </w:r>
        <w:r w:rsidR="00C13ACE">
          <w:rPr>
            <w:noProof/>
            <w:webHidden/>
          </w:rPr>
        </w:r>
        <w:r w:rsidR="00C13ACE">
          <w:rPr>
            <w:noProof/>
            <w:webHidden/>
          </w:rPr>
          <w:fldChar w:fldCharType="separate"/>
        </w:r>
        <w:r w:rsidR="00AF0E6B">
          <w:rPr>
            <w:noProof/>
            <w:webHidden/>
          </w:rPr>
          <w:t>68</w:t>
        </w:r>
        <w:r w:rsidR="00C13ACE">
          <w:rPr>
            <w:noProof/>
            <w:webHidden/>
          </w:rPr>
          <w:fldChar w:fldCharType="end"/>
        </w:r>
      </w:hyperlink>
    </w:p>
    <w:p w14:paraId="273D42ED" w14:textId="6D4D1362" w:rsidR="00C13ACE" w:rsidRDefault="00D06AE5">
      <w:pPr>
        <w:pStyle w:val="af"/>
        <w:tabs>
          <w:tab w:val="right" w:leader="dot" w:pos="8834"/>
        </w:tabs>
        <w:rPr>
          <w:rFonts w:asciiTheme="minorHAnsi" w:hAnsiTheme="minorHAnsi"/>
          <w:noProof/>
          <w:sz w:val="22"/>
        </w:rPr>
      </w:pPr>
      <w:hyperlink w:anchor="_Toc211355112" w:history="1">
        <w:r w:rsidR="00C13ACE" w:rsidRPr="008C7E85">
          <w:rPr>
            <w:rStyle w:val="-"/>
            <w:noProof/>
          </w:rPr>
          <w:t>Table 18  Budgetary projections under unchanged policies</w:t>
        </w:r>
        <w:r w:rsidR="00C13ACE">
          <w:rPr>
            <w:noProof/>
            <w:webHidden/>
          </w:rPr>
          <w:tab/>
        </w:r>
        <w:r w:rsidR="00C13ACE">
          <w:rPr>
            <w:noProof/>
            <w:webHidden/>
          </w:rPr>
          <w:fldChar w:fldCharType="begin"/>
        </w:r>
        <w:r w:rsidR="00C13ACE">
          <w:rPr>
            <w:noProof/>
            <w:webHidden/>
          </w:rPr>
          <w:instrText xml:space="preserve"> PAGEREF _Toc211355112 \h </w:instrText>
        </w:r>
        <w:r w:rsidR="00C13ACE">
          <w:rPr>
            <w:noProof/>
            <w:webHidden/>
          </w:rPr>
        </w:r>
        <w:r w:rsidR="00C13ACE">
          <w:rPr>
            <w:noProof/>
            <w:webHidden/>
          </w:rPr>
          <w:fldChar w:fldCharType="separate"/>
        </w:r>
        <w:r w:rsidR="00AF0E6B">
          <w:rPr>
            <w:noProof/>
            <w:webHidden/>
          </w:rPr>
          <w:t>69</w:t>
        </w:r>
        <w:r w:rsidR="00C13ACE">
          <w:rPr>
            <w:noProof/>
            <w:webHidden/>
          </w:rPr>
          <w:fldChar w:fldCharType="end"/>
        </w:r>
      </w:hyperlink>
    </w:p>
    <w:p w14:paraId="743D55D6" w14:textId="752C951A" w:rsidR="00C13ACE" w:rsidRDefault="00D06AE5">
      <w:pPr>
        <w:pStyle w:val="af"/>
        <w:tabs>
          <w:tab w:val="right" w:leader="dot" w:pos="8834"/>
        </w:tabs>
        <w:rPr>
          <w:rFonts w:asciiTheme="minorHAnsi" w:hAnsiTheme="minorHAnsi"/>
          <w:noProof/>
          <w:sz w:val="22"/>
        </w:rPr>
      </w:pPr>
      <w:hyperlink w:anchor="_Toc211355113" w:history="1">
        <w:r w:rsidR="00C13ACE" w:rsidRPr="008C7E85">
          <w:rPr>
            <w:rStyle w:val="-"/>
            <w:noProof/>
          </w:rPr>
          <w:t>Table 19  Discretionary revenue measures</w:t>
        </w:r>
        <w:r w:rsidR="00C13ACE">
          <w:rPr>
            <w:rStyle w:val="-"/>
            <w:noProof/>
            <w:lang w:val="en-US"/>
          </w:rPr>
          <w:t xml:space="preserve"> </w:t>
        </w:r>
        <w:r w:rsidR="00C13ACE">
          <w:rPr>
            <w:noProof/>
            <w:webHidden/>
          </w:rPr>
          <w:tab/>
        </w:r>
        <w:r w:rsidR="00C13ACE">
          <w:rPr>
            <w:noProof/>
            <w:webHidden/>
          </w:rPr>
          <w:fldChar w:fldCharType="begin"/>
        </w:r>
        <w:r w:rsidR="00C13ACE">
          <w:rPr>
            <w:noProof/>
            <w:webHidden/>
          </w:rPr>
          <w:instrText xml:space="preserve"> PAGEREF _Toc211355113 \h </w:instrText>
        </w:r>
        <w:r w:rsidR="00C13ACE">
          <w:rPr>
            <w:noProof/>
            <w:webHidden/>
          </w:rPr>
        </w:r>
        <w:r w:rsidR="00C13ACE">
          <w:rPr>
            <w:noProof/>
            <w:webHidden/>
          </w:rPr>
          <w:fldChar w:fldCharType="separate"/>
        </w:r>
        <w:r w:rsidR="00AF0E6B">
          <w:rPr>
            <w:noProof/>
            <w:webHidden/>
          </w:rPr>
          <w:t>70</w:t>
        </w:r>
        <w:r w:rsidR="00C13ACE">
          <w:rPr>
            <w:noProof/>
            <w:webHidden/>
          </w:rPr>
          <w:fldChar w:fldCharType="end"/>
        </w:r>
      </w:hyperlink>
    </w:p>
    <w:p w14:paraId="7012E77A" w14:textId="04382370" w:rsidR="00C13ACE" w:rsidRDefault="00D06AE5">
      <w:pPr>
        <w:pStyle w:val="af"/>
        <w:tabs>
          <w:tab w:val="right" w:leader="dot" w:pos="8834"/>
        </w:tabs>
        <w:rPr>
          <w:rFonts w:asciiTheme="minorHAnsi" w:hAnsiTheme="minorHAnsi"/>
          <w:noProof/>
          <w:sz w:val="22"/>
        </w:rPr>
      </w:pPr>
      <w:hyperlink w:anchor="_Toc211355114" w:history="1">
        <w:r w:rsidR="00C13ACE" w:rsidRPr="008C7E85">
          <w:rPr>
            <w:rStyle w:val="-"/>
            <w:noProof/>
          </w:rPr>
          <w:t>Table 20  One-off expenditures</w:t>
        </w:r>
        <w:r w:rsidR="00C13ACE">
          <w:rPr>
            <w:noProof/>
            <w:webHidden/>
          </w:rPr>
          <w:tab/>
        </w:r>
        <w:r w:rsidR="00C13ACE">
          <w:rPr>
            <w:noProof/>
            <w:webHidden/>
          </w:rPr>
          <w:fldChar w:fldCharType="begin"/>
        </w:r>
        <w:r w:rsidR="00C13ACE">
          <w:rPr>
            <w:noProof/>
            <w:webHidden/>
          </w:rPr>
          <w:instrText xml:space="preserve"> PAGEREF _Toc211355114 \h </w:instrText>
        </w:r>
        <w:r w:rsidR="00C13ACE">
          <w:rPr>
            <w:noProof/>
            <w:webHidden/>
          </w:rPr>
        </w:r>
        <w:r w:rsidR="00C13ACE">
          <w:rPr>
            <w:noProof/>
            <w:webHidden/>
          </w:rPr>
          <w:fldChar w:fldCharType="separate"/>
        </w:r>
        <w:r w:rsidR="00AF0E6B">
          <w:rPr>
            <w:noProof/>
            <w:webHidden/>
          </w:rPr>
          <w:t>71</w:t>
        </w:r>
        <w:r w:rsidR="00C13ACE">
          <w:rPr>
            <w:noProof/>
            <w:webHidden/>
          </w:rPr>
          <w:fldChar w:fldCharType="end"/>
        </w:r>
      </w:hyperlink>
    </w:p>
    <w:p w14:paraId="732EFC2F" w14:textId="749765A9" w:rsidR="005C2D96" w:rsidRDefault="00540C3A" w:rsidP="005C2D96">
      <w:pPr>
        <w:rPr>
          <w:lang w:val="en-US"/>
        </w:rPr>
      </w:pPr>
      <w:r>
        <w:rPr>
          <w:lang w:val="en-US"/>
        </w:rPr>
        <w:fldChar w:fldCharType="end"/>
      </w:r>
    </w:p>
    <w:p w14:paraId="102202D6" w14:textId="77777777" w:rsidR="007E0D49" w:rsidRDefault="007E0D49" w:rsidP="001C4468">
      <w:pPr>
        <w:rPr>
          <w:lang w:val="en-US"/>
        </w:rPr>
      </w:pPr>
    </w:p>
    <w:p w14:paraId="274C74D0" w14:textId="77777777" w:rsidR="00FB141F" w:rsidRDefault="00FB141F">
      <w:pPr>
        <w:spacing w:after="200" w:line="276" w:lineRule="auto"/>
        <w:jc w:val="left"/>
        <w:rPr>
          <w:b/>
          <w:color w:val="4F81BD" w:themeColor="accent1"/>
          <w:sz w:val="44"/>
          <w:lang w:val="en-US"/>
        </w:rPr>
      </w:pPr>
      <w:r>
        <w:rPr>
          <w:b/>
          <w:color w:val="4F81BD" w:themeColor="accent1"/>
          <w:sz w:val="44"/>
          <w:lang w:val="en-US"/>
        </w:rPr>
        <w:br w:type="page"/>
      </w:r>
    </w:p>
    <w:p w14:paraId="03D376FB" w14:textId="1F8408A5" w:rsidR="00CC3B3F" w:rsidRPr="00CC3B3F" w:rsidRDefault="00CC3B3F" w:rsidP="00CC3B3F">
      <w:pPr>
        <w:pBdr>
          <w:bottom w:val="single" w:sz="18" w:space="1" w:color="E36C0A" w:themeColor="accent6" w:themeShade="BF"/>
        </w:pBdr>
        <w:rPr>
          <w:b/>
          <w:bCs/>
          <w:lang w:val="en-US"/>
        </w:rPr>
      </w:pPr>
      <w:r>
        <w:rPr>
          <w:b/>
          <w:color w:val="4F81BD" w:themeColor="accent1"/>
          <w:sz w:val="44"/>
          <w:lang w:val="en-US"/>
        </w:rPr>
        <w:lastRenderedPageBreak/>
        <w:t>Figures</w:t>
      </w:r>
    </w:p>
    <w:p w14:paraId="23EEEB86" w14:textId="32415945" w:rsidR="000D2C66" w:rsidRDefault="00540C3A">
      <w:pPr>
        <w:pStyle w:val="af"/>
        <w:tabs>
          <w:tab w:val="right" w:leader="dot" w:pos="8834"/>
        </w:tabs>
        <w:rPr>
          <w:rFonts w:asciiTheme="minorHAnsi" w:hAnsiTheme="minorHAnsi"/>
          <w:noProof/>
          <w:sz w:val="22"/>
        </w:rPr>
      </w:pPr>
      <w:r>
        <w:rPr>
          <w:lang w:val="en-US"/>
        </w:rPr>
        <w:fldChar w:fldCharType="begin"/>
      </w:r>
      <w:r w:rsidR="007E0D49">
        <w:rPr>
          <w:lang w:val="en-US"/>
        </w:rPr>
        <w:instrText xml:space="preserve"> TOC \h \z \c "Figure" </w:instrText>
      </w:r>
      <w:r>
        <w:rPr>
          <w:lang w:val="en-US"/>
        </w:rPr>
        <w:fldChar w:fldCharType="separate"/>
      </w:r>
      <w:hyperlink w:anchor="_Toc211355194" w:history="1">
        <w:r w:rsidR="000D2C66" w:rsidRPr="003B001D">
          <w:rPr>
            <w:rStyle w:val="-"/>
            <w:noProof/>
          </w:rPr>
          <w:t xml:space="preserve">Figure 1 </w:t>
        </w:r>
        <w:r w:rsidR="000D2C66">
          <w:rPr>
            <w:rStyle w:val="-"/>
            <w:noProof/>
            <w:lang w:val="en-US"/>
          </w:rPr>
          <w:t xml:space="preserve"> </w:t>
        </w:r>
        <w:r w:rsidR="000D2C66" w:rsidRPr="003B001D">
          <w:rPr>
            <w:rStyle w:val="-"/>
            <w:noProof/>
          </w:rPr>
          <w:t xml:space="preserve"> </w:t>
        </w:r>
        <w:r w:rsidR="000D2C66">
          <w:rPr>
            <w:rStyle w:val="-"/>
            <w:noProof/>
            <w:lang w:val="en-US"/>
          </w:rPr>
          <w:t xml:space="preserve"> </w:t>
        </w:r>
        <w:r w:rsidR="000D2C66" w:rsidRPr="003B001D">
          <w:rPr>
            <w:rStyle w:val="-"/>
            <w:rFonts w:eastAsia="Times New Roman"/>
            <w:noProof/>
          </w:rPr>
          <w:t>European countries growth rates 2nd quarter 2025</w:t>
        </w:r>
        <w:r w:rsidR="000D2C66">
          <w:rPr>
            <w:rStyle w:val="-"/>
            <w:rFonts w:eastAsia="Times New Roman"/>
            <w:noProof/>
            <w:lang w:val="en-US"/>
          </w:rPr>
          <w:t xml:space="preserve"> </w:t>
        </w:r>
        <w:r w:rsidR="000D2C66">
          <w:rPr>
            <w:noProof/>
            <w:webHidden/>
          </w:rPr>
          <w:tab/>
        </w:r>
        <w:r w:rsidR="000D2C66">
          <w:rPr>
            <w:noProof/>
            <w:webHidden/>
          </w:rPr>
          <w:fldChar w:fldCharType="begin"/>
        </w:r>
        <w:r w:rsidR="000D2C66">
          <w:rPr>
            <w:noProof/>
            <w:webHidden/>
          </w:rPr>
          <w:instrText xml:space="preserve"> PAGEREF _Toc211355194 \h </w:instrText>
        </w:r>
        <w:r w:rsidR="000D2C66">
          <w:rPr>
            <w:noProof/>
            <w:webHidden/>
          </w:rPr>
        </w:r>
        <w:r w:rsidR="000D2C66">
          <w:rPr>
            <w:noProof/>
            <w:webHidden/>
          </w:rPr>
          <w:fldChar w:fldCharType="separate"/>
        </w:r>
        <w:r w:rsidR="00AF0E6B">
          <w:rPr>
            <w:noProof/>
            <w:webHidden/>
          </w:rPr>
          <w:t>7</w:t>
        </w:r>
        <w:r w:rsidR="000D2C66">
          <w:rPr>
            <w:noProof/>
            <w:webHidden/>
          </w:rPr>
          <w:fldChar w:fldCharType="end"/>
        </w:r>
      </w:hyperlink>
    </w:p>
    <w:p w14:paraId="1FCE2D01" w14:textId="7D1C39D5" w:rsidR="000D2C66" w:rsidRDefault="00D06AE5">
      <w:pPr>
        <w:pStyle w:val="af"/>
        <w:tabs>
          <w:tab w:val="right" w:leader="dot" w:pos="8834"/>
        </w:tabs>
        <w:rPr>
          <w:rFonts w:asciiTheme="minorHAnsi" w:hAnsiTheme="minorHAnsi"/>
          <w:noProof/>
          <w:sz w:val="22"/>
        </w:rPr>
      </w:pPr>
      <w:hyperlink w:anchor="_Toc211355195" w:history="1">
        <w:r w:rsidR="000D2C66" w:rsidRPr="003B001D">
          <w:rPr>
            <w:rStyle w:val="-"/>
            <w:noProof/>
          </w:rPr>
          <w:t xml:space="preserve">Figure 2 </w:t>
        </w:r>
        <w:r w:rsidR="000D2C66">
          <w:rPr>
            <w:rStyle w:val="-"/>
            <w:noProof/>
            <w:lang w:val="en-US"/>
          </w:rPr>
          <w:t xml:space="preserve"> </w:t>
        </w:r>
        <w:r w:rsidR="000D2C66" w:rsidRPr="003B001D">
          <w:rPr>
            <w:rStyle w:val="-"/>
            <w:noProof/>
          </w:rPr>
          <w:t xml:space="preserve"> </w:t>
        </w:r>
        <w:r w:rsidR="000D2C66">
          <w:rPr>
            <w:rStyle w:val="-"/>
            <w:noProof/>
            <w:lang w:val="en-US"/>
          </w:rPr>
          <w:t xml:space="preserve"> </w:t>
        </w:r>
        <w:r w:rsidR="000D2C66" w:rsidRPr="003B001D">
          <w:rPr>
            <w:rStyle w:val="-"/>
            <w:noProof/>
          </w:rPr>
          <w:t>Deviation of quarterly real GDP and GDP components 2019Q4-2025Q2</w:t>
        </w:r>
        <w:r w:rsidR="000D2C66">
          <w:rPr>
            <w:noProof/>
            <w:webHidden/>
          </w:rPr>
          <w:tab/>
        </w:r>
        <w:r w:rsidR="000D2C66">
          <w:rPr>
            <w:noProof/>
            <w:webHidden/>
          </w:rPr>
          <w:fldChar w:fldCharType="begin"/>
        </w:r>
        <w:r w:rsidR="000D2C66">
          <w:rPr>
            <w:noProof/>
            <w:webHidden/>
          </w:rPr>
          <w:instrText xml:space="preserve"> PAGEREF _Toc211355195 \h </w:instrText>
        </w:r>
        <w:r w:rsidR="000D2C66">
          <w:rPr>
            <w:noProof/>
            <w:webHidden/>
          </w:rPr>
        </w:r>
        <w:r w:rsidR="000D2C66">
          <w:rPr>
            <w:noProof/>
            <w:webHidden/>
          </w:rPr>
          <w:fldChar w:fldCharType="separate"/>
        </w:r>
        <w:r w:rsidR="00AF0E6B">
          <w:rPr>
            <w:noProof/>
            <w:webHidden/>
          </w:rPr>
          <w:t>8</w:t>
        </w:r>
        <w:r w:rsidR="000D2C66">
          <w:rPr>
            <w:noProof/>
            <w:webHidden/>
          </w:rPr>
          <w:fldChar w:fldCharType="end"/>
        </w:r>
      </w:hyperlink>
    </w:p>
    <w:p w14:paraId="43A1311E" w14:textId="3BB15B9A" w:rsidR="000D2C66" w:rsidRDefault="00D06AE5">
      <w:pPr>
        <w:pStyle w:val="af"/>
        <w:tabs>
          <w:tab w:val="right" w:leader="dot" w:pos="8834"/>
        </w:tabs>
        <w:rPr>
          <w:rFonts w:asciiTheme="minorHAnsi" w:hAnsiTheme="minorHAnsi"/>
          <w:noProof/>
          <w:sz w:val="22"/>
        </w:rPr>
      </w:pPr>
      <w:hyperlink w:anchor="_Toc211355196" w:history="1">
        <w:r w:rsidR="000D2C66" w:rsidRPr="003B001D">
          <w:rPr>
            <w:rStyle w:val="-"/>
            <w:noProof/>
          </w:rPr>
          <w:t xml:space="preserve">Figure 3 </w:t>
        </w:r>
        <w:r w:rsidR="000D2C66">
          <w:rPr>
            <w:rStyle w:val="-"/>
            <w:noProof/>
            <w:lang w:val="en-US"/>
          </w:rPr>
          <w:t xml:space="preserve">  </w:t>
        </w:r>
        <w:r w:rsidR="000D2C66" w:rsidRPr="003B001D">
          <w:rPr>
            <w:rStyle w:val="-"/>
            <w:noProof/>
          </w:rPr>
          <w:t xml:space="preserve"> Real domestic demand in the Euro Area </w:t>
        </w:r>
        <w:r w:rsidR="000D2C66" w:rsidRPr="003B001D">
          <w:rPr>
            <w:rStyle w:val="-"/>
            <w:rFonts w:cs="Arial"/>
            <w:noProof/>
          </w:rPr>
          <w:t>2024-2023</w:t>
        </w:r>
        <w:r w:rsidR="000D2C66">
          <w:rPr>
            <w:noProof/>
            <w:webHidden/>
          </w:rPr>
          <w:tab/>
        </w:r>
        <w:r w:rsidR="000D2C66">
          <w:rPr>
            <w:noProof/>
            <w:webHidden/>
          </w:rPr>
          <w:fldChar w:fldCharType="begin"/>
        </w:r>
        <w:r w:rsidR="000D2C66">
          <w:rPr>
            <w:noProof/>
            <w:webHidden/>
          </w:rPr>
          <w:instrText xml:space="preserve"> PAGEREF _Toc211355196 \h </w:instrText>
        </w:r>
        <w:r w:rsidR="000D2C66">
          <w:rPr>
            <w:noProof/>
            <w:webHidden/>
          </w:rPr>
        </w:r>
        <w:r w:rsidR="000D2C66">
          <w:rPr>
            <w:noProof/>
            <w:webHidden/>
          </w:rPr>
          <w:fldChar w:fldCharType="separate"/>
        </w:r>
        <w:r w:rsidR="00AF0E6B">
          <w:rPr>
            <w:noProof/>
            <w:webHidden/>
          </w:rPr>
          <w:t>9</w:t>
        </w:r>
        <w:r w:rsidR="000D2C66">
          <w:rPr>
            <w:noProof/>
            <w:webHidden/>
          </w:rPr>
          <w:fldChar w:fldCharType="end"/>
        </w:r>
      </w:hyperlink>
    </w:p>
    <w:p w14:paraId="19E616C1" w14:textId="01148E57" w:rsidR="000D2C66" w:rsidRDefault="00D06AE5">
      <w:pPr>
        <w:pStyle w:val="af"/>
        <w:tabs>
          <w:tab w:val="right" w:leader="dot" w:pos="8834"/>
        </w:tabs>
        <w:rPr>
          <w:rFonts w:asciiTheme="minorHAnsi" w:hAnsiTheme="minorHAnsi"/>
          <w:noProof/>
          <w:sz w:val="22"/>
        </w:rPr>
      </w:pPr>
      <w:hyperlink w:anchor="_Toc211355197" w:history="1">
        <w:r w:rsidR="000D2C66" w:rsidRPr="003B001D">
          <w:rPr>
            <w:rStyle w:val="-"/>
            <w:noProof/>
          </w:rPr>
          <w:t xml:space="preserve">Figure 4 </w:t>
        </w:r>
        <w:r w:rsidR="000D2C66">
          <w:rPr>
            <w:rStyle w:val="-"/>
            <w:noProof/>
            <w:lang w:val="en-US"/>
          </w:rPr>
          <w:t xml:space="preserve"> </w:t>
        </w:r>
        <w:r w:rsidR="000D2C66" w:rsidRPr="003B001D">
          <w:rPr>
            <w:rStyle w:val="-"/>
            <w:noProof/>
          </w:rPr>
          <w:t xml:space="preserve"> Evolution of the contribution of GDP components 2021-Q2 2025</w:t>
        </w:r>
        <w:r w:rsidR="000D2C66">
          <w:rPr>
            <w:noProof/>
            <w:webHidden/>
          </w:rPr>
          <w:tab/>
        </w:r>
        <w:r w:rsidR="000D2C66">
          <w:rPr>
            <w:noProof/>
            <w:webHidden/>
          </w:rPr>
          <w:fldChar w:fldCharType="begin"/>
        </w:r>
        <w:r w:rsidR="000D2C66">
          <w:rPr>
            <w:noProof/>
            <w:webHidden/>
          </w:rPr>
          <w:instrText xml:space="preserve"> PAGEREF _Toc211355197 \h </w:instrText>
        </w:r>
        <w:r w:rsidR="000D2C66">
          <w:rPr>
            <w:noProof/>
            <w:webHidden/>
          </w:rPr>
        </w:r>
        <w:r w:rsidR="000D2C66">
          <w:rPr>
            <w:noProof/>
            <w:webHidden/>
          </w:rPr>
          <w:fldChar w:fldCharType="separate"/>
        </w:r>
        <w:r w:rsidR="00AF0E6B">
          <w:rPr>
            <w:noProof/>
            <w:webHidden/>
          </w:rPr>
          <w:t>10</w:t>
        </w:r>
        <w:r w:rsidR="000D2C66">
          <w:rPr>
            <w:noProof/>
            <w:webHidden/>
          </w:rPr>
          <w:fldChar w:fldCharType="end"/>
        </w:r>
      </w:hyperlink>
    </w:p>
    <w:p w14:paraId="2B03AF33" w14:textId="3DCFFA09" w:rsidR="000D2C66" w:rsidRDefault="00D06AE5">
      <w:pPr>
        <w:pStyle w:val="af"/>
        <w:tabs>
          <w:tab w:val="right" w:leader="dot" w:pos="8834"/>
        </w:tabs>
        <w:rPr>
          <w:rFonts w:asciiTheme="minorHAnsi" w:hAnsiTheme="minorHAnsi"/>
          <w:noProof/>
          <w:sz w:val="22"/>
        </w:rPr>
      </w:pPr>
      <w:hyperlink w:anchor="_Toc211355198" w:history="1">
        <w:r w:rsidR="000D2C66" w:rsidRPr="003B001D">
          <w:rPr>
            <w:rStyle w:val="-"/>
            <w:noProof/>
          </w:rPr>
          <w:t xml:space="preserve">Figure 5 </w:t>
        </w:r>
        <w:r w:rsidR="000D2C66">
          <w:rPr>
            <w:rStyle w:val="-"/>
            <w:noProof/>
            <w:lang w:val="en-US"/>
          </w:rPr>
          <w:t xml:space="preserve"> </w:t>
        </w:r>
        <w:r w:rsidR="000D2C66" w:rsidRPr="003B001D">
          <w:rPr>
            <w:rStyle w:val="-"/>
            <w:noProof/>
          </w:rPr>
          <w:t xml:space="preserve"> Evolution of Gross Value Added by main industrial sectors </w:t>
        </w:r>
        <w:r w:rsidR="000D2C66" w:rsidRPr="003B001D">
          <w:rPr>
            <w:rStyle w:val="-"/>
            <w:rFonts w:cs="Arial"/>
            <w:noProof/>
          </w:rPr>
          <w:t>2022Q1-2025Q2</w:t>
        </w:r>
        <w:r w:rsidR="000D2C66">
          <w:rPr>
            <w:noProof/>
            <w:webHidden/>
          </w:rPr>
          <w:tab/>
        </w:r>
        <w:r w:rsidR="000D2C66">
          <w:rPr>
            <w:noProof/>
            <w:webHidden/>
          </w:rPr>
          <w:fldChar w:fldCharType="begin"/>
        </w:r>
        <w:r w:rsidR="000D2C66">
          <w:rPr>
            <w:noProof/>
            <w:webHidden/>
          </w:rPr>
          <w:instrText xml:space="preserve"> PAGEREF _Toc211355198 \h </w:instrText>
        </w:r>
        <w:r w:rsidR="000D2C66">
          <w:rPr>
            <w:noProof/>
            <w:webHidden/>
          </w:rPr>
        </w:r>
        <w:r w:rsidR="000D2C66">
          <w:rPr>
            <w:noProof/>
            <w:webHidden/>
          </w:rPr>
          <w:fldChar w:fldCharType="separate"/>
        </w:r>
        <w:r w:rsidR="00AF0E6B">
          <w:rPr>
            <w:noProof/>
            <w:webHidden/>
          </w:rPr>
          <w:t>11</w:t>
        </w:r>
        <w:r w:rsidR="000D2C66">
          <w:rPr>
            <w:noProof/>
            <w:webHidden/>
          </w:rPr>
          <w:fldChar w:fldCharType="end"/>
        </w:r>
      </w:hyperlink>
    </w:p>
    <w:p w14:paraId="4764FD23" w14:textId="232ED5D1" w:rsidR="000D2C66" w:rsidRDefault="00D06AE5">
      <w:pPr>
        <w:pStyle w:val="af"/>
        <w:tabs>
          <w:tab w:val="right" w:leader="dot" w:pos="8834"/>
        </w:tabs>
        <w:rPr>
          <w:rFonts w:asciiTheme="minorHAnsi" w:hAnsiTheme="minorHAnsi"/>
          <w:noProof/>
          <w:sz w:val="22"/>
        </w:rPr>
      </w:pPr>
      <w:hyperlink w:anchor="_Toc211355199" w:history="1">
        <w:r w:rsidR="000D2C66" w:rsidRPr="003B001D">
          <w:rPr>
            <w:rStyle w:val="-"/>
            <w:noProof/>
          </w:rPr>
          <w:t xml:space="preserve">Figure 6 </w:t>
        </w:r>
        <w:r w:rsidR="000D2C66">
          <w:rPr>
            <w:rStyle w:val="-"/>
            <w:noProof/>
            <w:lang w:val="en-US"/>
          </w:rPr>
          <w:t xml:space="preserve"> </w:t>
        </w:r>
        <w:r w:rsidR="000D2C66" w:rsidRPr="003B001D">
          <w:rPr>
            <w:rStyle w:val="-"/>
            <w:noProof/>
          </w:rPr>
          <w:t xml:space="preserve"> Evolution of international energy prices</w:t>
        </w:r>
        <w:r w:rsidR="000D2C66">
          <w:rPr>
            <w:noProof/>
            <w:webHidden/>
          </w:rPr>
          <w:tab/>
        </w:r>
        <w:r w:rsidR="000D2C66">
          <w:rPr>
            <w:noProof/>
            <w:webHidden/>
          </w:rPr>
          <w:fldChar w:fldCharType="begin"/>
        </w:r>
        <w:r w:rsidR="000D2C66">
          <w:rPr>
            <w:noProof/>
            <w:webHidden/>
          </w:rPr>
          <w:instrText xml:space="preserve"> PAGEREF _Toc211355199 \h </w:instrText>
        </w:r>
        <w:r w:rsidR="000D2C66">
          <w:rPr>
            <w:noProof/>
            <w:webHidden/>
          </w:rPr>
        </w:r>
        <w:r w:rsidR="000D2C66">
          <w:rPr>
            <w:noProof/>
            <w:webHidden/>
          </w:rPr>
          <w:fldChar w:fldCharType="separate"/>
        </w:r>
        <w:r w:rsidR="00AF0E6B">
          <w:rPr>
            <w:noProof/>
            <w:webHidden/>
          </w:rPr>
          <w:t>14</w:t>
        </w:r>
        <w:r w:rsidR="000D2C66">
          <w:rPr>
            <w:noProof/>
            <w:webHidden/>
          </w:rPr>
          <w:fldChar w:fldCharType="end"/>
        </w:r>
      </w:hyperlink>
    </w:p>
    <w:p w14:paraId="084FF7BE" w14:textId="2100CD8A" w:rsidR="000D2C66" w:rsidRDefault="00D06AE5">
      <w:pPr>
        <w:pStyle w:val="af"/>
        <w:tabs>
          <w:tab w:val="right" w:leader="dot" w:pos="8834"/>
        </w:tabs>
        <w:rPr>
          <w:rFonts w:asciiTheme="minorHAnsi" w:hAnsiTheme="minorHAnsi"/>
          <w:noProof/>
          <w:sz w:val="22"/>
        </w:rPr>
      </w:pPr>
      <w:hyperlink w:anchor="_Toc211355200" w:history="1">
        <w:r w:rsidR="000D2C66" w:rsidRPr="003B001D">
          <w:rPr>
            <w:rStyle w:val="-"/>
            <w:noProof/>
          </w:rPr>
          <w:t xml:space="preserve">Figure 7 </w:t>
        </w:r>
        <w:r w:rsidR="000D2C66">
          <w:rPr>
            <w:rStyle w:val="-"/>
            <w:noProof/>
            <w:lang w:val="en-US"/>
          </w:rPr>
          <w:t xml:space="preserve"> </w:t>
        </w:r>
        <w:r w:rsidR="000D2C66" w:rsidRPr="003B001D">
          <w:rPr>
            <w:rStyle w:val="-"/>
            <w:noProof/>
          </w:rPr>
          <w:t xml:space="preserve"> Greece’s Current Account Balance</w:t>
        </w:r>
        <w:r w:rsidR="000D2C66">
          <w:rPr>
            <w:noProof/>
            <w:webHidden/>
          </w:rPr>
          <w:tab/>
        </w:r>
        <w:r w:rsidR="000D2C66">
          <w:rPr>
            <w:noProof/>
            <w:webHidden/>
          </w:rPr>
          <w:fldChar w:fldCharType="begin"/>
        </w:r>
        <w:r w:rsidR="000D2C66">
          <w:rPr>
            <w:noProof/>
            <w:webHidden/>
          </w:rPr>
          <w:instrText xml:space="preserve"> PAGEREF _Toc211355200 \h </w:instrText>
        </w:r>
        <w:r w:rsidR="000D2C66">
          <w:rPr>
            <w:noProof/>
            <w:webHidden/>
          </w:rPr>
        </w:r>
        <w:r w:rsidR="000D2C66">
          <w:rPr>
            <w:noProof/>
            <w:webHidden/>
          </w:rPr>
          <w:fldChar w:fldCharType="separate"/>
        </w:r>
        <w:r w:rsidR="00AF0E6B">
          <w:rPr>
            <w:noProof/>
            <w:webHidden/>
          </w:rPr>
          <w:t>15</w:t>
        </w:r>
        <w:r w:rsidR="000D2C66">
          <w:rPr>
            <w:noProof/>
            <w:webHidden/>
          </w:rPr>
          <w:fldChar w:fldCharType="end"/>
        </w:r>
      </w:hyperlink>
    </w:p>
    <w:p w14:paraId="7EDFE732" w14:textId="62A9760B" w:rsidR="000D2C66" w:rsidRDefault="00D06AE5">
      <w:pPr>
        <w:pStyle w:val="af"/>
        <w:tabs>
          <w:tab w:val="right" w:leader="dot" w:pos="8834"/>
        </w:tabs>
        <w:rPr>
          <w:rFonts w:asciiTheme="minorHAnsi" w:hAnsiTheme="minorHAnsi"/>
          <w:noProof/>
          <w:sz w:val="22"/>
        </w:rPr>
      </w:pPr>
      <w:hyperlink w:anchor="_Toc211355201" w:history="1">
        <w:r w:rsidR="000D2C66" w:rsidRPr="003B001D">
          <w:rPr>
            <w:rStyle w:val="-"/>
            <w:noProof/>
          </w:rPr>
          <w:t xml:space="preserve">Figure 8 </w:t>
        </w:r>
        <w:r w:rsidR="000D2C66">
          <w:rPr>
            <w:rStyle w:val="-"/>
            <w:noProof/>
            <w:lang w:val="en-US"/>
          </w:rPr>
          <w:t xml:space="preserve"> </w:t>
        </w:r>
        <w:r w:rsidR="000D2C66" w:rsidRPr="003B001D">
          <w:rPr>
            <w:rStyle w:val="-"/>
            <w:noProof/>
          </w:rPr>
          <w:t xml:space="preserve"> Greece’s investment gap vis-à-vis the euro area</w:t>
        </w:r>
        <w:r w:rsidR="000D2C66">
          <w:rPr>
            <w:noProof/>
            <w:webHidden/>
          </w:rPr>
          <w:tab/>
        </w:r>
        <w:r w:rsidR="000D2C66">
          <w:rPr>
            <w:noProof/>
            <w:webHidden/>
          </w:rPr>
          <w:fldChar w:fldCharType="begin"/>
        </w:r>
        <w:r w:rsidR="000D2C66">
          <w:rPr>
            <w:noProof/>
            <w:webHidden/>
          </w:rPr>
          <w:instrText xml:space="preserve"> PAGEREF _Toc211355201 \h </w:instrText>
        </w:r>
        <w:r w:rsidR="000D2C66">
          <w:rPr>
            <w:noProof/>
            <w:webHidden/>
          </w:rPr>
        </w:r>
        <w:r w:rsidR="000D2C66">
          <w:rPr>
            <w:noProof/>
            <w:webHidden/>
          </w:rPr>
          <w:fldChar w:fldCharType="separate"/>
        </w:r>
        <w:r w:rsidR="00AF0E6B">
          <w:rPr>
            <w:noProof/>
            <w:webHidden/>
          </w:rPr>
          <w:t>19</w:t>
        </w:r>
        <w:r w:rsidR="000D2C66">
          <w:rPr>
            <w:noProof/>
            <w:webHidden/>
          </w:rPr>
          <w:fldChar w:fldCharType="end"/>
        </w:r>
      </w:hyperlink>
    </w:p>
    <w:p w14:paraId="6EB56BB0" w14:textId="3684893D" w:rsidR="000D2C66" w:rsidRDefault="00D06AE5">
      <w:pPr>
        <w:pStyle w:val="af"/>
        <w:tabs>
          <w:tab w:val="right" w:leader="dot" w:pos="8834"/>
        </w:tabs>
        <w:rPr>
          <w:rFonts w:asciiTheme="minorHAnsi" w:hAnsiTheme="minorHAnsi"/>
          <w:noProof/>
          <w:sz w:val="22"/>
        </w:rPr>
      </w:pPr>
      <w:hyperlink w:anchor="_Toc211355202" w:history="1">
        <w:r w:rsidR="000D2C66" w:rsidRPr="003B001D">
          <w:rPr>
            <w:rStyle w:val="-"/>
            <w:noProof/>
          </w:rPr>
          <w:t xml:space="preserve">Figure 9 </w:t>
        </w:r>
        <w:r w:rsidR="000D2C66">
          <w:rPr>
            <w:rStyle w:val="-"/>
            <w:noProof/>
            <w:lang w:val="en-US"/>
          </w:rPr>
          <w:t xml:space="preserve"> </w:t>
        </w:r>
        <w:r w:rsidR="000D2C66" w:rsidRPr="003B001D">
          <w:rPr>
            <w:rStyle w:val="-"/>
            <w:noProof/>
          </w:rPr>
          <w:t xml:space="preserve">  Rate of change in GDP per capita</w:t>
        </w:r>
        <w:r w:rsidR="000D2C66">
          <w:rPr>
            <w:noProof/>
            <w:webHidden/>
          </w:rPr>
          <w:tab/>
        </w:r>
        <w:r w:rsidR="000D2C66">
          <w:rPr>
            <w:noProof/>
            <w:webHidden/>
          </w:rPr>
          <w:fldChar w:fldCharType="begin"/>
        </w:r>
        <w:r w:rsidR="000D2C66">
          <w:rPr>
            <w:noProof/>
            <w:webHidden/>
          </w:rPr>
          <w:instrText xml:space="preserve"> PAGEREF _Toc211355202 \h </w:instrText>
        </w:r>
        <w:r w:rsidR="000D2C66">
          <w:rPr>
            <w:noProof/>
            <w:webHidden/>
          </w:rPr>
        </w:r>
        <w:r w:rsidR="000D2C66">
          <w:rPr>
            <w:noProof/>
            <w:webHidden/>
          </w:rPr>
          <w:fldChar w:fldCharType="separate"/>
        </w:r>
        <w:r w:rsidR="00AF0E6B">
          <w:rPr>
            <w:noProof/>
            <w:webHidden/>
          </w:rPr>
          <w:t>20</w:t>
        </w:r>
        <w:r w:rsidR="000D2C66">
          <w:rPr>
            <w:noProof/>
            <w:webHidden/>
          </w:rPr>
          <w:fldChar w:fldCharType="end"/>
        </w:r>
      </w:hyperlink>
    </w:p>
    <w:p w14:paraId="40F128F6" w14:textId="129F77EF" w:rsidR="000D2C66" w:rsidRDefault="00D06AE5">
      <w:pPr>
        <w:pStyle w:val="af"/>
        <w:tabs>
          <w:tab w:val="right" w:leader="dot" w:pos="8834"/>
        </w:tabs>
        <w:rPr>
          <w:rFonts w:asciiTheme="minorHAnsi" w:hAnsiTheme="minorHAnsi"/>
          <w:noProof/>
          <w:sz w:val="22"/>
        </w:rPr>
      </w:pPr>
      <w:hyperlink w:anchor="_Toc211355203" w:history="1">
        <w:r w:rsidR="000D2C66" w:rsidRPr="003B001D">
          <w:rPr>
            <w:rStyle w:val="-"/>
            <w:noProof/>
          </w:rPr>
          <w:t xml:space="preserve">Figure 10 </w:t>
        </w:r>
        <w:r w:rsidR="000D2C66">
          <w:rPr>
            <w:rStyle w:val="-"/>
            <w:noProof/>
            <w:lang w:val="en-US"/>
          </w:rPr>
          <w:t xml:space="preserve"> </w:t>
        </w:r>
        <w:r w:rsidR="000D2C66" w:rsidRPr="003B001D">
          <w:rPr>
            <w:rStyle w:val="-"/>
            <w:noProof/>
          </w:rPr>
          <w:t>General Government primary balance</w:t>
        </w:r>
        <w:r w:rsidR="000D2C66">
          <w:rPr>
            <w:rStyle w:val="-"/>
            <w:noProof/>
            <w:lang w:val="en-US"/>
          </w:rPr>
          <w:t xml:space="preserve"> </w:t>
        </w:r>
        <w:r w:rsidR="000D2C66">
          <w:rPr>
            <w:noProof/>
            <w:webHidden/>
          </w:rPr>
          <w:tab/>
        </w:r>
        <w:r w:rsidR="000D2C66">
          <w:rPr>
            <w:noProof/>
            <w:webHidden/>
          </w:rPr>
          <w:fldChar w:fldCharType="begin"/>
        </w:r>
        <w:r w:rsidR="000D2C66">
          <w:rPr>
            <w:noProof/>
            <w:webHidden/>
          </w:rPr>
          <w:instrText xml:space="preserve"> PAGEREF _Toc211355203 \h </w:instrText>
        </w:r>
        <w:r w:rsidR="000D2C66">
          <w:rPr>
            <w:noProof/>
            <w:webHidden/>
          </w:rPr>
        </w:r>
        <w:r w:rsidR="000D2C66">
          <w:rPr>
            <w:noProof/>
            <w:webHidden/>
          </w:rPr>
          <w:fldChar w:fldCharType="separate"/>
        </w:r>
        <w:r w:rsidR="00AF0E6B">
          <w:rPr>
            <w:noProof/>
            <w:webHidden/>
          </w:rPr>
          <w:t>23</w:t>
        </w:r>
        <w:r w:rsidR="000D2C66">
          <w:rPr>
            <w:noProof/>
            <w:webHidden/>
          </w:rPr>
          <w:fldChar w:fldCharType="end"/>
        </w:r>
      </w:hyperlink>
    </w:p>
    <w:p w14:paraId="7EBD401A" w14:textId="563112AC" w:rsidR="000D2C66" w:rsidRDefault="00D06AE5">
      <w:pPr>
        <w:pStyle w:val="af"/>
        <w:tabs>
          <w:tab w:val="right" w:leader="dot" w:pos="8834"/>
        </w:tabs>
        <w:rPr>
          <w:rFonts w:asciiTheme="minorHAnsi" w:hAnsiTheme="minorHAnsi"/>
          <w:noProof/>
          <w:sz w:val="22"/>
        </w:rPr>
      </w:pPr>
      <w:hyperlink w:anchor="_Toc211355204" w:history="1">
        <w:r w:rsidR="000D2C66" w:rsidRPr="003B001D">
          <w:rPr>
            <w:rStyle w:val="-"/>
            <w:noProof/>
          </w:rPr>
          <w:t xml:space="preserve">Figure 11 </w:t>
        </w:r>
        <w:r w:rsidR="00C14AE5">
          <w:rPr>
            <w:rStyle w:val="-"/>
            <w:noProof/>
            <w:lang w:val="en-US"/>
          </w:rPr>
          <w:t xml:space="preserve"> </w:t>
        </w:r>
        <w:r w:rsidR="000D2C66" w:rsidRPr="003B001D">
          <w:rPr>
            <w:rStyle w:val="-"/>
            <w:noProof/>
          </w:rPr>
          <w:t>General Government debt</w:t>
        </w:r>
        <w:r w:rsidR="000D2C66">
          <w:rPr>
            <w:noProof/>
            <w:webHidden/>
          </w:rPr>
          <w:tab/>
        </w:r>
        <w:r w:rsidR="000D2C66">
          <w:rPr>
            <w:noProof/>
            <w:webHidden/>
          </w:rPr>
          <w:fldChar w:fldCharType="begin"/>
        </w:r>
        <w:r w:rsidR="000D2C66">
          <w:rPr>
            <w:noProof/>
            <w:webHidden/>
          </w:rPr>
          <w:instrText xml:space="preserve"> PAGEREF _Toc211355204 \h </w:instrText>
        </w:r>
        <w:r w:rsidR="000D2C66">
          <w:rPr>
            <w:noProof/>
            <w:webHidden/>
          </w:rPr>
        </w:r>
        <w:r w:rsidR="000D2C66">
          <w:rPr>
            <w:noProof/>
            <w:webHidden/>
          </w:rPr>
          <w:fldChar w:fldCharType="separate"/>
        </w:r>
        <w:r w:rsidR="00AF0E6B">
          <w:rPr>
            <w:noProof/>
            <w:webHidden/>
          </w:rPr>
          <w:t>26</w:t>
        </w:r>
        <w:r w:rsidR="000D2C66">
          <w:rPr>
            <w:noProof/>
            <w:webHidden/>
          </w:rPr>
          <w:fldChar w:fldCharType="end"/>
        </w:r>
      </w:hyperlink>
    </w:p>
    <w:p w14:paraId="33885A5E" w14:textId="03453743" w:rsidR="005C2D96" w:rsidRDefault="00540C3A">
      <w:pPr>
        <w:spacing w:line="276" w:lineRule="auto"/>
        <w:jc w:val="left"/>
        <w:rPr>
          <w:rFonts w:ascii="Calibri Light" w:eastAsiaTheme="majorEastAsia" w:hAnsi="Calibri Light" w:cstheme="majorBidi"/>
          <w:b/>
          <w:bCs/>
          <w:color w:val="4F81BD" w:themeColor="accent1"/>
          <w:w w:val="90"/>
          <w:sz w:val="48"/>
          <w:szCs w:val="28"/>
          <w:lang w:val="en-US"/>
        </w:rPr>
      </w:pPr>
      <w:r>
        <w:rPr>
          <w:lang w:val="en-US"/>
        </w:rPr>
        <w:fldChar w:fldCharType="end"/>
      </w:r>
      <w:r w:rsidR="005C2D96">
        <w:rPr>
          <w:lang w:val="en-US"/>
        </w:rPr>
        <w:br w:type="page"/>
      </w:r>
    </w:p>
    <w:p w14:paraId="10FF9F12" w14:textId="77777777" w:rsidR="00934473" w:rsidRDefault="00100696" w:rsidP="002A2712">
      <w:pPr>
        <w:pStyle w:val="1"/>
        <w:numPr>
          <w:ilvl w:val="0"/>
          <w:numId w:val="2"/>
        </w:numPr>
        <w:ind w:hanging="720"/>
      </w:pPr>
      <w:bookmarkStart w:id="2" w:name="_Toc211418433"/>
      <w:r w:rsidRPr="0079459F">
        <w:lastRenderedPageBreak/>
        <w:t>Introduction</w:t>
      </w:r>
      <w:bookmarkEnd w:id="2"/>
    </w:p>
    <w:p w14:paraId="39861DA0" w14:textId="77777777" w:rsidR="005E1B94" w:rsidRPr="00AE7A8B" w:rsidRDefault="005E1B94" w:rsidP="00AE7A8B">
      <w:pPr>
        <w:keepNext/>
        <w:framePr w:dropCap="drop" w:lines="3" w:hSpace="227" w:wrap="around" w:vAnchor="text" w:hAnchor="text"/>
        <w:spacing w:after="0" w:line="926" w:lineRule="exact"/>
        <w:textAlignment w:val="baseline"/>
        <w:rPr>
          <w:rFonts w:ascii="Sitka Heading Semibold" w:hAnsi="Sitka Heading Semibold" w:cstheme="minorHAnsi"/>
          <w:position w:val="-10"/>
          <w:sz w:val="126"/>
          <w:szCs w:val="104"/>
          <w:lang w:val="en-US"/>
        </w:rPr>
      </w:pPr>
      <w:r w:rsidRPr="00AE7A8B">
        <w:rPr>
          <w:rFonts w:ascii="Sitka Heading Semibold" w:hAnsi="Sitka Heading Semibold" w:cstheme="minorHAnsi"/>
          <w:color w:val="E36C0A" w:themeColor="accent6" w:themeShade="BF"/>
          <w:position w:val="-10"/>
          <w:sz w:val="126"/>
          <w:szCs w:val="104"/>
          <w:lang w:val="en-US"/>
        </w:rPr>
        <w:t>R</w:t>
      </w:r>
    </w:p>
    <w:p w14:paraId="692B63C8" w14:textId="0B838AF4" w:rsidR="005E1B94" w:rsidRPr="005E1B94" w:rsidRDefault="005E1B94" w:rsidP="005E1B94">
      <w:pPr>
        <w:rPr>
          <w:lang w:val="en-US"/>
        </w:rPr>
      </w:pPr>
      <w:r w:rsidRPr="005E1B94">
        <w:rPr>
          <w:lang w:val="en-US"/>
        </w:rPr>
        <w:t xml:space="preserve">egulation (EU) 473/2013 of the European Parliament and of the Council (part of the so-called ‘Two-pack’) introduces a common budgetary timeline for </w:t>
      </w:r>
      <w:r w:rsidR="005D5ECF">
        <w:rPr>
          <w:lang w:val="en-US"/>
        </w:rPr>
        <w:t>E</w:t>
      </w:r>
      <w:r w:rsidRPr="005E1B94">
        <w:rPr>
          <w:lang w:val="en-US"/>
        </w:rPr>
        <w:t xml:space="preserve">uro Area Member States. Specifically, Draft Budgetary Plans for the forthcoming year must be submitted to the European Commission and to the Eurogroup by October 15th of each year. </w:t>
      </w:r>
    </w:p>
    <w:p w14:paraId="409FD5A2" w14:textId="77777777" w:rsidR="005E1B94" w:rsidRPr="005E1B94" w:rsidRDefault="005E1B94" w:rsidP="005E1B94">
      <w:pPr>
        <w:rPr>
          <w:lang w:val="en-US"/>
        </w:rPr>
      </w:pPr>
      <w:r w:rsidRPr="005E1B94">
        <w:rPr>
          <w:lang w:val="en-US"/>
        </w:rPr>
        <w:t xml:space="preserve">The document herein is being submitted to the European Commission and the Eurogroup in accordance with the Regulation. </w:t>
      </w:r>
    </w:p>
    <w:p w14:paraId="4ED389DB" w14:textId="77777777" w:rsidR="005E1B94" w:rsidRPr="005E1B94" w:rsidRDefault="005E1B94" w:rsidP="005E1B94">
      <w:pPr>
        <w:rPr>
          <w:lang w:val="en-US"/>
        </w:rPr>
      </w:pPr>
      <w:r w:rsidRPr="005E1B94">
        <w:rPr>
          <w:lang w:val="en-US"/>
        </w:rPr>
        <w:t xml:space="preserve">The format and content of the document are in line with the requirements of the Two-pack Code of Conduct, which inter alia, requires macroeconomic and budgetary forecasts for the current and forthcoming year (in this case 2025 and 2026). The tables used are revised, in line with the reporting requirements under the reformed </w:t>
      </w:r>
      <w:r w:rsidR="00C16E50">
        <w:rPr>
          <w:lang w:val="en-US"/>
        </w:rPr>
        <w:t xml:space="preserve">budgetary </w:t>
      </w:r>
      <w:r w:rsidRPr="005E1B94">
        <w:rPr>
          <w:lang w:val="en-US"/>
        </w:rPr>
        <w:t>framework.</w:t>
      </w:r>
    </w:p>
    <w:p w14:paraId="245C86E1" w14:textId="77777777" w:rsidR="005E1B94" w:rsidRPr="005E1B94" w:rsidRDefault="005E1B94" w:rsidP="005E1B94">
      <w:pPr>
        <w:rPr>
          <w:lang w:val="en-US"/>
        </w:rPr>
      </w:pPr>
      <w:r w:rsidRPr="005E1B94">
        <w:rPr>
          <w:lang w:val="en-US"/>
        </w:rPr>
        <w:t xml:space="preserve">The macroeconomic forecasts used for the current and the next </w:t>
      </w:r>
      <w:r w:rsidR="00C16E50">
        <w:rPr>
          <w:lang w:val="en-US"/>
        </w:rPr>
        <w:t xml:space="preserve">year </w:t>
      </w:r>
      <w:r w:rsidRPr="005E1B94">
        <w:rPr>
          <w:lang w:val="en-US"/>
        </w:rPr>
        <w:t>have been endorsed by the Hellenic Fiscal Council (HFC), as required under article 6(3F) of the Regulation. The Opinion of the HFC is provided in</w:t>
      </w:r>
      <w:r w:rsidR="0067679C">
        <w:rPr>
          <w:lang w:val="en-US"/>
        </w:rPr>
        <w:t xml:space="preserve"> Annex III</w:t>
      </w:r>
      <w:r w:rsidRPr="005E1B94">
        <w:rPr>
          <w:lang w:val="en-US"/>
        </w:rPr>
        <w:t xml:space="preserve">. </w:t>
      </w:r>
    </w:p>
    <w:p w14:paraId="0CAF23EF" w14:textId="77777777" w:rsidR="00655DED" w:rsidRPr="005E1B94" w:rsidRDefault="005E1B94" w:rsidP="005E1B94">
      <w:pPr>
        <w:rPr>
          <w:lang w:val="en-US"/>
        </w:rPr>
      </w:pPr>
      <w:r w:rsidRPr="005E1B94">
        <w:rPr>
          <w:lang w:val="en-US"/>
        </w:rPr>
        <w:t>All data presented, are on ESA 2010 statistical basis.</w:t>
      </w:r>
    </w:p>
    <w:p w14:paraId="36023229" w14:textId="77777777" w:rsidR="0079459F" w:rsidRDefault="0079459F">
      <w:pPr>
        <w:spacing w:line="276" w:lineRule="auto"/>
        <w:jc w:val="left"/>
        <w:rPr>
          <w:lang w:val="en-US"/>
        </w:rPr>
      </w:pPr>
      <w:bookmarkStart w:id="3" w:name="_bookmark3"/>
      <w:bookmarkEnd w:id="3"/>
      <w:r>
        <w:rPr>
          <w:lang w:val="en-US"/>
        </w:rPr>
        <w:br w:type="page"/>
      </w:r>
    </w:p>
    <w:p w14:paraId="0D4B1A6D" w14:textId="02A5D659" w:rsidR="00B20130" w:rsidRPr="0079459F" w:rsidRDefault="00DD13E5" w:rsidP="00385F38">
      <w:pPr>
        <w:pStyle w:val="1"/>
        <w:numPr>
          <w:ilvl w:val="0"/>
          <w:numId w:val="2"/>
        </w:numPr>
        <w:spacing w:after="1200"/>
        <w:ind w:hanging="720"/>
      </w:pPr>
      <w:bookmarkStart w:id="4" w:name="_Toc211418434"/>
      <w:r w:rsidRPr="00DD13E5">
        <w:lastRenderedPageBreak/>
        <w:t xml:space="preserve">Macroeconomic </w:t>
      </w:r>
      <w:r w:rsidR="009B6626">
        <w:rPr>
          <w:lang w:val="en-US"/>
        </w:rPr>
        <w:t>forecast</w:t>
      </w:r>
      <w:bookmarkEnd w:id="4"/>
    </w:p>
    <w:p w14:paraId="15417EAC" w14:textId="4F088FB0" w:rsidR="00FA3A75" w:rsidRPr="00E357AD" w:rsidRDefault="00DD13E5" w:rsidP="00E357AD">
      <w:pPr>
        <w:pStyle w:val="2"/>
        <w:numPr>
          <w:ilvl w:val="1"/>
          <w:numId w:val="2"/>
        </w:numPr>
        <w:spacing w:before="600" w:after="360"/>
        <w:ind w:left="567" w:hanging="567"/>
        <w:rPr>
          <w:lang w:val="en-US"/>
        </w:rPr>
      </w:pPr>
      <w:bookmarkStart w:id="5" w:name="_Toc211418435"/>
      <w:r w:rsidRPr="00DD13E5">
        <w:rPr>
          <w:lang w:val="en-US"/>
        </w:rPr>
        <w:t xml:space="preserve">Macroeconomic </w:t>
      </w:r>
      <w:r w:rsidR="009B6626">
        <w:rPr>
          <w:lang w:val="en-US"/>
        </w:rPr>
        <w:t>developments in 2025</w:t>
      </w:r>
      <w:bookmarkStart w:id="6" w:name="OLE_LINK1"/>
      <w:bookmarkEnd w:id="5"/>
    </w:p>
    <w:p w14:paraId="0CA5535F" w14:textId="03ED3996" w:rsidR="00FA3A75" w:rsidRPr="00DA4DBE" w:rsidRDefault="00FA3A75" w:rsidP="00FA3A75">
      <w:pPr>
        <w:rPr>
          <w:rFonts w:eastAsia="Times New Roman"/>
          <w:lang w:val="en-US"/>
        </w:rPr>
      </w:pPr>
      <w:bookmarkStart w:id="7" w:name="_Hlk210819191"/>
      <w:bookmarkEnd w:id="6"/>
      <w:r w:rsidRPr="00DA4DBE">
        <w:rPr>
          <w:rFonts w:eastAsia="Times New Roman"/>
          <w:lang w:val="en-US"/>
        </w:rPr>
        <w:t xml:space="preserve">In 2025, the global economy continues to operate in an environment of </w:t>
      </w:r>
      <w:r w:rsidR="00C16E50">
        <w:rPr>
          <w:rFonts w:eastAsia="Times New Roman"/>
          <w:lang w:val="en-US"/>
        </w:rPr>
        <w:t>increased</w:t>
      </w:r>
      <w:r w:rsidR="00C16E50" w:rsidRPr="00DA4DBE">
        <w:rPr>
          <w:rFonts w:eastAsia="Times New Roman"/>
          <w:lang w:val="en-US"/>
        </w:rPr>
        <w:t xml:space="preserve"> </w:t>
      </w:r>
      <w:r w:rsidRPr="00DA4DBE">
        <w:rPr>
          <w:rFonts w:eastAsia="Times New Roman"/>
          <w:lang w:val="en-US"/>
        </w:rPr>
        <w:t xml:space="preserve">challenges and uncertainties. The persistence, and in some cases, escalation of geopolitical tensions in Ukraine and the Middle East, as well as disruptions in critical maritime trade routes such as the Red Sea, have affected the smooth </w:t>
      </w:r>
      <w:r w:rsidR="00C16E50">
        <w:rPr>
          <w:rFonts w:eastAsia="Times New Roman"/>
          <w:lang w:val="en-US"/>
        </w:rPr>
        <w:t>operation</w:t>
      </w:r>
      <w:r w:rsidR="00C16E50" w:rsidRPr="00DA4DBE">
        <w:rPr>
          <w:rFonts w:eastAsia="Times New Roman"/>
          <w:lang w:val="en-US"/>
        </w:rPr>
        <w:t xml:space="preserve"> </w:t>
      </w:r>
      <w:r w:rsidRPr="00DA4DBE">
        <w:rPr>
          <w:rFonts w:eastAsia="Times New Roman"/>
          <w:lang w:val="en-US"/>
        </w:rPr>
        <w:t>of supply chains and increasing uncertainty over global growth prospects. At the same time, competition among groups of countries, the strengthening of protectionism</w:t>
      </w:r>
      <w:r w:rsidR="002C3B4C">
        <w:rPr>
          <w:rFonts w:eastAsia="Times New Roman"/>
          <w:lang w:val="en-US"/>
        </w:rPr>
        <w:t xml:space="preserve"> and</w:t>
      </w:r>
      <w:r w:rsidRPr="00DA4DBE">
        <w:rPr>
          <w:rFonts w:eastAsia="Times New Roman"/>
          <w:lang w:val="en-US"/>
        </w:rPr>
        <w:t xml:space="preserve"> the imposition of tariffs on key product categories, have slowed down international trade, acting as a drag on investment and productivity.</w:t>
      </w:r>
    </w:p>
    <w:p w14:paraId="3D7C108B" w14:textId="1C35E6D9" w:rsidR="00FA3A75" w:rsidRPr="00DA4DBE" w:rsidRDefault="00FA3A75" w:rsidP="00FA3A75">
      <w:pPr>
        <w:rPr>
          <w:rFonts w:eastAsia="Times New Roman"/>
          <w:lang w:val="en-US"/>
        </w:rPr>
      </w:pPr>
      <w:r w:rsidRPr="00DA4DBE">
        <w:rPr>
          <w:rFonts w:eastAsia="Times New Roman"/>
          <w:lang w:val="en-US"/>
        </w:rPr>
        <w:t xml:space="preserve">On the other hand, the decline in global inflation has enabled central banks to gradually ease monetary policy, while energy prices have remained contained despite prevailing uncertainty. </w:t>
      </w:r>
    </w:p>
    <w:p w14:paraId="5B9384B4" w14:textId="2B528DAE" w:rsidR="00FA3A75" w:rsidRDefault="00FA3A75" w:rsidP="00FA3A75">
      <w:pPr>
        <w:rPr>
          <w:rFonts w:eastAsia="Times New Roman"/>
          <w:lang w:val="en-US"/>
        </w:rPr>
      </w:pPr>
      <w:r w:rsidRPr="00DA4DBE">
        <w:rPr>
          <w:rFonts w:eastAsia="Times New Roman"/>
          <w:lang w:val="en-US"/>
        </w:rPr>
        <w:t xml:space="preserve">Despite this </w:t>
      </w:r>
      <w:r w:rsidR="00C16E50">
        <w:rPr>
          <w:rFonts w:eastAsia="Times New Roman"/>
          <w:lang w:val="en-US"/>
        </w:rPr>
        <w:t>high</w:t>
      </w:r>
      <w:r w:rsidR="00C16E50" w:rsidRPr="00DA4DBE">
        <w:rPr>
          <w:rFonts w:eastAsia="Times New Roman"/>
          <w:lang w:val="en-US"/>
        </w:rPr>
        <w:t xml:space="preserve"> </w:t>
      </w:r>
      <w:r w:rsidRPr="00DA4DBE">
        <w:rPr>
          <w:rFonts w:eastAsia="Times New Roman"/>
          <w:lang w:val="en-US"/>
        </w:rPr>
        <w:t xml:space="preserve">uncertainty in the global economic environment and the escalation of geopolitical instability in several cases, the Greek economy continues to demonstrate resilience, recording GDP growth rates consistently above the Eurozone and European Union (EU) averages. Specifically, during Q2 2025, according to </w:t>
      </w:r>
      <w:r w:rsidR="00C16E50">
        <w:rPr>
          <w:rFonts w:eastAsia="Times New Roman"/>
          <w:lang w:val="en-US"/>
        </w:rPr>
        <w:t xml:space="preserve">the </w:t>
      </w:r>
      <w:r w:rsidRPr="00DA4DBE">
        <w:rPr>
          <w:rFonts w:eastAsia="Times New Roman"/>
          <w:lang w:val="en-US"/>
        </w:rPr>
        <w:t>European Statistical Office (Eurostat) data</w:t>
      </w:r>
      <w:r w:rsidR="00770274">
        <w:rPr>
          <w:rStyle w:val="af1"/>
          <w:rFonts w:eastAsia="Times New Roman"/>
          <w:lang w:val="en-US"/>
        </w:rPr>
        <w:footnoteReference w:id="1"/>
      </w:r>
      <w:r w:rsidRPr="00DA4DBE">
        <w:rPr>
          <w:rFonts w:eastAsia="Times New Roman"/>
          <w:lang w:val="en-US"/>
        </w:rPr>
        <w:t>, Greek GDP expanded by 1.7%, compared with 1.5% in the Eurozone and 1.6% in the EU, as shown in</w:t>
      </w:r>
      <w:r>
        <w:rPr>
          <w:rFonts w:eastAsia="Times New Roman"/>
          <w:lang w:val="en-US"/>
        </w:rPr>
        <w:t xml:space="preserve"> </w:t>
      </w:r>
      <w:r w:rsidR="00540C3A">
        <w:rPr>
          <w:rFonts w:eastAsia="Times New Roman"/>
          <w:lang w:val="en-US"/>
        </w:rPr>
        <w:fldChar w:fldCharType="begin"/>
      </w:r>
      <w:r>
        <w:rPr>
          <w:rFonts w:eastAsia="Times New Roman"/>
          <w:lang w:val="en-US"/>
        </w:rPr>
        <w:instrText xml:space="preserve"> REF _Ref211009137 \h </w:instrText>
      </w:r>
      <w:r w:rsidR="00540C3A">
        <w:rPr>
          <w:rFonts w:eastAsia="Times New Roman"/>
          <w:lang w:val="en-US"/>
        </w:rPr>
      </w:r>
      <w:r w:rsidR="00540C3A">
        <w:rPr>
          <w:rFonts w:eastAsia="Times New Roman"/>
          <w:lang w:val="en-US"/>
        </w:rPr>
        <w:fldChar w:fldCharType="separate"/>
      </w:r>
      <w:r w:rsidR="00AF0E6B" w:rsidRPr="00AF0E6B">
        <w:rPr>
          <w:lang w:val="en-US"/>
        </w:rPr>
        <w:t xml:space="preserve">Figure </w:t>
      </w:r>
      <w:r w:rsidR="00AF0E6B" w:rsidRPr="00AF0E6B">
        <w:rPr>
          <w:noProof/>
          <w:lang w:val="en-US"/>
        </w:rPr>
        <w:t>1</w:t>
      </w:r>
      <w:r w:rsidR="00540C3A">
        <w:rPr>
          <w:rFonts w:eastAsia="Times New Roman"/>
          <w:lang w:val="en-US"/>
        </w:rPr>
        <w:fldChar w:fldCharType="end"/>
      </w:r>
      <w:r w:rsidRPr="00BA2CBB">
        <w:rPr>
          <w:rFonts w:eastAsia="Times New Roman"/>
          <w:lang w:val="en-US"/>
        </w:rPr>
        <w:t>.</w:t>
      </w:r>
    </w:p>
    <w:p w14:paraId="4556CFEC" w14:textId="00D8777C" w:rsidR="00FA3A75" w:rsidRDefault="002E0353" w:rsidP="00FA3A75">
      <w:pPr>
        <w:pStyle w:val="ae"/>
        <w:rPr>
          <w:rFonts w:eastAsia="Times New Roman"/>
          <w:b w:val="0"/>
        </w:rPr>
      </w:pPr>
      <w:bookmarkStart w:id="8" w:name="_Ref211009137"/>
      <w:bookmarkStart w:id="9" w:name="_Toc211355194"/>
      <w:r>
        <w:rPr>
          <w:rFonts w:ascii="Arial" w:eastAsia="Times New Roman" w:hAnsi="Arial" w:cs="Times New Roman"/>
          <w:b w:val="0"/>
          <w:bCs/>
          <w:noProof/>
          <w:sz w:val="18"/>
        </w:rPr>
        <w:drawing>
          <wp:anchor distT="0" distB="0" distL="114300" distR="114300" simplePos="0" relativeHeight="251686912" behindDoc="0" locked="0" layoutInCell="1" allowOverlap="1" wp14:anchorId="155ED783" wp14:editId="27908D58">
            <wp:simplePos x="0" y="0"/>
            <wp:positionH relativeFrom="column">
              <wp:posOffset>-273685</wp:posOffset>
            </wp:positionH>
            <wp:positionV relativeFrom="paragraph">
              <wp:posOffset>306070</wp:posOffset>
            </wp:positionV>
            <wp:extent cx="6057900" cy="27241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0" cy="2724150"/>
                    </a:xfrm>
                    <a:prstGeom prst="rect">
                      <a:avLst/>
                    </a:prstGeom>
                    <a:noFill/>
                  </pic:spPr>
                </pic:pic>
              </a:graphicData>
            </a:graphic>
            <wp14:sizeRelH relativeFrom="margin">
              <wp14:pctWidth>0</wp14:pctWidth>
            </wp14:sizeRelH>
            <wp14:sizeRelV relativeFrom="margin">
              <wp14:pctHeight>0</wp14:pctHeight>
            </wp14:sizeRelV>
          </wp:anchor>
        </w:drawing>
      </w:r>
      <w:r w:rsidR="00FA3A75">
        <w:t xml:space="preserve">Figure </w:t>
      </w:r>
      <w:r w:rsidR="00540C3A">
        <w:fldChar w:fldCharType="begin"/>
      </w:r>
      <w:r w:rsidR="00FA3A75">
        <w:instrText xml:space="preserve"> SEQ Figure \* ARABIC </w:instrText>
      </w:r>
      <w:r w:rsidR="00540C3A">
        <w:fldChar w:fldCharType="separate"/>
      </w:r>
      <w:r w:rsidR="00AF0E6B">
        <w:rPr>
          <w:noProof/>
        </w:rPr>
        <w:t>1</w:t>
      </w:r>
      <w:r w:rsidR="00540C3A">
        <w:fldChar w:fldCharType="end"/>
      </w:r>
      <w:bookmarkEnd w:id="8"/>
      <w:r w:rsidR="00FA3A75">
        <w:t xml:space="preserve"> | </w:t>
      </w:r>
      <w:r w:rsidR="00FA3A75" w:rsidRPr="00FA3A75">
        <w:rPr>
          <w:rFonts w:eastAsia="Times New Roman"/>
        </w:rPr>
        <w:t xml:space="preserve">European countries growth rates 2nd quarter 2025 </w:t>
      </w:r>
      <w:r w:rsidR="00FA3A75" w:rsidRPr="00FA3A75">
        <w:rPr>
          <w:rFonts w:eastAsia="Times New Roman"/>
          <w:b w:val="0"/>
        </w:rPr>
        <w:t>(constant prices, %)</w:t>
      </w:r>
      <w:bookmarkEnd w:id="9"/>
    </w:p>
    <w:bookmarkEnd w:id="7"/>
    <w:p w14:paraId="1BFA8484" w14:textId="3CED7101" w:rsidR="00FA3A75" w:rsidRPr="00385F38" w:rsidRDefault="00FA3A75" w:rsidP="002E0353">
      <w:pPr>
        <w:pBdr>
          <w:top w:val="single" w:sz="18" w:space="1" w:color="4F81BD" w:themeColor="accent1"/>
        </w:pBdr>
        <w:spacing w:after="240" w:line="276" w:lineRule="auto"/>
        <w:jc w:val="left"/>
        <w:rPr>
          <w:sz w:val="20"/>
          <w:lang w:val="en-US"/>
        </w:rPr>
      </w:pPr>
      <w:r w:rsidRPr="00385F38">
        <w:rPr>
          <w:sz w:val="20"/>
          <w:lang w:val="en-US"/>
        </w:rPr>
        <w:t>Source: Quarterly national accounts (ELSTAT, Eurostat), calculations by Ministry of Economy and Finance.</w:t>
      </w:r>
    </w:p>
    <w:p w14:paraId="74BA8F45" w14:textId="13D6C42C" w:rsidR="00FA3A75" w:rsidRDefault="00FA3A75" w:rsidP="00FA3A75">
      <w:pPr>
        <w:rPr>
          <w:rFonts w:eastAsia="Times New Roman"/>
          <w:lang w:val="en-US"/>
        </w:rPr>
      </w:pPr>
      <w:r w:rsidRPr="00DA4DBE">
        <w:rPr>
          <w:rFonts w:eastAsia="Times New Roman"/>
          <w:lang w:val="en-US"/>
        </w:rPr>
        <w:lastRenderedPageBreak/>
        <w:t>During the same period, several Eurozone countries and mostly major economies</w:t>
      </w:r>
      <w:r w:rsidR="00B960D6">
        <w:rPr>
          <w:rFonts w:eastAsia="Times New Roman"/>
          <w:lang w:val="en-US"/>
        </w:rPr>
        <w:t xml:space="preserve"> </w:t>
      </w:r>
      <w:r w:rsidRPr="00DA4DBE">
        <w:rPr>
          <w:rFonts w:eastAsia="Times New Roman"/>
          <w:lang w:val="en-US"/>
        </w:rPr>
        <w:t>—such as Germany, France, Italy, Belgium, and Austria—</w:t>
      </w:r>
      <w:r w:rsidR="00B960D6">
        <w:rPr>
          <w:rFonts w:eastAsia="Times New Roman"/>
          <w:lang w:val="en-US"/>
        </w:rPr>
        <w:t xml:space="preserve"> </w:t>
      </w:r>
      <w:r w:rsidRPr="00DA4DBE">
        <w:rPr>
          <w:rFonts w:eastAsia="Times New Roman"/>
          <w:lang w:val="en-US"/>
        </w:rPr>
        <w:t xml:space="preserve">recorded subdued growth rates, less than one pp, while Luxembourg slipped into recession. The sluggish economic growth of the Eurozone’s stronger economies is attributed, among other factors, to the impact of the U.S. tariff policy as well as to fiscal constraints. </w:t>
      </w:r>
    </w:p>
    <w:p w14:paraId="341749AC" w14:textId="71C696E9" w:rsidR="00FA3A75" w:rsidRPr="00FA3A75" w:rsidRDefault="00FA3A75" w:rsidP="00FA3A75">
      <w:pPr>
        <w:pStyle w:val="ae"/>
      </w:pPr>
      <w:bookmarkStart w:id="10" w:name="_Ref211009371"/>
      <w:bookmarkStart w:id="11" w:name="_Toc211355195"/>
      <w:r>
        <w:t xml:space="preserve">Figure </w:t>
      </w:r>
      <w:r w:rsidR="00540C3A">
        <w:fldChar w:fldCharType="begin"/>
      </w:r>
      <w:r>
        <w:instrText xml:space="preserve"> SEQ Figure \* ARABIC </w:instrText>
      </w:r>
      <w:r w:rsidR="00540C3A">
        <w:fldChar w:fldCharType="separate"/>
      </w:r>
      <w:r w:rsidR="00AF0E6B">
        <w:rPr>
          <w:noProof/>
        </w:rPr>
        <w:t>2</w:t>
      </w:r>
      <w:r w:rsidR="00540C3A">
        <w:fldChar w:fldCharType="end"/>
      </w:r>
      <w:bookmarkEnd w:id="10"/>
      <w:r>
        <w:t xml:space="preserve"> | </w:t>
      </w:r>
      <w:r w:rsidRPr="00FA3A75">
        <w:t>Deviation of quarterly real GDP and GDP components 2019Q4-2025Q2</w:t>
      </w:r>
      <w:bookmarkEnd w:id="11"/>
      <w:r w:rsidRPr="00FA3A75">
        <w:t xml:space="preserve">  </w:t>
      </w:r>
    </w:p>
    <w:p w14:paraId="198368F3" w14:textId="77777777" w:rsidR="00DD609F" w:rsidRDefault="00FA3A75" w:rsidP="00FA3A75">
      <w:pPr>
        <w:pStyle w:val="figureright-handed"/>
      </w:pPr>
      <w:r w:rsidRPr="004934B8">
        <w:rPr>
          <w:sz w:val="18"/>
        </w:rPr>
        <w:t>(</w:t>
      </w:r>
      <w:r>
        <w:t>constant</w:t>
      </w:r>
      <w:r w:rsidRPr="004934B8">
        <w:t xml:space="preserve"> </w:t>
      </w:r>
      <w:r>
        <w:t>prices</w:t>
      </w:r>
      <w:r w:rsidRPr="004934B8">
        <w:t xml:space="preserve">, </w:t>
      </w:r>
      <w:r>
        <w:t>seasonally</w:t>
      </w:r>
      <w:r w:rsidRPr="004934B8">
        <w:t xml:space="preserve"> </w:t>
      </w:r>
      <w:r>
        <w:t>adjusted</w:t>
      </w:r>
      <w:r w:rsidRPr="004934B8">
        <w:t xml:space="preserve"> </w:t>
      </w:r>
      <w:r>
        <w:t>data, as</w:t>
      </w:r>
      <w:r w:rsidRPr="004934B8">
        <w:t xml:space="preserve"> % </w:t>
      </w:r>
      <w:r>
        <w:t>of 4th quarter 2019 GDP)</w:t>
      </w:r>
    </w:p>
    <w:p w14:paraId="7C720BD8" w14:textId="607E0DD8" w:rsidR="00FA3A75" w:rsidRDefault="00FA3A75" w:rsidP="00DD609F">
      <w:pPr>
        <w:rPr>
          <w:noProof/>
        </w:rPr>
      </w:pPr>
      <w:r w:rsidRPr="00263979">
        <w:rPr>
          <w:noProof/>
          <w:lang w:val="en-US"/>
        </w:rPr>
        <w:t xml:space="preserve"> </w:t>
      </w:r>
      <w:r w:rsidR="00325E29">
        <w:rPr>
          <w:noProof/>
          <w:lang w:val="en-US"/>
        </w:rPr>
        <w:drawing>
          <wp:inline distT="0" distB="0" distL="0" distR="0" wp14:anchorId="27A6C92D" wp14:editId="02D24C14">
            <wp:extent cx="5627370" cy="27678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5252" cy="2786468"/>
                    </a:xfrm>
                    <a:prstGeom prst="rect">
                      <a:avLst/>
                    </a:prstGeom>
                    <a:noFill/>
                  </pic:spPr>
                </pic:pic>
              </a:graphicData>
            </a:graphic>
          </wp:inline>
        </w:drawing>
      </w:r>
    </w:p>
    <w:p w14:paraId="3E3D5ECC" w14:textId="1659B7E5" w:rsidR="00FA3A75" w:rsidRDefault="00325E29" w:rsidP="00FA3A75">
      <w:pPr>
        <w:spacing w:after="0" w:line="240" w:lineRule="auto"/>
        <w:rPr>
          <w:rFonts w:ascii="Arial" w:eastAsia="Times New Roman" w:hAnsi="Arial" w:cs="Arial"/>
          <w:b/>
          <w:bCs/>
          <w:noProof/>
          <w:sz w:val="18"/>
          <w:szCs w:val="18"/>
          <w:lang w:val="en-US"/>
        </w:rPr>
      </w:pPr>
      <w:r>
        <w:rPr>
          <w:rFonts w:ascii="Arial" w:eastAsia="Times New Roman" w:hAnsi="Arial" w:cs="Arial"/>
          <w:b/>
          <w:bCs/>
          <w:noProof/>
          <w:sz w:val="18"/>
          <w:szCs w:val="18"/>
          <w:lang w:val="en-US"/>
        </w:rPr>
        <w:drawing>
          <wp:inline distT="0" distB="0" distL="0" distR="0" wp14:anchorId="25770780" wp14:editId="426920E9">
            <wp:extent cx="5895975" cy="26368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1488" cy="2657158"/>
                    </a:xfrm>
                    <a:prstGeom prst="rect">
                      <a:avLst/>
                    </a:prstGeom>
                    <a:noFill/>
                  </pic:spPr>
                </pic:pic>
              </a:graphicData>
            </a:graphic>
          </wp:inline>
        </w:drawing>
      </w:r>
    </w:p>
    <w:p w14:paraId="5157F6C8" w14:textId="77777777" w:rsidR="00FA3A75" w:rsidRPr="00385F38" w:rsidRDefault="00FA3A75" w:rsidP="00F97819">
      <w:pPr>
        <w:pBdr>
          <w:top w:val="single" w:sz="18" w:space="1" w:color="4F81BD" w:themeColor="accent1"/>
        </w:pBdr>
        <w:spacing w:after="240" w:line="276" w:lineRule="auto"/>
        <w:jc w:val="left"/>
        <w:rPr>
          <w:sz w:val="20"/>
          <w:lang w:val="en-US"/>
        </w:rPr>
      </w:pPr>
      <w:r w:rsidRPr="00385F38">
        <w:rPr>
          <w:sz w:val="20"/>
          <w:lang w:val="en-US"/>
        </w:rPr>
        <w:t>Source: Quarterly national accounts (ELSTAT, Eurostat), calculations by Ministry of Economy and Finance.</w:t>
      </w:r>
    </w:p>
    <w:p w14:paraId="36A33B10" w14:textId="77777777" w:rsidR="00FA3A75" w:rsidRPr="00DA4DBE" w:rsidRDefault="00FA3A75" w:rsidP="00FA3A75">
      <w:pPr>
        <w:rPr>
          <w:rFonts w:eastAsia="Times New Roman"/>
          <w:lang w:val="en-US"/>
        </w:rPr>
      </w:pPr>
      <w:r w:rsidRPr="00DA4DBE">
        <w:rPr>
          <w:rFonts w:eastAsia="Times New Roman"/>
          <w:lang w:val="en-US"/>
        </w:rPr>
        <w:t>The Gross Domestic Product (GDP) of the Greek economy (in volume terms) continued to expand on an annual basis in Q2 2025, marking the seventeenth consecutive quarter of growth since Q1 2021 (Figure 2). This expansion was driven by stronger investments, steady private consumption, and the robust recovery of the tourism sector. Net exports of goods and services also contributed positively, despite the imposition of U.S. tariffs on EU imports since April 2025.</w:t>
      </w:r>
    </w:p>
    <w:p w14:paraId="2F1D9793" w14:textId="77777777" w:rsidR="00FA3A75" w:rsidRPr="00DA4DBE" w:rsidRDefault="00FA3A75" w:rsidP="00FA3A75">
      <w:pPr>
        <w:rPr>
          <w:rFonts w:eastAsia="Times New Roman"/>
          <w:lang w:val="en-US"/>
        </w:rPr>
      </w:pPr>
      <w:r w:rsidRPr="00DA4DBE">
        <w:rPr>
          <w:rFonts w:eastAsia="Times New Roman"/>
          <w:lang w:val="en-US"/>
        </w:rPr>
        <w:lastRenderedPageBreak/>
        <w:t xml:space="preserve">Overall, the impact of U.S. tariff measures on Greece in 2025 is expected to remain limited, given the low exposure of Greek exports, though potential indirect effects should not be </w:t>
      </w:r>
      <w:r>
        <w:rPr>
          <w:rFonts w:eastAsia="Times New Roman"/>
          <w:lang w:val="en-US"/>
        </w:rPr>
        <w:t>underestimated</w:t>
      </w:r>
      <w:r w:rsidRPr="00DA4DBE">
        <w:rPr>
          <w:rFonts w:eastAsia="Times New Roman"/>
          <w:lang w:val="en-US"/>
        </w:rPr>
        <w:t>.</w:t>
      </w:r>
    </w:p>
    <w:p w14:paraId="1D4CB62D" w14:textId="40FF495C" w:rsidR="00FA3A75" w:rsidRPr="00DA4DBE" w:rsidRDefault="00540C3A" w:rsidP="00FA3A75">
      <w:pPr>
        <w:rPr>
          <w:rFonts w:eastAsia="Times New Roman"/>
          <w:lang w:val="en-US"/>
        </w:rPr>
      </w:pPr>
      <w:r>
        <w:rPr>
          <w:rFonts w:eastAsia="Times New Roman"/>
          <w:lang w:val="en-US"/>
        </w:rPr>
        <w:fldChar w:fldCharType="begin"/>
      </w:r>
      <w:r w:rsidR="00FA3A75">
        <w:rPr>
          <w:rFonts w:eastAsia="Times New Roman"/>
          <w:lang w:val="en-US"/>
        </w:rPr>
        <w:instrText xml:space="preserve"> REF _Ref211009371 \h </w:instrText>
      </w:r>
      <w:r>
        <w:rPr>
          <w:rFonts w:eastAsia="Times New Roman"/>
          <w:lang w:val="en-US"/>
        </w:rPr>
      </w:r>
      <w:r>
        <w:rPr>
          <w:rFonts w:eastAsia="Times New Roman"/>
          <w:lang w:val="en-US"/>
        </w:rPr>
        <w:fldChar w:fldCharType="separate"/>
      </w:r>
      <w:r w:rsidR="00AF0E6B" w:rsidRPr="00AF0E6B">
        <w:rPr>
          <w:lang w:val="en-US"/>
        </w:rPr>
        <w:t xml:space="preserve">Figure </w:t>
      </w:r>
      <w:r w:rsidR="00AF0E6B" w:rsidRPr="00AF0E6B">
        <w:rPr>
          <w:noProof/>
          <w:lang w:val="en-US"/>
        </w:rPr>
        <w:t>2</w:t>
      </w:r>
      <w:r>
        <w:rPr>
          <w:rFonts w:eastAsia="Times New Roman"/>
          <w:lang w:val="en-US"/>
        </w:rPr>
        <w:fldChar w:fldCharType="end"/>
      </w:r>
      <w:r w:rsidR="00FA3A75">
        <w:rPr>
          <w:rFonts w:eastAsia="Times New Roman"/>
          <w:lang w:val="en-US"/>
        </w:rPr>
        <w:t xml:space="preserve"> </w:t>
      </w:r>
      <w:r w:rsidR="00A03CA9">
        <w:rPr>
          <w:rFonts w:eastAsia="Times New Roman"/>
          <w:lang w:val="en-US"/>
        </w:rPr>
        <w:t>shows</w:t>
      </w:r>
      <w:r w:rsidR="00A03CA9" w:rsidRPr="00DA4DBE">
        <w:rPr>
          <w:rFonts w:eastAsia="Times New Roman"/>
          <w:lang w:val="en-US"/>
        </w:rPr>
        <w:t xml:space="preserve"> </w:t>
      </w:r>
      <w:r w:rsidR="00FA3A75" w:rsidRPr="00DA4DBE">
        <w:rPr>
          <w:rFonts w:eastAsia="Times New Roman"/>
          <w:lang w:val="en-US"/>
        </w:rPr>
        <w:t>the contribution of the components of GDP to the economic growth of Greece and the Eurozone from 2019 onwards.</w:t>
      </w:r>
    </w:p>
    <w:p w14:paraId="22F592AC" w14:textId="23D301A7" w:rsidR="00FA3A75" w:rsidRDefault="00FA3A75" w:rsidP="00FA3A75">
      <w:pPr>
        <w:rPr>
          <w:rFonts w:eastAsia="Times New Roman"/>
          <w:lang w:val="en-US"/>
        </w:rPr>
      </w:pPr>
      <w:r w:rsidRPr="00DA4DBE">
        <w:rPr>
          <w:rFonts w:eastAsia="Times New Roman"/>
          <w:lang w:val="en-US"/>
        </w:rPr>
        <w:t xml:space="preserve">According to </w:t>
      </w:r>
      <w:r w:rsidR="0030359B">
        <w:rPr>
          <w:rFonts w:eastAsia="Times New Roman"/>
          <w:lang w:val="en-US"/>
        </w:rPr>
        <w:t xml:space="preserve">the </w:t>
      </w:r>
      <w:r w:rsidRPr="00DA4DBE">
        <w:rPr>
          <w:rFonts w:eastAsia="Times New Roman"/>
          <w:lang w:val="en-US"/>
        </w:rPr>
        <w:t xml:space="preserve">European Commission data, domestic demand in the Eurozone recovered in 2024, though at a moderate pace, recording an increase of 0.8% compared </w:t>
      </w:r>
      <w:r w:rsidR="00A03CA9">
        <w:rPr>
          <w:rFonts w:eastAsia="Times New Roman"/>
          <w:lang w:val="en-US"/>
        </w:rPr>
        <w:t>to</w:t>
      </w:r>
      <w:r w:rsidR="00A03CA9" w:rsidRPr="00DA4DBE">
        <w:rPr>
          <w:rFonts w:eastAsia="Times New Roman"/>
          <w:lang w:val="en-US"/>
        </w:rPr>
        <w:t xml:space="preserve"> </w:t>
      </w:r>
      <w:r w:rsidRPr="00DA4DBE">
        <w:rPr>
          <w:rFonts w:eastAsia="Times New Roman"/>
          <w:lang w:val="en-US"/>
        </w:rPr>
        <w:t>a marginal increase of 0.2% in 2023. This recovery was gradual, as consumers remained cautious due to inflationary pressures. In Greece, domestic demand increased by 1.3% in 2023, and this momentum accelerated significantly in 2024, with domestic demand rising by 2.1% on an</w:t>
      </w:r>
      <w:r w:rsidRPr="005B4EAA">
        <w:rPr>
          <w:lang w:val="en-US"/>
        </w:rPr>
        <w:t xml:space="preserve"> </w:t>
      </w:r>
      <w:r w:rsidRPr="00DA4DBE">
        <w:rPr>
          <w:rFonts w:eastAsia="Times New Roman"/>
          <w:lang w:val="en-US"/>
        </w:rPr>
        <w:t>annual basis. This performance ranked Greece among the top ten Eurozone member states in terms of strong and sustained growth in domestic demand in 2024, as illustrated in</w:t>
      </w:r>
      <w:r w:rsidR="00DC51E6">
        <w:rPr>
          <w:rFonts w:eastAsia="Times New Roman"/>
          <w:lang w:val="en-US"/>
        </w:rPr>
        <w:t xml:space="preserve"> </w:t>
      </w:r>
      <w:r w:rsidR="00540C3A">
        <w:rPr>
          <w:rFonts w:eastAsia="Times New Roman"/>
          <w:lang w:val="en-US"/>
        </w:rPr>
        <w:fldChar w:fldCharType="begin"/>
      </w:r>
      <w:r w:rsidR="00DC51E6">
        <w:rPr>
          <w:rFonts w:eastAsia="Times New Roman"/>
          <w:lang w:val="en-US"/>
        </w:rPr>
        <w:instrText xml:space="preserve"> REF _Ref211009449 \h </w:instrText>
      </w:r>
      <w:r w:rsidR="00540C3A">
        <w:rPr>
          <w:rFonts w:eastAsia="Times New Roman"/>
          <w:lang w:val="en-US"/>
        </w:rPr>
      </w:r>
      <w:r w:rsidR="00540C3A">
        <w:rPr>
          <w:rFonts w:eastAsia="Times New Roman"/>
          <w:lang w:val="en-US"/>
        </w:rPr>
        <w:fldChar w:fldCharType="separate"/>
      </w:r>
      <w:r w:rsidR="00AF0E6B" w:rsidRPr="00AF0E6B">
        <w:rPr>
          <w:lang w:val="en-US"/>
        </w:rPr>
        <w:t xml:space="preserve">Figure </w:t>
      </w:r>
      <w:r w:rsidR="00AF0E6B" w:rsidRPr="00AF0E6B">
        <w:rPr>
          <w:noProof/>
          <w:lang w:val="en-US"/>
        </w:rPr>
        <w:t>3</w:t>
      </w:r>
      <w:r w:rsidR="00540C3A">
        <w:rPr>
          <w:rFonts w:eastAsia="Times New Roman"/>
          <w:lang w:val="en-US"/>
        </w:rPr>
        <w:fldChar w:fldCharType="end"/>
      </w:r>
      <w:r w:rsidRPr="00DA4DBE">
        <w:rPr>
          <w:rFonts w:eastAsia="Times New Roman"/>
          <w:lang w:val="en-US"/>
        </w:rPr>
        <w:t>.</w:t>
      </w:r>
    </w:p>
    <w:p w14:paraId="42089E69" w14:textId="7E46CFF7" w:rsidR="00FA3A75" w:rsidRPr="006B7588" w:rsidRDefault="00DC51E6" w:rsidP="00DC51E6">
      <w:pPr>
        <w:pStyle w:val="ae"/>
        <w:rPr>
          <w:rFonts w:cs="Arial"/>
        </w:rPr>
      </w:pPr>
      <w:bookmarkStart w:id="12" w:name="_Ref211009449"/>
      <w:bookmarkStart w:id="13" w:name="_Toc211355196"/>
      <w:bookmarkStart w:id="14" w:name="_Hlk209600768"/>
      <w:r>
        <w:t xml:space="preserve">Figure </w:t>
      </w:r>
      <w:r w:rsidR="00540C3A">
        <w:fldChar w:fldCharType="begin"/>
      </w:r>
      <w:r>
        <w:instrText xml:space="preserve"> SEQ Figure \* ARABIC </w:instrText>
      </w:r>
      <w:r w:rsidR="00540C3A">
        <w:fldChar w:fldCharType="separate"/>
      </w:r>
      <w:r w:rsidR="00AF0E6B">
        <w:rPr>
          <w:noProof/>
        </w:rPr>
        <w:t>3</w:t>
      </w:r>
      <w:r w:rsidR="00540C3A">
        <w:fldChar w:fldCharType="end"/>
      </w:r>
      <w:bookmarkEnd w:id="12"/>
      <w:r>
        <w:t xml:space="preserve"> | </w:t>
      </w:r>
      <w:r w:rsidR="00FA3A75">
        <w:t>Real</w:t>
      </w:r>
      <w:r w:rsidR="00FA3A75" w:rsidRPr="006B7588">
        <w:t xml:space="preserve"> </w:t>
      </w:r>
      <w:r w:rsidR="00FA3A75">
        <w:t>domestic</w:t>
      </w:r>
      <w:r w:rsidR="00FA3A75" w:rsidRPr="006B7588">
        <w:t xml:space="preserve"> </w:t>
      </w:r>
      <w:r w:rsidR="00FA3A75">
        <w:t>demand</w:t>
      </w:r>
      <w:r w:rsidR="00FA3A75" w:rsidRPr="006B7588">
        <w:t xml:space="preserve"> </w:t>
      </w:r>
      <w:r w:rsidR="00FA3A75">
        <w:t>in</w:t>
      </w:r>
      <w:r w:rsidR="00FA3A75" w:rsidRPr="006B7588">
        <w:t xml:space="preserve"> </w:t>
      </w:r>
      <w:r w:rsidR="00FA3A75">
        <w:t xml:space="preserve">the Euro Area </w:t>
      </w:r>
      <w:r w:rsidR="00FA3A75" w:rsidRPr="006B7588">
        <w:rPr>
          <w:rFonts w:cs="Arial"/>
        </w:rPr>
        <w:t>2024-2023</w:t>
      </w:r>
      <w:bookmarkEnd w:id="13"/>
    </w:p>
    <w:p w14:paraId="5FB1F863" w14:textId="11B5F95E" w:rsidR="00FA3A75" w:rsidRDefault="00FA3A75" w:rsidP="00DC51E6">
      <w:pPr>
        <w:pStyle w:val="figureright-handed"/>
      </w:pPr>
      <w:r w:rsidRPr="00660772">
        <w:t>(annual rates of changes %, including changes in inventories)</w:t>
      </w:r>
    </w:p>
    <w:p w14:paraId="77FF0E65" w14:textId="44EBED95" w:rsidR="00080AD8" w:rsidRPr="00080AD8" w:rsidRDefault="00080AD8" w:rsidP="00080AD8">
      <w:pPr>
        <w:rPr>
          <w:lang w:val="en-US"/>
        </w:rPr>
      </w:pPr>
      <w:r>
        <w:rPr>
          <w:noProof/>
          <w:lang w:val="en-US"/>
        </w:rPr>
        <w:drawing>
          <wp:inline distT="0" distB="0" distL="0" distR="0" wp14:anchorId="75237507" wp14:editId="755D2A48">
            <wp:extent cx="5601970" cy="3140588"/>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7038" cy="3149035"/>
                    </a:xfrm>
                    <a:prstGeom prst="rect">
                      <a:avLst/>
                    </a:prstGeom>
                    <a:noFill/>
                  </pic:spPr>
                </pic:pic>
              </a:graphicData>
            </a:graphic>
          </wp:inline>
        </w:drawing>
      </w:r>
    </w:p>
    <w:bookmarkEnd w:id="14"/>
    <w:p w14:paraId="23E8FDCB" w14:textId="77777777" w:rsidR="00FA3A75" w:rsidRPr="00385F38" w:rsidRDefault="00FA3A75" w:rsidP="00DC51E6">
      <w:pPr>
        <w:pBdr>
          <w:top w:val="single" w:sz="18" w:space="1" w:color="4F81BD" w:themeColor="accent1"/>
        </w:pBdr>
        <w:spacing w:line="276" w:lineRule="auto"/>
        <w:jc w:val="left"/>
        <w:rPr>
          <w:sz w:val="20"/>
          <w:lang w:val="en-US"/>
        </w:rPr>
      </w:pPr>
      <w:r w:rsidRPr="00385F38">
        <w:rPr>
          <w:sz w:val="20"/>
          <w:lang w:val="en-US"/>
        </w:rPr>
        <w:t>Source: European Commission AMECΟ macroeconomic database.</w:t>
      </w:r>
    </w:p>
    <w:p w14:paraId="3C5D09B9" w14:textId="758BAE18" w:rsidR="00FA3A75" w:rsidRPr="00DA4DBE" w:rsidRDefault="00A03CA9" w:rsidP="00DC51E6">
      <w:pPr>
        <w:rPr>
          <w:rFonts w:eastAsia="Times New Roman"/>
          <w:lang w:val="en-US"/>
        </w:rPr>
      </w:pPr>
      <w:bookmarkStart w:id="15" w:name="_Hlk209600839"/>
      <w:r>
        <w:rPr>
          <w:rFonts w:eastAsia="Times New Roman"/>
          <w:lang w:val="en-US"/>
        </w:rPr>
        <w:t>During</w:t>
      </w:r>
      <w:r w:rsidRPr="00DA4DBE">
        <w:rPr>
          <w:rFonts w:eastAsia="Times New Roman"/>
          <w:lang w:val="en-US"/>
        </w:rPr>
        <w:t xml:space="preserve"> </w:t>
      </w:r>
      <w:r w:rsidR="00FA3A75" w:rsidRPr="00DA4DBE">
        <w:rPr>
          <w:rFonts w:eastAsia="Times New Roman"/>
          <w:lang w:val="en-US"/>
        </w:rPr>
        <w:t>the first half of 2025, the growth of the Greek economy stood at 2.0%, matching the pace of the first half of the previous year and exceeding the EU (1.6%) and Eurozone (1.5%)</w:t>
      </w:r>
      <w:r w:rsidR="0030359B">
        <w:rPr>
          <w:rFonts w:eastAsia="Times New Roman"/>
          <w:lang w:val="en-US"/>
        </w:rPr>
        <w:t xml:space="preserve"> rates</w:t>
      </w:r>
      <w:r w:rsidR="00FA3A75" w:rsidRPr="00DA4DBE">
        <w:rPr>
          <w:rFonts w:eastAsia="Times New Roman"/>
          <w:lang w:val="en-US"/>
        </w:rPr>
        <w:t>. The main growth drivers during the first half of the current year were private consumption, contributing one (1) pp</w:t>
      </w:r>
      <w:r w:rsidR="005D5ECF">
        <w:rPr>
          <w:rFonts w:eastAsia="Times New Roman"/>
          <w:lang w:val="en-US"/>
        </w:rPr>
        <w:t xml:space="preserve"> </w:t>
      </w:r>
      <w:r w:rsidR="00FA3A75" w:rsidRPr="00DA4DBE">
        <w:rPr>
          <w:rFonts w:eastAsia="Times New Roman"/>
          <w:lang w:val="en-US"/>
        </w:rPr>
        <w:t xml:space="preserve">to GDP (with an annual change of 1.5%), and investments, contributing 0.3 pp to GDP (with an annual change of 2.1%). </w:t>
      </w:r>
    </w:p>
    <w:p w14:paraId="584AC1CB" w14:textId="0AA2B752" w:rsidR="00FA3A75" w:rsidRPr="00DA4DBE" w:rsidRDefault="00FA3A75" w:rsidP="00DC51E6">
      <w:pPr>
        <w:rPr>
          <w:rFonts w:eastAsia="Times New Roman"/>
          <w:lang w:val="en-US"/>
        </w:rPr>
      </w:pPr>
      <w:r w:rsidRPr="00DA4DBE">
        <w:rPr>
          <w:rFonts w:eastAsia="Times New Roman"/>
          <w:lang w:val="en-US"/>
        </w:rPr>
        <w:t xml:space="preserve">Total exports (of goods and services) in the first half of 2025 increased by 2.2%, while imports (of goods and services) fell by 0.5%. Despite ongoing uncertainty over global tariff policies, the Greek economy continued to expand on an annual basis in Q2 2025 by 1.7% (in real terms), compared </w:t>
      </w:r>
      <w:r w:rsidR="006855C1">
        <w:rPr>
          <w:rFonts w:eastAsia="Times New Roman"/>
          <w:lang w:val="en-US"/>
        </w:rPr>
        <w:t>to</w:t>
      </w:r>
      <w:r w:rsidR="006855C1" w:rsidRPr="00DA4DBE">
        <w:rPr>
          <w:rFonts w:eastAsia="Times New Roman"/>
          <w:lang w:val="en-US"/>
        </w:rPr>
        <w:t xml:space="preserve"> </w:t>
      </w:r>
      <w:r w:rsidRPr="00DA4DBE">
        <w:rPr>
          <w:rFonts w:eastAsia="Times New Roman"/>
          <w:lang w:val="en-US"/>
        </w:rPr>
        <w:t>a 2.2% increase recorded in Q1 2025.</w:t>
      </w:r>
    </w:p>
    <w:p w14:paraId="46F95C71" w14:textId="1F5F8E25" w:rsidR="00FA3A75" w:rsidRPr="00DA4DBE" w:rsidRDefault="00FA3A75" w:rsidP="00DC51E6">
      <w:pPr>
        <w:rPr>
          <w:rFonts w:eastAsia="Times New Roman"/>
          <w:lang w:val="en-US"/>
        </w:rPr>
      </w:pPr>
      <w:r w:rsidRPr="00DA4DBE">
        <w:rPr>
          <w:rFonts w:eastAsia="Times New Roman"/>
          <w:lang w:val="en-US"/>
        </w:rPr>
        <w:lastRenderedPageBreak/>
        <w:t>In terms of GDP components (constant prices), the continued increase in private consumption by 1.1% in Q2 2025 is directly linked to positive developments in the labo</w:t>
      </w:r>
      <w:r w:rsidR="00110490">
        <w:rPr>
          <w:rFonts w:eastAsia="Times New Roman"/>
          <w:lang w:val="en-US"/>
        </w:rPr>
        <w:t>u</w:t>
      </w:r>
      <w:r w:rsidRPr="00DA4DBE">
        <w:rPr>
          <w:rFonts w:eastAsia="Times New Roman"/>
          <w:lang w:val="en-US"/>
        </w:rPr>
        <w:t xml:space="preserve">r market, as employment continued to strengthen, </w:t>
      </w:r>
      <w:r w:rsidR="0030359B">
        <w:rPr>
          <w:rFonts w:eastAsia="Times New Roman"/>
          <w:lang w:val="en-US"/>
        </w:rPr>
        <w:t>enhancing</w:t>
      </w:r>
      <w:r w:rsidRPr="00DA4DBE">
        <w:rPr>
          <w:rFonts w:eastAsia="Times New Roman"/>
          <w:lang w:val="en-US"/>
        </w:rPr>
        <w:t xml:space="preserve"> households</w:t>
      </w:r>
      <w:r w:rsidR="0030359B">
        <w:rPr>
          <w:rFonts w:eastAsia="Times New Roman"/>
          <w:lang w:val="en-US"/>
        </w:rPr>
        <w:t>’ income</w:t>
      </w:r>
      <w:r w:rsidRPr="00DA4DBE">
        <w:rPr>
          <w:rFonts w:eastAsia="Times New Roman"/>
          <w:lang w:val="en-US"/>
        </w:rPr>
        <w:t xml:space="preserve">. At the same time, the rise in average wages in both the private and public sectors played </w:t>
      </w:r>
      <w:r w:rsidR="0030359B">
        <w:rPr>
          <w:rFonts w:eastAsia="Times New Roman"/>
          <w:lang w:val="en-US"/>
        </w:rPr>
        <w:t xml:space="preserve">a </w:t>
      </w:r>
      <w:r w:rsidRPr="00DA4DBE">
        <w:rPr>
          <w:rFonts w:eastAsia="Times New Roman"/>
          <w:lang w:val="en-US"/>
        </w:rPr>
        <w:t xml:space="preserve">major role in supporting consumption, helping to </w:t>
      </w:r>
      <w:r w:rsidR="006855C1">
        <w:rPr>
          <w:rFonts w:eastAsia="Times New Roman"/>
          <w:lang w:val="en-US"/>
        </w:rPr>
        <w:t>mitigate</w:t>
      </w:r>
      <w:r w:rsidR="006855C1" w:rsidRPr="00DA4DBE">
        <w:rPr>
          <w:rFonts w:eastAsia="Times New Roman"/>
          <w:lang w:val="en-US"/>
        </w:rPr>
        <w:t xml:space="preserve"> </w:t>
      </w:r>
      <w:r w:rsidRPr="00DA4DBE">
        <w:rPr>
          <w:rFonts w:eastAsia="Times New Roman"/>
          <w:lang w:val="en-US"/>
        </w:rPr>
        <w:t>the impact of inflationary pressures</w:t>
      </w:r>
      <w:r w:rsidR="006855C1">
        <w:rPr>
          <w:rFonts w:eastAsia="Times New Roman"/>
          <w:lang w:val="en-US"/>
        </w:rPr>
        <w:t xml:space="preserve"> for households</w:t>
      </w:r>
      <w:r w:rsidRPr="00DA4DBE">
        <w:rPr>
          <w:rFonts w:eastAsia="Times New Roman"/>
          <w:lang w:val="en-US"/>
        </w:rPr>
        <w:t>.</w:t>
      </w:r>
    </w:p>
    <w:p w14:paraId="675C30C4" w14:textId="5CDC33FC" w:rsidR="00FA3A75" w:rsidRPr="00DA4DBE" w:rsidRDefault="00FA3A75" w:rsidP="00DC51E6">
      <w:pPr>
        <w:rPr>
          <w:rFonts w:eastAsia="Times New Roman"/>
          <w:lang w:val="en-US"/>
        </w:rPr>
      </w:pPr>
      <w:r w:rsidRPr="00DA4DBE">
        <w:rPr>
          <w:rFonts w:eastAsia="Times New Roman"/>
          <w:lang w:val="en-US"/>
        </w:rPr>
        <w:t>Investments rebounded significantly in Q2 2025, compared to Q1 2025, increasing by 6.5% on an annual basis. This was largely supported by inflows from the Public Investment Programme (PIP), which also includes funds from the European Recovery and Resilience Facility (RRF). The strongest gains were recorded in “Transport equipment” (</w:t>
      </w:r>
      <w:r w:rsidR="00E10D74">
        <w:rPr>
          <w:rFonts w:eastAsia="Times New Roman"/>
          <w:lang w:val="en-US"/>
        </w:rPr>
        <w:t>by</w:t>
      </w:r>
      <w:r w:rsidR="00E10D74" w:rsidRPr="00DA4DBE">
        <w:rPr>
          <w:rFonts w:eastAsia="Times New Roman"/>
          <w:lang w:val="en-US"/>
        </w:rPr>
        <w:t xml:space="preserve"> </w:t>
      </w:r>
      <w:r w:rsidRPr="00DA4DBE">
        <w:rPr>
          <w:rFonts w:eastAsia="Times New Roman"/>
          <w:lang w:val="en-US"/>
        </w:rPr>
        <w:t>30.4%), “Residential buildings” (</w:t>
      </w:r>
      <w:r w:rsidR="00E10D74">
        <w:rPr>
          <w:rFonts w:eastAsia="Times New Roman"/>
          <w:lang w:val="en-US"/>
        </w:rPr>
        <w:t>by</w:t>
      </w:r>
      <w:r w:rsidR="00E10D74" w:rsidRPr="00DA4DBE">
        <w:rPr>
          <w:rFonts w:eastAsia="Times New Roman"/>
          <w:lang w:val="en-US"/>
        </w:rPr>
        <w:t xml:space="preserve"> </w:t>
      </w:r>
      <w:r w:rsidRPr="00DA4DBE">
        <w:rPr>
          <w:rFonts w:eastAsia="Times New Roman"/>
          <w:lang w:val="en-US"/>
        </w:rPr>
        <w:t>15.2%), “Agricultural products” (</w:t>
      </w:r>
      <w:r w:rsidR="00E10D74">
        <w:rPr>
          <w:rFonts w:eastAsia="Times New Roman"/>
          <w:lang w:val="en-US"/>
        </w:rPr>
        <w:t>by</w:t>
      </w:r>
      <w:r w:rsidR="00E10D74" w:rsidRPr="00DA4DBE">
        <w:rPr>
          <w:rFonts w:eastAsia="Times New Roman"/>
          <w:lang w:val="en-US"/>
        </w:rPr>
        <w:t xml:space="preserve"> </w:t>
      </w:r>
      <w:r w:rsidRPr="00DA4DBE">
        <w:rPr>
          <w:rFonts w:eastAsia="Times New Roman"/>
          <w:lang w:val="en-US"/>
        </w:rPr>
        <w:t>8.3%), and “Other constructions,” which mainly include productive investments (</w:t>
      </w:r>
      <w:r w:rsidR="00E10D74">
        <w:rPr>
          <w:rFonts w:eastAsia="Times New Roman"/>
          <w:lang w:val="en-US"/>
        </w:rPr>
        <w:t>by</w:t>
      </w:r>
      <w:r w:rsidR="00E10D74" w:rsidRPr="00DA4DBE">
        <w:rPr>
          <w:rFonts w:eastAsia="Times New Roman"/>
          <w:lang w:val="en-US"/>
        </w:rPr>
        <w:t xml:space="preserve"> </w:t>
      </w:r>
      <w:r w:rsidRPr="00DA4DBE">
        <w:rPr>
          <w:rFonts w:eastAsia="Times New Roman"/>
          <w:lang w:val="en-US"/>
        </w:rPr>
        <w:t>7.7%).</w:t>
      </w:r>
    </w:p>
    <w:p w14:paraId="56C7C79D" w14:textId="77777777" w:rsidR="00FA3A75" w:rsidRPr="00DA4DBE" w:rsidRDefault="00FA3A75" w:rsidP="00DC51E6">
      <w:pPr>
        <w:rPr>
          <w:lang w:val="en-US"/>
        </w:rPr>
      </w:pPr>
      <w:r w:rsidRPr="00DA4DBE">
        <w:rPr>
          <w:lang w:val="en-US"/>
        </w:rPr>
        <w:t>Public consumption also contributed positively to growth in Q2 2025, rising by 0.7% compared with Q2 2024.</w:t>
      </w:r>
    </w:p>
    <w:p w14:paraId="4941A7E7" w14:textId="4AB1C1D2" w:rsidR="00FA3A75" w:rsidRPr="00DA4DBE" w:rsidRDefault="00FA3A75" w:rsidP="00DC51E6">
      <w:pPr>
        <w:rPr>
          <w:rFonts w:eastAsia="Times New Roman"/>
          <w:lang w:val="en-US"/>
        </w:rPr>
      </w:pPr>
      <w:r w:rsidRPr="00DA4DBE">
        <w:rPr>
          <w:rFonts w:eastAsia="Times New Roman"/>
          <w:lang w:val="en-US"/>
        </w:rPr>
        <w:t xml:space="preserve">During the same period, Greek exports of goods and services maintained </w:t>
      </w:r>
      <w:r w:rsidR="00E35537">
        <w:rPr>
          <w:rFonts w:eastAsia="Times New Roman"/>
          <w:lang w:val="en-US"/>
        </w:rPr>
        <w:t>an</w:t>
      </w:r>
      <w:r w:rsidR="00E35537" w:rsidRPr="00DA4DBE">
        <w:rPr>
          <w:rFonts w:eastAsia="Times New Roman"/>
          <w:lang w:val="en-US"/>
        </w:rPr>
        <w:t xml:space="preserve"> </w:t>
      </w:r>
      <w:r w:rsidRPr="00DA4DBE">
        <w:rPr>
          <w:rFonts w:eastAsia="Times New Roman"/>
          <w:lang w:val="en-US"/>
        </w:rPr>
        <w:t xml:space="preserve">upward trend, increasing by 1.9% compared </w:t>
      </w:r>
      <w:r w:rsidR="00E35537">
        <w:rPr>
          <w:rFonts w:eastAsia="Times New Roman"/>
          <w:lang w:val="en-US"/>
        </w:rPr>
        <w:t>to</w:t>
      </w:r>
      <w:r w:rsidR="00E35537" w:rsidRPr="00DA4DBE">
        <w:rPr>
          <w:rFonts w:eastAsia="Times New Roman"/>
          <w:lang w:val="en-US"/>
        </w:rPr>
        <w:t xml:space="preserve"> </w:t>
      </w:r>
      <w:r w:rsidRPr="00DA4DBE">
        <w:rPr>
          <w:rFonts w:eastAsia="Times New Roman"/>
          <w:lang w:val="en-US"/>
        </w:rPr>
        <w:t xml:space="preserve">Q2 2024. This </w:t>
      </w:r>
      <w:r w:rsidR="00E35537">
        <w:rPr>
          <w:rFonts w:eastAsia="Times New Roman"/>
          <w:lang w:val="en-US"/>
        </w:rPr>
        <w:t>trend</w:t>
      </w:r>
      <w:r w:rsidR="00E35537" w:rsidRPr="00DA4DBE">
        <w:rPr>
          <w:rFonts w:eastAsia="Times New Roman"/>
          <w:lang w:val="en-US"/>
        </w:rPr>
        <w:t xml:space="preserve"> </w:t>
      </w:r>
      <w:r w:rsidRPr="00DA4DBE">
        <w:rPr>
          <w:rFonts w:eastAsia="Times New Roman"/>
          <w:lang w:val="en-US"/>
        </w:rPr>
        <w:t>was mainly driven by service exports,</w:t>
      </w:r>
      <w:r w:rsidRPr="005B4EAA">
        <w:rPr>
          <w:lang w:val="en-US"/>
        </w:rPr>
        <w:t xml:space="preserve"> </w:t>
      </w:r>
      <w:r w:rsidRPr="00DA4DBE">
        <w:rPr>
          <w:rFonts w:eastAsia="Times New Roman"/>
          <w:lang w:val="en-US"/>
        </w:rPr>
        <w:t>which rose by 3.9%, primarily reflecting the continued strong performance of tourism and corresponding high receipts.</w:t>
      </w:r>
    </w:p>
    <w:p w14:paraId="76D328E6" w14:textId="41691E37" w:rsidR="00FA3A75" w:rsidRDefault="00FA3A75" w:rsidP="00DC51E6">
      <w:pPr>
        <w:rPr>
          <w:rFonts w:eastAsia="Times New Roman"/>
          <w:lang w:val="en-US"/>
        </w:rPr>
      </w:pPr>
      <w:r w:rsidRPr="00DA4DBE">
        <w:rPr>
          <w:rFonts w:eastAsia="Times New Roman"/>
          <w:lang w:val="en-US"/>
        </w:rPr>
        <w:t>Imports of goods and services in Q2 2025 declined by 3.2% compared with Q2 2024, mainly due to a 4.8% decrease in goods imports. This development contributed overall to the improvement in the trade deficit, while service imports increased by 1.5%.</w:t>
      </w:r>
    </w:p>
    <w:p w14:paraId="1DD4F38C" w14:textId="3D585B12" w:rsidR="00FA3A75" w:rsidRDefault="00DC51E6" w:rsidP="00DC51E6">
      <w:pPr>
        <w:pStyle w:val="ae"/>
        <w:rPr>
          <w:b w:val="0"/>
        </w:rPr>
      </w:pPr>
      <w:bookmarkStart w:id="16" w:name="_Ref211009551"/>
      <w:bookmarkStart w:id="17" w:name="_Toc211355197"/>
      <w:r>
        <w:t xml:space="preserve">Figure </w:t>
      </w:r>
      <w:r w:rsidR="00540C3A">
        <w:fldChar w:fldCharType="begin"/>
      </w:r>
      <w:r>
        <w:instrText xml:space="preserve"> SEQ Figure \* ARABIC </w:instrText>
      </w:r>
      <w:r w:rsidR="00540C3A">
        <w:fldChar w:fldCharType="separate"/>
      </w:r>
      <w:r w:rsidR="00AF0E6B">
        <w:rPr>
          <w:noProof/>
        </w:rPr>
        <w:t>4</w:t>
      </w:r>
      <w:r w:rsidR="00540C3A">
        <w:fldChar w:fldCharType="end"/>
      </w:r>
      <w:bookmarkEnd w:id="16"/>
      <w:r>
        <w:t xml:space="preserve"> | </w:t>
      </w:r>
      <w:r w:rsidR="00FA3A75">
        <w:t>Evolution</w:t>
      </w:r>
      <w:r w:rsidR="00FA3A75" w:rsidRPr="006B7588">
        <w:t xml:space="preserve"> </w:t>
      </w:r>
      <w:r w:rsidR="00FA3A75">
        <w:t>of</w:t>
      </w:r>
      <w:r w:rsidR="00FA3A75" w:rsidRPr="006B7588">
        <w:t xml:space="preserve"> </w:t>
      </w:r>
      <w:r w:rsidR="0030359B">
        <w:t>the contribution</w:t>
      </w:r>
      <w:r w:rsidR="0030359B" w:rsidRPr="006B7588">
        <w:t xml:space="preserve"> </w:t>
      </w:r>
      <w:r w:rsidR="0030359B">
        <w:t xml:space="preserve">of </w:t>
      </w:r>
      <w:r w:rsidR="00FA3A75" w:rsidRPr="006B7588">
        <w:t xml:space="preserve">GDP </w:t>
      </w:r>
      <w:r w:rsidR="00FA3A75">
        <w:t>component</w:t>
      </w:r>
      <w:r w:rsidR="0030359B">
        <w:t>s</w:t>
      </w:r>
      <w:r w:rsidR="00FA3A75">
        <w:t xml:space="preserve"> </w:t>
      </w:r>
      <w:r w:rsidR="00FA3A75" w:rsidRPr="006B7588">
        <w:t>2021</w:t>
      </w:r>
      <w:r w:rsidR="00C40F6D">
        <w:t>-</w:t>
      </w:r>
      <w:r w:rsidR="00FA3A75" w:rsidRPr="00982682">
        <w:t>Q</w:t>
      </w:r>
      <w:r w:rsidR="00FA3A75" w:rsidRPr="006B7588">
        <w:t xml:space="preserve">2 2025 </w:t>
      </w:r>
      <w:r w:rsidR="00FA3A75" w:rsidRPr="00DC51E6">
        <w:rPr>
          <w:b w:val="0"/>
        </w:rPr>
        <w:t>(Q/Q-4, %)</w:t>
      </w:r>
      <w:bookmarkEnd w:id="17"/>
    </w:p>
    <w:p w14:paraId="208541D5" w14:textId="140980DB" w:rsidR="00080AD8" w:rsidRPr="00080AD8" w:rsidRDefault="00080AD8" w:rsidP="00080AD8">
      <w:pPr>
        <w:rPr>
          <w:lang w:val="en-US" w:eastAsia="en-US"/>
        </w:rPr>
      </w:pPr>
      <w:r>
        <w:rPr>
          <w:noProof/>
          <w:lang w:val="en-US" w:eastAsia="en-US"/>
        </w:rPr>
        <w:drawing>
          <wp:inline distT="0" distB="0" distL="0" distR="0" wp14:anchorId="0348C8AA" wp14:editId="381A7C45">
            <wp:extent cx="5781675" cy="3330457"/>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1561" cy="3347673"/>
                    </a:xfrm>
                    <a:prstGeom prst="rect">
                      <a:avLst/>
                    </a:prstGeom>
                    <a:noFill/>
                  </pic:spPr>
                </pic:pic>
              </a:graphicData>
            </a:graphic>
          </wp:inline>
        </w:drawing>
      </w:r>
    </w:p>
    <w:p w14:paraId="67CC2A04" w14:textId="73D410A0" w:rsidR="00FA3A75" w:rsidRPr="00385F38" w:rsidRDefault="00FA3A75" w:rsidP="00E210D2">
      <w:pPr>
        <w:pBdr>
          <w:top w:val="single" w:sz="18" w:space="1" w:color="4F81BD" w:themeColor="accent1"/>
        </w:pBdr>
        <w:spacing w:after="120" w:line="276" w:lineRule="auto"/>
        <w:jc w:val="left"/>
        <w:rPr>
          <w:sz w:val="20"/>
          <w:lang w:val="en-US"/>
        </w:rPr>
      </w:pPr>
      <w:r w:rsidRPr="00385F38">
        <w:rPr>
          <w:sz w:val="20"/>
          <w:lang w:val="en-US"/>
        </w:rPr>
        <w:t>Source: Quarterly national accounts (ELSTAT, Eurostat), calculations by Ministry of Economy and Finance.</w:t>
      </w:r>
    </w:p>
    <w:bookmarkStart w:id="18" w:name="_Hlk209600896"/>
    <w:bookmarkEnd w:id="15"/>
    <w:p w14:paraId="1E74B957" w14:textId="56B27CD2" w:rsidR="00FA3A75" w:rsidRPr="00DA4DBE" w:rsidRDefault="00540C3A" w:rsidP="00DC51E6">
      <w:pPr>
        <w:rPr>
          <w:lang w:val="en-US"/>
        </w:rPr>
      </w:pPr>
      <w:r>
        <w:rPr>
          <w:lang w:val="en-US"/>
        </w:rPr>
        <w:lastRenderedPageBreak/>
        <w:fldChar w:fldCharType="begin"/>
      </w:r>
      <w:r w:rsidR="00DC51E6">
        <w:rPr>
          <w:lang w:val="en-US"/>
        </w:rPr>
        <w:instrText xml:space="preserve"> REF _Ref211009551 \h  \* MERGEFORMAT </w:instrText>
      </w:r>
      <w:r>
        <w:rPr>
          <w:lang w:val="en-US"/>
        </w:rPr>
      </w:r>
      <w:r>
        <w:rPr>
          <w:lang w:val="en-US"/>
        </w:rPr>
        <w:fldChar w:fldCharType="separate"/>
      </w:r>
      <w:r w:rsidR="00AF0E6B" w:rsidRPr="00AF0E6B">
        <w:rPr>
          <w:lang w:val="en-US"/>
        </w:rPr>
        <w:t>Figure 4</w:t>
      </w:r>
      <w:r>
        <w:rPr>
          <w:lang w:val="en-US"/>
        </w:rPr>
        <w:fldChar w:fldCharType="end"/>
      </w:r>
      <w:r w:rsidR="00F8094E">
        <w:rPr>
          <w:lang w:val="en-US"/>
        </w:rPr>
        <w:t xml:space="preserve"> </w:t>
      </w:r>
      <w:r w:rsidR="002F70CE">
        <w:rPr>
          <w:lang w:val="en-US"/>
        </w:rPr>
        <w:t>shows</w:t>
      </w:r>
      <w:r w:rsidR="00FA3A75" w:rsidRPr="00BA2CBB">
        <w:rPr>
          <w:lang w:val="en-US"/>
        </w:rPr>
        <w:t xml:space="preserve"> the evolution of the contribution of GDP components over time, from </w:t>
      </w:r>
      <w:r w:rsidR="00FA3A75" w:rsidRPr="00DA4DBE">
        <w:rPr>
          <w:lang w:val="en-US"/>
        </w:rPr>
        <w:t>Q1 2021 up to Q2 2025. Specifically, in Q2 2025, the 1.7% growth of the Greek economy was mainly driven by the positive performance of private and public consumption, contributing by 0.8 and 0.1 pp</w:t>
      </w:r>
      <w:r w:rsidR="005D5ECF">
        <w:rPr>
          <w:lang w:val="en-US"/>
        </w:rPr>
        <w:t xml:space="preserve"> </w:t>
      </w:r>
      <w:r w:rsidR="00FA3A75" w:rsidRPr="00DA4DBE">
        <w:rPr>
          <w:lang w:val="en-US"/>
        </w:rPr>
        <w:t xml:space="preserve">respectively, as well as by investments (gross fixed capital formation, excluding inventories), which contributed </w:t>
      </w:r>
      <w:r w:rsidR="00B07AA2">
        <w:rPr>
          <w:lang w:val="en-US"/>
        </w:rPr>
        <w:t xml:space="preserve">by </w:t>
      </w:r>
      <w:r w:rsidR="00FA3A75" w:rsidRPr="00DA4DBE">
        <w:rPr>
          <w:lang w:val="en-US"/>
        </w:rPr>
        <w:t>one (1) pp.</w:t>
      </w:r>
    </w:p>
    <w:p w14:paraId="7EF708EE" w14:textId="5987A7FC" w:rsidR="00FA3A75" w:rsidRPr="00DA4DBE" w:rsidRDefault="00FA3A75" w:rsidP="00DC51E6">
      <w:pPr>
        <w:rPr>
          <w:rFonts w:eastAsia="Times New Roman"/>
          <w:lang w:val="en-US"/>
        </w:rPr>
      </w:pPr>
      <w:r w:rsidRPr="00DA4DBE">
        <w:rPr>
          <w:rFonts w:eastAsia="Times New Roman"/>
          <w:lang w:val="en-US"/>
        </w:rPr>
        <w:t>Exports of goods and services also had a positive impact on GDP in Q2 2025, contributing 0.7 pp</w:t>
      </w:r>
      <w:r w:rsidR="005D5ECF">
        <w:rPr>
          <w:rFonts w:eastAsia="Times New Roman"/>
          <w:lang w:val="en-US"/>
        </w:rPr>
        <w:t xml:space="preserve"> </w:t>
      </w:r>
      <w:r w:rsidRPr="00DA4DBE">
        <w:rPr>
          <w:rFonts w:eastAsia="Times New Roman"/>
          <w:lang w:val="en-US"/>
        </w:rPr>
        <w:t>due to the increase in service exports, which fully offset the marginal decline of 0.2 pp</w:t>
      </w:r>
      <w:r w:rsidR="005D5ECF">
        <w:rPr>
          <w:rFonts w:eastAsia="Times New Roman"/>
          <w:lang w:val="en-US"/>
        </w:rPr>
        <w:t xml:space="preserve"> </w:t>
      </w:r>
      <w:r w:rsidRPr="00DA4DBE">
        <w:rPr>
          <w:rFonts w:eastAsia="Times New Roman"/>
          <w:lang w:val="en-US"/>
        </w:rPr>
        <w:t>in goods exports. Imports of goods and services, following a decrease of 3.2% (-4.8% for goods and +1.5% for services), contributed positively to the impact of net exports on GDP by 2.2 pp.</w:t>
      </w:r>
    </w:p>
    <w:p w14:paraId="661E99DB" w14:textId="75F17E89" w:rsidR="00FA3A75" w:rsidRPr="00DA4DBE" w:rsidRDefault="00FA3A75" w:rsidP="00DC51E6">
      <w:pPr>
        <w:rPr>
          <w:lang w:val="en-US"/>
        </w:rPr>
      </w:pPr>
      <w:r w:rsidRPr="00DA4DBE">
        <w:rPr>
          <w:lang w:val="en-US"/>
        </w:rPr>
        <w:t xml:space="preserve">For the full year 2025, the growth rate of the Greek economy is projected to reach 2.2%. </w:t>
      </w:r>
      <w:r w:rsidR="00420AE1">
        <w:rPr>
          <w:lang w:val="en-US"/>
        </w:rPr>
        <w:t>I</w:t>
      </w:r>
      <w:r w:rsidRPr="00DA4DBE">
        <w:rPr>
          <w:lang w:val="en-US"/>
        </w:rPr>
        <w:t>nvestments</w:t>
      </w:r>
      <w:r w:rsidR="00420AE1">
        <w:rPr>
          <w:lang w:val="en-US"/>
        </w:rPr>
        <w:t>’ high growth rate</w:t>
      </w:r>
      <w:r w:rsidRPr="00DA4DBE">
        <w:rPr>
          <w:lang w:val="en-US"/>
        </w:rPr>
        <w:t xml:space="preserve"> combined with sustained consumption and a positive contribution from net exports, is expected to keep the Greek economy on a growth path throughout the year. In particular, investments are expected to increase by 5.7%, exports of goods and services by 2.2% and private and public consumption by 1.9% and 1.4% respectively.</w:t>
      </w:r>
    </w:p>
    <w:p w14:paraId="3F014917" w14:textId="77777777" w:rsidR="00AA5847" w:rsidRDefault="00FA3A75" w:rsidP="00DC51E6">
      <w:pPr>
        <w:rPr>
          <w:lang w:val="en-US"/>
        </w:rPr>
      </w:pPr>
      <w:r w:rsidRPr="00DA4DBE">
        <w:rPr>
          <w:lang w:val="en-US"/>
        </w:rPr>
        <w:t>The upward trend of the Greek economy during the first half of 2025, despite the persistent uncertainty in the international economic environment, is also evident in terms of real production. Gross Value Added (GVA) recorded an increase of 1.3% compared with the corresponding period of 2024, maintaining its positive dynamic.</w:t>
      </w:r>
    </w:p>
    <w:p w14:paraId="2F5DCBBA" w14:textId="43C5B932" w:rsidR="00FA3A75" w:rsidRPr="006B7588" w:rsidRDefault="00DC51E6" w:rsidP="00FD78A6">
      <w:pPr>
        <w:pStyle w:val="ae"/>
        <w:spacing w:before="120"/>
      </w:pPr>
      <w:bookmarkStart w:id="19" w:name="_Ref211009672"/>
      <w:bookmarkStart w:id="20" w:name="_Toc211355198"/>
      <w:r>
        <w:t xml:space="preserve">Figure </w:t>
      </w:r>
      <w:r w:rsidR="00540C3A">
        <w:fldChar w:fldCharType="begin"/>
      </w:r>
      <w:r>
        <w:instrText xml:space="preserve"> SEQ Figure \* ARABIC </w:instrText>
      </w:r>
      <w:r w:rsidR="00540C3A">
        <w:fldChar w:fldCharType="separate"/>
      </w:r>
      <w:r w:rsidR="00AF0E6B">
        <w:rPr>
          <w:noProof/>
        </w:rPr>
        <w:t>5</w:t>
      </w:r>
      <w:r w:rsidR="00540C3A">
        <w:fldChar w:fldCharType="end"/>
      </w:r>
      <w:bookmarkEnd w:id="19"/>
      <w:r>
        <w:t xml:space="preserve"> |  </w:t>
      </w:r>
      <w:r w:rsidR="00FA3A75">
        <w:t xml:space="preserve">Evolution of Gross Value Added by main industrial sectors </w:t>
      </w:r>
      <w:r w:rsidR="00FA3A75" w:rsidRPr="006B7588">
        <w:rPr>
          <w:rFonts w:cs="Arial"/>
        </w:rPr>
        <w:t>2022</w:t>
      </w:r>
      <w:r w:rsidR="00FA3A75" w:rsidRPr="00982682">
        <w:rPr>
          <w:rFonts w:cs="Arial"/>
        </w:rPr>
        <w:t>Q</w:t>
      </w:r>
      <w:r w:rsidR="00FA3A75" w:rsidRPr="006B7588">
        <w:rPr>
          <w:rFonts w:cs="Arial"/>
        </w:rPr>
        <w:t>1-2025</w:t>
      </w:r>
      <w:r w:rsidR="00FA3A75" w:rsidRPr="00982682">
        <w:rPr>
          <w:rFonts w:cs="Arial"/>
        </w:rPr>
        <w:t>Q</w:t>
      </w:r>
      <w:r w:rsidR="00FA3A75" w:rsidRPr="006B7588">
        <w:rPr>
          <w:rFonts w:cs="Arial"/>
        </w:rPr>
        <w:t>2</w:t>
      </w:r>
      <w:bookmarkEnd w:id="20"/>
    </w:p>
    <w:p w14:paraId="3C5D6647" w14:textId="77777777" w:rsidR="00FA3A75" w:rsidRDefault="00FA3A75" w:rsidP="00DC51E6">
      <w:pPr>
        <w:pStyle w:val="figureright-handed"/>
      </w:pPr>
      <w:r w:rsidRPr="006B7588">
        <w:t>(</w:t>
      </w:r>
      <w:r>
        <w:t>Quarterly</w:t>
      </w:r>
      <w:r w:rsidRPr="006B7588">
        <w:t xml:space="preserve"> </w:t>
      </w:r>
      <w:r>
        <w:t>data</w:t>
      </w:r>
      <w:r w:rsidRPr="006B7588">
        <w:t xml:space="preserve">, </w:t>
      </w:r>
      <w:r>
        <w:t>current</w:t>
      </w:r>
      <w:r w:rsidRPr="006B7588">
        <w:t xml:space="preserve"> </w:t>
      </w:r>
      <w:r>
        <w:t>prices</w:t>
      </w:r>
      <w:r w:rsidRPr="006B7588">
        <w:t xml:space="preserve">, </w:t>
      </w:r>
      <w:r>
        <w:t>seasonally</w:t>
      </w:r>
      <w:r w:rsidRPr="006B7588">
        <w:t xml:space="preserve"> </w:t>
      </w:r>
      <w:r>
        <w:t>adjusted, EUR million</w:t>
      </w:r>
      <w:r w:rsidRPr="006B7588">
        <w:t>)</w:t>
      </w:r>
    </w:p>
    <w:p w14:paraId="61E482C6" w14:textId="4E1F7ECF" w:rsidR="00FA3A75" w:rsidRDefault="00080AD8" w:rsidP="00080AD8">
      <w:pPr>
        <w:rPr>
          <w:rFonts w:eastAsia="Times New Roman"/>
        </w:rPr>
      </w:pPr>
      <w:r>
        <w:rPr>
          <w:rFonts w:eastAsia="Times New Roman"/>
          <w:noProof/>
        </w:rPr>
        <w:drawing>
          <wp:inline distT="0" distB="0" distL="0" distR="0" wp14:anchorId="759D7A9A" wp14:editId="26E03E0A">
            <wp:extent cx="5743575" cy="362654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6768" cy="3641191"/>
                    </a:xfrm>
                    <a:prstGeom prst="rect">
                      <a:avLst/>
                    </a:prstGeom>
                    <a:noFill/>
                  </pic:spPr>
                </pic:pic>
              </a:graphicData>
            </a:graphic>
          </wp:inline>
        </w:drawing>
      </w:r>
    </w:p>
    <w:p w14:paraId="1679CC96" w14:textId="77777777" w:rsidR="00FA3A75" w:rsidRPr="00385F38" w:rsidRDefault="00FA3A75">
      <w:pPr>
        <w:pBdr>
          <w:top w:val="single" w:sz="18" w:space="1" w:color="4F81BD" w:themeColor="accent1"/>
        </w:pBdr>
        <w:spacing w:after="120" w:line="276" w:lineRule="auto"/>
        <w:jc w:val="left"/>
        <w:rPr>
          <w:sz w:val="20"/>
          <w:lang w:val="en-US"/>
        </w:rPr>
      </w:pPr>
      <w:r w:rsidRPr="00385F38">
        <w:rPr>
          <w:sz w:val="20"/>
          <w:lang w:val="en-US"/>
        </w:rPr>
        <w:t>Source: Quarterly national accounts (ELSTAT, Eurostat), calculations of Ministry of Economy and Finance.</w:t>
      </w:r>
      <w:bookmarkEnd w:id="18"/>
    </w:p>
    <w:p w14:paraId="59AA441F" w14:textId="45AF370E" w:rsidR="00FA3A75" w:rsidRPr="00DA4DBE" w:rsidRDefault="00FA3A75" w:rsidP="00FD78A6">
      <w:pPr>
        <w:spacing w:after="200"/>
        <w:rPr>
          <w:lang w:val="en-US"/>
        </w:rPr>
      </w:pPr>
      <w:r w:rsidRPr="00DA4DBE">
        <w:rPr>
          <w:lang w:val="en-US"/>
        </w:rPr>
        <w:lastRenderedPageBreak/>
        <w:t>The evolution of the main economic sectors of the Greek economy over the last three years is presented in</w:t>
      </w:r>
      <w:r w:rsidR="00DC51E6">
        <w:rPr>
          <w:lang w:val="en-US"/>
        </w:rPr>
        <w:t xml:space="preserve"> </w:t>
      </w:r>
      <w:r w:rsidR="00540C3A">
        <w:rPr>
          <w:lang w:val="en-US"/>
        </w:rPr>
        <w:fldChar w:fldCharType="begin"/>
      </w:r>
      <w:r w:rsidR="00DC51E6">
        <w:rPr>
          <w:lang w:val="en-US"/>
        </w:rPr>
        <w:instrText xml:space="preserve"> REF _Ref211009672 \h </w:instrText>
      </w:r>
      <w:r w:rsidR="00540C3A">
        <w:rPr>
          <w:lang w:val="en-US"/>
        </w:rPr>
      </w:r>
      <w:r w:rsidR="00540C3A">
        <w:rPr>
          <w:lang w:val="en-US"/>
        </w:rPr>
        <w:fldChar w:fldCharType="separate"/>
      </w:r>
      <w:r w:rsidR="00AF0E6B" w:rsidRPr="00AF0E6B">
        <w:rPr>
          <w:lang w:val="en-US"/>
        </w:rPr>
        <w:t xml:space="preserve">Figure </w:t>
      </w:r>
      <w:r w:rsidR="00AF0E6B" w:rsidRPr="00AF0E6B">
        <w:rPr>
          <w:noProof/>
          <w:lang w:val="en-US"/>
        </w:rPr>
        <w:t>5</w:t>
      </w:r>
      <w:r w:rsidR="00540C3A">
        <w:rPr>
          <w:lang w:val="en-US"/>
        </w:rPr>
        <w:fldChar w:fldCharType="end"/>
      </w:r>
      <w:r>
        <w:rPr>
          <w:lang w:val="en-US"/>
        </w:rPr>
        <w:t>.</w:t>
      </w:r>
      <w:r w:rsidRPr="00DA4DBE">
        <w:rPr>
          <w:lang w:val="en-US"/>
        </w:rPr>
        <w:t xml:space="preserve"> In the 2nd quarter of 2025, Gross Value Added (GVA) in real terms increased by 1.3%, compared to the corresponding quarter of 2024. The stronger growth was observed in the primary sector, “Agriculture, Forestry and Fisheries”, which expanded by 5.5%, confirming the reversal of the contraction of the agricultural sector as a result of the catastrophic floods in Thessaly in 2023.</w:t>
      </w:r>
    </w:p>
    <w:p w14:paraId="74044ADA" w14:textId="7C820E20" w:rsidR="00FA3A75" w:rsidRPr="00DA4DBE" w:rsidRDefault="00FA3A75" w:rsidP="00FD78A6">
      <w:pPr>
        <w:spacing w:after="200"/>
        <w:rPr>
          <w:lang w:val="en-US"/>
        </w:rPr>
      </w:pPr>
      <w:r w:rsidRPr="00DA4DBE">
        <w:rPr>
          <w:lang w:val="en-US"/>
        </w:rPr>
        <w:t>The secondary sector recorded an overall increase of 1.2%, driven mainly by the construction industry, which grew by 11.0%. The tertiary sector also contributed positively, expanding by 0.9%, driven by the sectors of “Entertainment</w:t>
      </w:r>
      <w:r w:rsidR="00C40F6D">
        <w:rPr>
          <w:lang w:val="en-US"/>
        </w:rPr>
        <w:t>-</w:t>
      </w:r>
      <w:r w:rsidRPr="00DA4DBE">
        <w:rPr>
          <w:lang w:val="en-US"/>
        </w:rPr>
        <w:t>Recreation</w:t>
      </w:r>
      <w:r w:rsidR="00C40F6D">
        <w:rPr>
          <w:lang w:val="en-US"/>
        </w:rPr>
        <w:t>-</w:t>
      </w:r>
      <w:r w:rsidRPr="00DA4DBE">
        <w:rPr>
          <w:lang w:val="en-US"/>
        </w:rPr>
        <w:t>Arts” (8.9%), “Financial and insurance activities” (5.2%), “Professional, scientific, and technical activities” (5.6%), and “Trade, hotels and restaurants, transport and communications” (1.8%).</w:t>
      </w:r>
    </w:p>
    <w:p w14:paraId="63B8751E" w14:textId="17D8CD74" w:rsidR="00FA3A75" w:rsidRPr="00C244FE" w:rsidRDefault="00FA3A75" w:rsidP="00FD78A6">
      <w:pPr>
        <w:spacing w:after="200"/>
        <w:rPr>
          <w:lang w:val="en-US"/>
        </w:rPr>
      </w:pPr>
      <w:r w:rsidRPr="00145E75">
        <w:rPr>
          <w:lang w:val="en-US"/>
        </w:rPr>
        <w:t>The labour market showed sustained growth during the first seven months of 2025, with total employment rising by 1.6% compared to the corresponding period in 2024, according to ELSTAT’s data.</w:t>
      </w:r>
      <w:r w:rsidRPr="00CF47F5">
        <w:rPr>
          <w:lang w:val="en-US"/>
        </w:rPr>
        <w:t xml:space="preserve"> </w:t>
      </w:r>
      <w:r>
        <w:rPr>
          <w:lang w:val="en-US"/>
        </w:rPr>
        <w:t>Based on</w:t>
      </w:r>
      <w:r w:rsidRPr="00CF47F5">
        <w:rPr>
          <w:lang w:val="en-US"/>
        </w:rPr>
        <w:t xml:space="preserve"> ERGANI’s wage earners entry-exit balance, 319,843 new jobs were created in the first seven months of 2025, compared to 304,229 jobs created </w:t>
      </w:r>
      <w:r>
        <w:rPr>
          <w:lang w:val="en-US"/>
        </w:rPr>
        <w:t>in the corresponding</w:t>
      </w:r>
      <w:r w:rsidRPr="00CF47F5">
        <w:rPr>
          <w:lang w:val="en-US"/>
        </w:rPr>
        <w:t xml:space="preserve"> period </w:t>
      </w:r>
      <w:r>
        <w:rPr>
          <w:lang w:val="en-US"/>
        </w:rPr>
        <w:t>of</w:t>
      </w:r>
      <w:r w:rsidRPr="00CF47F5">
        <w:rPr>
          <w:lang w:val="en-US"/>
        </w:rPr>
        <w:t xml:space="preserve"> 2024. This </w:t>
      </w:r>
      <w:r>
        <w:rPr>
          <w:lang w:val="en-US"/>
        </w:rPr>
        <w:t xml:space="preserve">figure </w:t>
      </w:r>
      <w:r w:rsidRPr="00CF47F5">
        <w:rPr>
          <w:lang w:val="en-US"/>
        </w:rPr>
        <w:t xml:space="preserve">represents the highest number of new jobs created in the first seven months of any year since 2001. </w:t>
      </w:r>
      <w:r w:rsidRPr="00602229">
        <w:rPr>
          <w:lang w:val="en-US"/>
        </w:rPr>
        <w:t>During this period, 56.5% of the total hires were full-time contracts, 34.4% part-time contracts and 9.1% temporary employment contracts</w:t>
      </w:r>
      <w:r w:rsidRPr="00145E75">
        <w:rPr>
          <w:lang w:val="en-US"/>
        </w:rPr>
        <w:t xml:space="preserve">. </w:t>
      </w:r>
      <w:r w:rsidRPr="00CF47F5">
        <w:rPr>
          <w:lang w:val="en-US"/>
        </w:rPr>
        <w:t xml:space="preserve">The sectors </w:t>
      </w:r>
      <w:r>
        <w:rPr>
          <w:lang w:val="en-US"/>
        </w:rPr>
        <w:t>showing</w:t>
      </w:r>
      <w:r w:rsidRPr="00CF47F5">
        <w:rPr>
          <w:lang w:val="en-US"/>
        </w:rPr>
        <w:t xml:space="preserve"> the most significant net increases in employment (hires </w:t>
      </w:r>
      <w:r w:rsidR="00DC1906">
        <w:rPr>
          <w:lang w:val="en-US"/>
        </w:rPr>
        <w:t>less of firings</w:t>
      </w:r>
      <w:r w:rsidRPr="00CF47F5">
        <w:rPr>
          <w:lang w:val="en-US"/>
        </w:rPr>
        <w:t>) between January</w:t>
      </w:r>
      <w:r w:rsidR="00011210">
        <w:rPr>
          <w:lang w:val="en-US"/>
        </w:rPr>
        <w:t>-</w:t>
      </w:r>
      <w:r w:rsidRPr="00CF47F5">
        <w:rPr>
          <w:lang w:val="en-US"/>
        </w:rPr>
        <w:t xml:space="preserve">July 2025 predominantly </w:t>
      </w:r>
      <w:r>
        <w:rPr>
          <w:lang w:val="en-US"/>
        </w:rPr>
        <w:t>include</w:t>
      </w:r>
      <w:r w:rsidRPr="00C244FE">
        <w:rPr>
          <w:lang w:val="en-US"/>
        </w:rPr>
        <w:t xml:space="preserve"> catering and accommodation services</w:t>
      </w:r>
      <w:r>
        <w:rPr>
          <w:lang w:val="en-US"/>
        </w:rPr>
        <w:t xml:space="preserve">, </w:t>
      </w:r>
      <w:r w:rsidRPr="00C244FE">
        <w:rPr>
          <w:lang w:val="en-US"/>
        </w:rPr>
        <w:t xml:space="preserve">which are directly linked to tourism and its </w:t>
      </w:r>
      <w:r w:rsidRPr="00843C58">
        <w:rPr>
          <w:lang w:val="en-US"/>
        </w:rPr>
        <w:t xml:space="preserve">substantial </w:t>
      </w:r>
      <w:r w:rsidRPr="00C244FE">
        <w:rPr>
          <w:lang w:val="en-US"/>
        </w:rPr>
        <w:t xml:space="preserve">growth, as well as retail and wholesale trade. </w:t>
      </w:r>
    </w:p>
    <w:p w14:paraId="3671FDB4" w14:textId="734E926F" w:rsidR="00FA3A75" w:rsidRPr="002F7C40" w:rsidRDefault="00FA3A75" w:rsidP="00FD78A6">
      <w:pPr>
        <w:spacing w:after="200"/>
        <w:rPr>
          <w:lang w:val="en-US"/>
        </w:rPr>
      </w:pPr>
      <w:r>
        <w:rPr>
          <w:lang w:val="en-US"/>
        </w:rPr>
        <w:t>Furthermore</w:t>
      </w:r>
      <w:r w:rsidRPr="00890B25">
        <w:rPr>
          <w:lang w:val="en-US"/>
        </w:rPr>
        <w:t xml:space="preserve">, according to ELSTAT’s Labour Force Survey, the number of employees in Q2 2025 amounted to 4,386,832, recording an increase of 4.0% compared to Q1 2025 and an increase of 1.4% compared to Q2 2024. The number of unemployed persons reached 411,722, </w:t>
      </w:r>
      <w:r>
        <w:rPr>
          <w:lang w:val="en-US"/>
        </w:rPr>
        <w:t>down from</w:t>
      </w:r>
      <w:r w:rsidRPr="00890B25">
        <w:rPr>
          <w:lang w:val="en-US"/>
        </w:rPr>
        <w:t xml:space="preserve"> 488,085 </w:t>
      </w:r>
      <w:r>
        <w:rPr>
          <w:lang w:val="en-US"/>
        </w:rPr>
        <w:t xml:space="preserve">in </w:t>
      </w:r>
      <w:r w:rsidRPr="00890B25">
        <w:rPr>
          <w:lang w:val="en-US"/>
        </w:rPr>
        <w:t>Q1 2025, re</w:t>
      </w:r>
      <w:r>
        <w:rPr>
          <w:lang w:val="en-US"/>
        </w:rPr>
        <w:t>presenting</w:t>
      </w:r>
      <w:r w:rsidRPr="00890B25">
        <w:rPr>
          <w:lang w:val="en-US"/>
        </w:rPr>
        <w:t xml:space="preserve"> a 15.7% decrease on </w:t>
      </w:r>
      <w:r>
        <w:rPr>
          <w:lang w:val="en-US"/>
        </w:rPr>
        <w:t xml:space="preserve">a </w:t>
      </w:r>
      <w:r w:rsidRPr="00890B25">
        <w:rPr>
          <w:lang w:val="en-US"/>
        </w:rPr>
        <w:t>q</w:t>
      </w:r>
      <w:r>
        <w:rPr>
          <w:lang w:val="en-US"/>
        </w:rPr>
        <w:t>uarter</w:t>
      </w:r>
      <w:r w:rsidRPr="00890B25">
        <w:rPr>
          <w:lang w:val="en-US"/>
        </w:rPr>
        <w:t>-o</w:t>
      </w:r>
      <w:r>
        <w:rPr>
          <w:lang w:val="en-US"/>
        </w:rPr>
        <w:t>n</w:t>
      </w:r>
      <w:r w:rsidRPr="00890B25">
        <w:rPr>
          <w:lang w:val="en-US"/>
        </w:rPr>
        <w:t>-q</w:t>
      </w:r>
      <w:r>
        <w:rPr>
          <w:lang w:val="en-US"/>
        </w:rPr>
        <w:t>uarter</w:t>
      </w:r>
      <w:r w:rsidRPr="00890B25">
        <w:rPr>
          <w:lang w:val="en-US"/>
        </w:rPr>
        <w:t xml:space="preserve"> basis and a 12.0% decrease</w:t>
      </w:r>
      <w:r w:rsidR="00182912">
        <w:rPr>
          <w:lang w:val="en-US"/>
        </w:rPr>
        <w:t xml:space="preserve"> on a</w:t>
      </w:r>
      <w:r w:rsidRPr="00890B25">
        <w:rPr>
          <w:lang w:val="en-US"/>
        </w:rPr>
        <w:t xml:space="preserve"> y</w:t>
      </w:r>
      <w:r>
        <w:rPr>
          <w:lang w:val="en-US"/>
        </w:rPr>
        <w:t>ear</w:t>
      </w:r>
      <w:r w:rsidRPr="00890B25">
        <w:rPr>
          <w:lang w:val="en-US"/>
        </w:rPr>
        <w:t>-o</w:t>
      </w:r>
      <w:r>
        <w:rPr>
          <w:lang w:val="en-US"/>
        </w:rPr>
        <w:t>n</w:t>
      </w:r>
      <w:r w:rsidRPr="00890B25">
        <w:rPr>
          <w:lang w:val="en-US"/>
        </w:rPr>
        <w:t>-y</w:t>
      </w:r>
      <w:r>
        <w:rPr>
          <w:lang w:val="en-US"/>
        </w:rPr>
        <w:t>ear</w:t>
      </w:r>
      <w:r w:rsidR="00182912">
        <w:rPr>
          <w:lang w:val="en-US"/>
        </w:rPr>
        <w:t xml:space="preserve"> basis</w:t>
      </w:r>
      <w:r w:rsidRPr="00890B25">
        <w:rPr>
          <w:lang w:val="en-US"/>
        </w:rPr>
        <w:t>.</w:t>
      </w:r>
      <w:r w:rsidRPr="002F7C40">
        <w:rPr>
          <w:lang w:val="en-US"/>
        </w:rPr>
        <w:t xml:space="preserve"> </w:t>
      </w:r>
      <w:r w:rsidRPr="00890B25">
        <w:rPr>
          <w:lang w:val="en-US"/>
        </w:rPr>
        <w:t xml:space="preserve">The unemployment rate in </w:t>
      </w:r>
      <w:r w:rsidRPr="008C3495">
        <w:rPr>
          <w:lang w:val="en-US"/>
        </w:rPr>
        <w:t>Q2 2025</w:t>
      </w:r>
      <w:r w:rsidRPr="00890B25">
        <w:rPr>
          <w:lang w:val="en-US"/>
        </w:rPr>
        <w:t xml:space="preserve"> fell to 8.6%, compared to 10.4% in Q1 2025 and 9.8% in Q2 2024.</w:t>
      </w:r>
      <w:r w:rsidRPr="002F7C40">
        <w:rPr>
          <w:lang w:val="en-US"/>
        </w:rPr>
        <w:t xml:space="preserve"> </w:t>
      </w:r>
      <w:r>
        <w:rPr>
          <w:lang w:val="en-US"/>
        </w:rPr>
        <w:t>A</w:t>
      </w:r>
      <w:r w:rsidRPr="00890B25">
        <w:rPr>
          <w:lang w:val="en-US"/>
        </w:rPr>
        <w:t>ccording to Eurostat</w:t>
      </w:r>
      <w:r w:rsidR="00110490">
        <w:rPr>
          <w:lang w:val="en-US"/>
        </w:rPr>
        <w:t>’s</w:t>
      </w:r>
      <w:r w:rsidRPr="00890B25">
        <w:rPr>
          <w:lang w:val="en-US"/>
        </w:rPr>
        <w:t xml:space="preserve"> data</w:t>
      </w:r>
      <w:r>
        <w:rPr>
          <w:lang w:val="en-US"/>
        </w:rPr>
        <w:t>, t</w:t>
      </w:r>
      <w:r w:rsidRPr="00890B25">
        <w:rPr>
          <w:lang w:val="en-US"/>
        </w:rPr>
        <w:t xml:space="preserve">his single-digit </w:t>
      </w:r>
      <w:r>
        <w:rPr>
          <w:lang w:val="en-US"/>
        </w:rPr>
        <w:t xml:space="preserve">unemployment </w:t>
      </w:r>
      <w:r w:rsidRPr="00890B25">
        <w:rPr>
          <w:lang w:val="en-US"/>
        </w:rPr>
        <w:t>rate of 8.6%</w:t>
      </w:r>
      <w:r>
        <w:rPr>
          <w:lang w:val="en-US"/>
        </w:rPr>
        <w:t xml:space="preserve"> </w:t>
      </w:r>
      <w:r w:rsidRPr="00890B25">
        <w:rPr>
          <w:lang w:val="en-US"/>
        </w:rPr>
        <w:t xml:space="preserve">is the lowest </w:t>
      </w:r>
      <w:r>
        <w:rPr>
          <w:lang w:val="en-US"/>
        </w:rPr>
        <w:t>recorded</w:t>
      </w:r>
      <w:r w:rsidRPr="00890B25">
        <w:rPr>
          <w:lang w:val="en-US"/>
        </w:rPr>
        <w:t xml:space="preserve"> since </w:t>
      </w:r>
      <w:r>
        <w:rPr>
          <w:lang w:val="en-US"/>
        </w:rPr>
        <w:t>Q1</w:t>
      </w:r>
      <w:r w:rsidRPr="00890B25">
        <w:rPr>
          <w:lang w:val="en-US"/>
        </w:rPr>
        <w:t xml:space="preserve"> 2009. </w:t>
      </w:r>
      <w:r>
        <w:rPr>
          <w:lang w:val="en-US"/>
        </w:rPr>
        <w:t>Based on</w:t>
      </w:r>
      <w:r w:rsidRPr="00890B25">
        <w:rPr>
          <w:lang w:val="en-US"/>
        </w:rPr>
        <w:t xml:space="preserve"> the latest available </w:t>
      </w:r>
      <w:r>
        <w:rPr>
          <w:lang w:val="en-US"/>
        </w:rPr>
        <w:t xml:space="preserve">data from </w:t>
      </w:r>
      <w:r w:rsidRPr="00890B25">
        <w:rPr>
          <w:lang w:val="en-US"/>
        </w:rPr>
        <w:t>ELSTAT</w:t>
      </w:r>
      <w:r>
        <w:rPr>
          <w:lang w:val="en-US"/>
        </w:rPr>
        <w:t xml:space="preserve"> </w:t>
      </w:r>
      <w:r w:rsidRPr="00890B25">
        <w:rPr>
          <w:lang w:val="en-US"/>
        </w:rPr>
        <w:t>(</w:t>
      </w:r>
      <w:r>
        <w:rPr>
          <w:lang w:val="en-US"/>
        </w:rPr>
        <w:t>October</w:t>
      </w:r>
      <w:r w:rsidRPr="00890B25">
        <w:rPr>
          <w:lang w:val="en-US"/>
        </w:rPr>
        <w:t xml:space="preserve"> 2025), the seasonally adjusted unemployment rate</w:t>
      </w:r>
      <w:r>
        <w:rPr>
          <w:lang w:val="en-US"/>
        </w:rPr>
        <w:t xml:space="preserve"> stood at</w:t>
      </w:r>
      <w:r w:rsidRPr="00890B25">
        <w:rPr>
          <w:lang w:val="en-US"/>
        </w:rPr>
        <w:t xml:space="preserve"> 8.</w:t>
      </w:r>
      <w:r>
        <w:rPr>
          <w:lang w:val="en-US"/>
        </w:rPr>
        <w:t>1</w:t>
      </w:r>
      <w:r w:rsidRPr="00890B25">
        <w:rPr>
          <w:lang w:val="en-US"/>
        </w:rPr>
        <w:t>%</w:t>
      </w:r>
      <w:r>
        <w:rPr>
          <w:lang w:val="en-US"/>
        </w:rPr>
        <w:t xml:space="preserve"> </w:t>
      </w:r>
      <w:r w:rsidRPr="00890B25">
        <w:rPr>
          <w:lang w:val="en-US"/>
        </w:rPr>
        <w:t xml:space="preserve">in </w:t>
      </w:r>
      <w:r>
        <w:rPr>
          <w:lang w:val="en-US"/>
        </w:rPr>
        <w:t>August</w:t>
      </w:r>
      <w:r w:rsidRPr="00890B25">
        <w:rPr>
          <w:lang w:val="en-US"/>
        </w:rPr>
        <w:t xml:space="preserve"> 2025, </w:t>
      </w:r>
      <w:r>
        <w:rPr>
          <w:lang w:val="en-US"/>
        </w:rPr>
        <w:t>down from</w:t>
      </w:r>
      <w:r w:rsidRPr="00890B25">
        <w:rPr>
          <w:lang w:val="en-US"/>
        </w:rPr>
        <w:t xml:space="preserve"> 9.</w:t>
      </w:r>
      <w:r>
        <w:rPr>
          <w:lang w:val="en-US"/>
        </w:rPr>
        <w:t>7</w:t>
      </w:r>
      <w:r w:rsidRPr="00890B25">
        <w:rPr>
          <w:lang w:val="en-US"/>
        </w:rPr>
        <w:t xml:space="preserve">% in </w:t>
      </w:r>
      <w:r>
        <w:rPr>
          <w:lang w:val="en-US"/>
        </w:rPr>
        <w:t>August</w:t>
      </w:r>
      <w:r w:rsidRPr="00890B25">
        <w:rPr>
          <w:lang w:val="en-US"/>
        </w:rPr>
        <w:t xml:space="preserve"> 2024 and </w:t>
      </w:r>
      <w:r>
        <w:rPr>
          <w:lang w:val="en-US"/>
        </w:rPr>
        <w:t>8</w:t>
      </w:r>
      <w:r w:rsidR="00FE574E">
        <w:rPr>
          <w:lang w:val="en-US"/>
        </w:rPr>
        <w:t>.</w:t>
      </w:r>
      <w:r>
        <w:rPr>
          <w:lang w:val="en-US"/>
        </w:rPr>
        <w:t>3% in July</w:t>
      </w:r>
      <w:r w:rsidRPr="00890B25">
        <w:rPr>
          <w:lang w:val="en-US"/>
        </w:rPr>
        <w:t xml:space="preserve"> 2025.</w:t>
      </w:r>
    </w:p>
    <w:p w14:paraId="4E1EBB41" w14:textId="3B119169" w:rsidR="00FA3A75" w:rsidRDefault="005A2620" w:rsidP="00FD78A6">
      <w:pPr>
        <w:spacing w:after="200"/>
        <w:rPr>
          <w:lang w:val="en-US"/>
        </w:rPr>
      </w:pPr>
      <w:r w:rsidRPr="005A2620">
        <w:rPr>
          <w:lang w:val="en-US"/>
        </w:rPr>
        <w:t>The aforementioned positive developments were facilitated by the policy measures and reforms that were implemented, such as the reduction of social security contributions in recent years, which directly contributed to the alleviation of non-wage labour costs, the reduction of tax-burdens, the introduction of the digital labour card, which supported the recording of actual working hours and the increase in employees’ earnings</w:t>
      </w:r>
      <w:r w:rsidR="00C54F32">
        <w:rPr>
          <w:lang w:val="en-US"/>
        </w:rPr>
        <w:t>,</w:t>
      </w:r>
      <w:r w:rsidRPr="005A2620">
        <w:rPr>
          <w:lang w:val="en-US"/>
        </w:rPr>
        <w:t xml:space="preserve"> policies aimed at promoting women’s participation in the labour market</w:t>
      </w:r>
      <w:r w:rsidR="00C54F32">
        <w:rPr>
          <w:lang w:val="en-US"/>
        </w:rPr>
        <w:t>, as well as</w:t>
      </w:r>
      <w:r w:rsidRPr="005A2620">
        <w:rPr>
          <w:lang w:val="en-US"/>
        </w:rPr>
        <w:t xml:space="preserve"> the strong growth rates of the Greek economy, driven by rising investment, which led to increased labour demand from employers.</w:t>
      </w:r>
      <w:r w:rsidR="00FA3A75" w:rsidRPr="00223991">
        <w:rPr>
          <w:lang w:val="en-US"/>
        </w:rPr>
        <w:t xml:space="preserve"> </w:t>
      </w:r>
    </w:p>
    <w:p w14:paraId="2E3C7099" w14:textId="77777777" w:rsidR="00B33AC2" w:rsidRPr="00D302E2" w:rsidRDefault="00B33AC2" w:rsidP="00FD78A6">
      <w:pPr>
        <w:spacing w:after="200"/>
        <w:rPr>
          <w:lang w:val="en-US"/>
        </w:rPr>
      </w:pPr>
      <w:r w:rsidRPr="00D302E2">
        <w:rPr>
          <w:lang w:val="en-US"/>
        </w:rPr>
        <w:t xml:space="preserve">It is noted that since 2019, wage levels have increased significantly, as the minimum wage has recorded a cumulative rise of 35.4%, with the goal of reaching €950 by April 2027. The increase in the minimum wage (which also partially pulls up the average wage) also helps address labor </w:t>
      </w:r>
      <w:r w:rsidRPr="00D302E2">
        <w:rPr>
          <w:lang w:val="en-US"/>
        </w:rPr>
        <w:lastRenderedPageBreak/>
        <w:t>supply shortages in certain sectors such as retail trade, agriculture, construction, and tourism, while at the same time strengthening participation in the labor market.</w:t>
      </w:r>
    </w:p>
    <w:p w14:paraId="5FB8680F" w14:textId="77777777" w:rsidR="00B33AC2" w:rsidRPr="00D302E2" w:rsidRDefault="00B33AC2" w:rsidP="0082303E">
      <w:pPr>
        <w:spacing w:after="120"/>
        <w:rPr>
          <w:lang w:val="en-US"/>
        </w:rPr>
      </w:pPr>
      <w:r w:rsidRPr="00D302E2">
        <w:rPr>
          <w:lang w:val="en-US"/>
        </w:rPr>
        <w:t>In this context, the average wage also increased to €1,342, according to data from the annual report of the ERGANI system for the year 2024 (an increase of 28.3% since 2019), with the goal of reaching €1,500 by April 2027.</w:t>
      </w:r>
    </w:p>
    <w:p w14:paraId="5A5F859E" w14:textId="4AFA568C" w:rsidR="00FA3A75" w:rsidRPr="00223991" w:rsidRDefault="00FA3A75" w:rsidP="0082303E">
      <w:pPr>
        <w:spacing w:after="120"/>
        <w:rPr>
          <w:lang w:val="en-US"/>
        </w:rPr>
      </w:pPr>
      <w:r w:rsidRPr="00223991">
        <w:rPr>
          <w:lang w:val="en-US"/>
        </w:rPr>
        <w:t xml:space="preserve">Compensation </w:t>
      </w:r>
      <w:r w:rsidR="007E2142">
        <w:rPr>
          <w:lang w:val="en-US"/>
        </w:rPr>
        <w:t>per employee</w:t>
      </w:r>
      <w:r w:rsidRPr="00223991">
        <w:rPr>
          <w:lang w:val="en-US"/>
        </w:rPr>
        <w:t xml:space="preserve"> is projected to increase further by 3.7% in 2025, a rate that aligns closely with the 3.8% growth forecasted in the European Commission’s Spring 2025 Economic Forecast</w:t>
      </w:r>
      <w:r w:rsidRPr="00145E75">
        <w:rPr>
          <w:lang w:val="en-US"/>
        </w:rPr>
        <w:t xml:space="preserve"> (</w:t>
      </w:r>
      <w:r>
        <w:rPr>
          <w:lang w:val="en-US"/>
        </w:rPr>
        <w:t xml:space="preserve">May 2025). </w:t>
      </w:r>
      <w:r w:rsidRPr="00145E75">
        <w:rPr>
          <w:lang w:val="en-US"/>
        </w:rPr>
        <w:t xml:space="preserve">Meanwhile, total </w:t>
      </w:r>
      <w:r w:rsidR="009A658D">
        <w:rPr>
          <w:lang w:val="en-US"/>
        </w:rPr>
        <w:t>compensation of employees</w:t>
      </w:r>
      <w:r w:rsidRPr="00145E75">
        <w:rPr>
          <w:lang w:val="en-US"/>
        </w:rPr>
        <w:t xml:space="preserve">, considering the increase in employment, </w:t>
      </w:r>
      <w:r w:rsidR="009A658D">
        <w:rPr>
          <w:lang w:val="en-US"/>
        </w:rPr>
        <w:t>is</w:t>
      </w:r>
      <w:r w:rsidR="009A658D" w:rsidRPr="00145E75">
        <w:rPr>
          <w:lang w:val="en-US"/>
        </w:rPr>
        <w:t xml:space="preserve"> </w:t>
      </w:r>
      <w:r w:rsidRPr="00145E75">
        <w:rPr>
          <w:lang w:val="en-US"/>
        </w:rPr>
        <w:t xml:space="preserve">expected to rise by 6.3% in 2025, a rate significantly higher than the 3.4% forecast in the </w:t>
      </w:r>
      <w:r>
        <w:rPr>
          <w:lang w:val="en-US"/>
        </w:rPr>
        <w:t xml:space="preserve">introductory </w:t>
      </w:r>
      <w:r w:rsidRPr="00145E75">
        <w:rPr>
          <w:lang w:val="en-US"/>
        </w:rPr>
        <w:t xml:space="preserve">report of the 2025 </w:t>
      </w:r>
      <w:r>
        <w:rPr>
          <w:lang w:val="en-US"/>
        </w:rPr>
        <w:t xml:space="preserve">state </w:t>
      </w:r>
      <w:r w:rsidRPr="00145E75">
        <w:rPr>
          <w:lang w:val="en-US"/>
        </w:rPr>
        <w:t>budget.</w:t>
      </w:r>
      <w:r w:rsidRPr="00223991">
        <w:rPr>
          <w:lang w:val="en-US"/>
        </w:rPr>
        <w:t xml:space="preserve"> </w:t>
      </w:r>
    </w:p>
    <w:p w14:paraId="1D95EE1E" w14:textId="00D726B5" w:rsidR="00FA3A75" w:rsidRPr="00597C03" w:rsidRDefault="00FA3A75" w:rsidP="00FD78A6">
      <w:pPr>
        <w:spacing w:after="200"/>
        <w:rPr>
          <w:rFonts w:eastAsia="Times New Roman"/>
          <w:lang w:val="en-US"/>
        </w:rPr>
      </w:pPr>
      <w:r w:rsidRPr="00597C03">
        <w:rPr>
          <w:rFonts w:eastAsia="Times New Roman"/>
          <w:lang w:val="en-US"/>
        </w:rPr>
        <w:t>The Harmonised Index of Consumer Prices (HICP) is estimated to increase by 3.0% in 2025. The annual rate of change of the National Consumer Price Index (CPI) is estimated at 2.6%. In particular, according to ELSTAT, during the period January</w:t>
      </w:r>
      <w:r w:rsidR="00C40F6D">
        <w:rPr>
          <w:rFonts w:eastAsia="Times New Roman"/>
          <w:lang w:val="en-US"/>
        </w:rPr>
        <w:t>-</w:t>
      </w:r>
      <w:r w:rsidRPr="00597C03">
        <w:rPr>
          <w:rFonts w:eastAsia="Times New Roman"/>
          <w:lang w:val="en-US"/>
        </w:rPr>
        <w:t>August 2025, the average rate of change of the CPI stood at 2.6%, compared with an increase of 2.8% over the same period of the previous year. The largest increase was recorded in the category “Hotels, cafés, and restaurants” at 6.2%, followed by “Clothing and footwear” and “Housing”, at 5.8% and 5.3%, respectively. In contrast, transport prices declined by 0.3% during January</w:t>
      </w:r>
      <w:r w:rsidR="00C40F6D">
        <w:rPr>
          <w:rFonts w:eastAsia="Times New Roman"/>
          <w:lang w:val="en-US"/>
        </w:rPr>
        <w:t>-</w:t>
      </w:r>
      <w:r w:rsidRPr="00597C03">
        <w:rPr>
          <w:rFonts w:eastAsia="Times New Roman"/>
          <w:lang w:val="en-US"/>
        </w:rPr>
        <w:t xml:space="preserve">August 2025, compared </w:t>
      </w:r>
      <w:r w:rsidR="00D010B6">
        <w:rPr>
          <w:rFonts w:eastAsia="Times New Roman"/>
          <w:lang w:val="en-US"/>
        </w:rPr>
        <w:t>to</w:t>
      </w:r>
      <w:r w:rsidR="00D010B6" w:rsidRPr="00597C03">
        <w:rPr>
          <w:rFonts w:eastAsia="Times New Roman"/>
          <w:lang w:val="en-US"/>
        </w:rPr>
        <w:t xml:space="preserve"> </w:t>
      </w:r>
      <w:r w:rsidRPr="00597C03">
        <w:rPr>
          <w:rFonts w:eastAsia="Times New Roman"/>
          <w:lang w:val="en-US"/>
        </w:rPr>
        <w:t>the corresponding period of 2024.</w:t>
      </w:r>
    </w:p>
    <w:p w14:paraId="1BDCC812" w14:textId="58F4AC2B" w:rsidR="00FA3A75" w:rsidRPr="00597C03" w:rsidRDefault="00FA3A75" w:rsidP="00FD78A6">
      <w:pPr>
        <w:spacing w:after="200"/>
        <w:rPr>
          <w:rFonts w:eastAsia="Times New Roman"/>
          <w:lang w:val="en-US"/>
        </w:rPr>
      </w:pPr>
      <w:r w:rsidRPr="00597C03">
        <w:rPr>
          <w:rFonts w:eastAsia="Times New Roman"/>
          <w:lang w:val="en-US"/>
        </w:rPr>
        <w:t>According to Eurostat, the Harmonised Index of Consumer Prices (HICP) in Greece reached 3.2% during the period January</w:t>
      </w:r>
      <w:r w:rsidR="00C40F6D">
        <w:rPr>
          <w:rFonts w:eastAsia="Times New Roman"/>
          <w:lang w:val="en-US"/>
        </w:rPr>
        <w:t>-</w:t>
      </w:r>
      <w:r w:rsidRPr="00597C03">
        <w:rPr>
          <w:rFonts w:eastAsia="Times New Roman"/>
          <w:lang w:val="en-US"/>
        </w:rPr>
        <w:t xml:space="preserve">August 2025, compared </w:t>
      </w:r>
      <w:r w:rsidR="00D010B6">
        <w:rPr>
          <w:rFonts w:eastAsia="Times New Roman"/>
          <w:lang w:val="en-US"/>
        </w:rPr>
        <w:t>to</w:t>
      </w:r>
      <w:r w:rsidR="00D010B6" w:rsidRPr="00597C03">
        <w:rPr>
          <w:rFonts w:eastAsia="Times New Roman"/>
          <w:lang w:val="en-US"/>
        </w:rPr>
        <w:t xml:space="preserve"> </w:t>
      </w:r>
      <w:r w:rsidRPr="00597C03">
        <w:rPr>
          <w:rFonts w:eastAsia="Times New Roman"/>
          <w:lang w:val="en-US"/>
        </w:rPr>
        <w:t>3.0% in the corresponding period of 2024. The HICP Euro area average stood at 2.2% in the period January</w:t>
      </w:r>
      <w:r w:rsidR="00C40F6D">
        <w:rPr>
          <w:rFonts w:eastAsia="Times New Roman"/>
          <w:lang w:val="en-US"/>
        </w:rPr>
        <w:t>-</w:t>
      </w:r>
      <w:r w:rsidRPr="00597C03">
        <w:rPr>
          <w:rFonts w:eastAsia="Times New Roman"/>
          <w:lang w:val="en-US"/>
        </w:rPr>
        <w:t>August 2025, down from 2.5% in the previous year.</w:t>
      </w:r>
    </w:p>
    <w:p w14:paraId="7FF425D7" w14:textId="77777777" w:rsidR="00FA3A75" w:rsidRPr="00597C03" w:rsidRDefault="00FA3A75" w:rsidP="00FD78A6">
      <w:pPr>
        <w:spacing w:after="200"/>
        <w:rPr>
          <w:rFonts w:eastAsia="Times New Roman"/>
          <w:lang w:val="en-US"/>
        </w:rPr>
      </w:pPr>
      <w:r w:rsidRPr="00597C03">
        <w:rPr>
          <w:rFonts w:eastAsia="Times New Roman"/>
          <w:lang w:val="en-US"/>
        </w:rPr>
        <w:t xml:space="preserve">Regarding developments in the energy sector (Figure 6), the average monthly international price of Brent crude oil in 2025 </w:t>
      </w:r>
      <w:r w:rsidR="00E562BA">
        <w:rPr>
          <w:rFonts w:eastAsia="Times New Roman"/>
          <w:lang w:val="en-US"/>
        </w:rPr>
        <w:t>decreased</w:t>
      </w:r>
      <w:r w:rsidR="00E562BA" w:rsidRPr="00597C03">
        <w:rPr>
          <w:rFonts w:eastAsia="Times New Roman"/>
          <w:lang w:val="en-US"/>
        </w:rPr>
        <w:t xml:space="preserve"> </w:t>
      </w:r>
      <w:r w:rsidRPr="00597C03">
        <w:rPr>
          <w:rFonts w:eastAsia="Times New Roman"/>
          <w:lang w:val="en-US"/>
        </w:rPr>
        <w:t>to lower levels compared with the previous year, following a downward trend. Between January and August 2025, prices ranged from 64 to 79 US dollars per barrel, with the lowest level recorded in May (64.21 US dollars per barrel) and the highest in January (79.21 US dollars per barrel). Downward pressures on the demand side, stemming from trade protectionism, combined with increased supply outside OPEC+, contributed to the gradual decline in prices, while geopolitical uncertainty continued to fuel short-term volatility.</w:t>
      </w:r>
    </w:p>
    <w:p w14:paraId="545C9800" w14:textId="556C81ED" w:rsidR="00AA5847" w:rsidRDefault="00FA3A75" w:rsidP="00FD78A6">
      <w:pPr>
        <w:spacing w:after="200"/>
        <w:rPr>
          <w:rFonts w:eastAsia="Times New Roman"/>
          <w:lang w:val="en-US"/>
        </w:rPr>
      </w:pPr>
      <w:r w:rsidRPr="00597C03">
        <w:rPr>
          <w:rFonts w:eastAsia="Times New Roman"/>
          <w:lang w:val="en-US"/>
        </w:rPr>
        <w:t>During the second quarter of 2025, and particularly from June onwards, a stabilization trend emerged, with prices moving closer to 65</w:t>
      </w:r>
      <w:r w:rsidR="00C40F6D">
        <w:rPr>
          <w:rFonts w:eastAsia="Times New Roman"/>
          <w:lang w:val="en-US"/>
        </w:rPr>
        <w:t>-</w:t>
      </w:r>
      <w:r w:rsidRPr="00597C03">
        <w:rPr>
          <w:rFonts w:eastAsia="Times New Roman"/>
          <w:lang w:val="en-US"/>
        </w:rPr>
        <w:t>70 US dollars per barrel, while the decline since the beginning of the year exceeded 10%. Nevertheless, conditions in the oil market remain volatile, as developments in the Middle East and decisions by OPEC+ continue to represent significant sources of uncertainty.</w:t>
      </w:r>
    </w:p>
    <w:p w14:paraId="3EC15251" w14:textId="5ED0A18D" w:rsidR="00FD78A6" w:rsidRDefault="00FD78A6" w:rsidP="00FD78A6">
      <w:pPr>
        <w:spacing w:after="200"/>
        <w:rPr>
          <w:rFonts w:eastAsia="Times New Roman"/>
          <w:lang w:val="en-US"/>
        </w:rPr>
      </w:pPr>
    </w:p>
    <w:p w14:paraId="04D277C4" w14:textId="0414D31B" w:rsidR="00FD78A6" w:rsidRDefault="00FD78A6" w:rsidP="00FD78A6">
      <w:pPr>
        <w:spacing w:after="200"/>
        <w:rPr>
          <w:rFonts w:eastAsia="Times New Roman"/>
          <w:lang w:val="en-US"/>
        </w:rPr>
      </w:pPr>
    </w:p>
    <w:p w14:paraId="2DF36649" w14:textId="77777777" w:rsidR="00FD78A6" w:rsidRPr="00597C03" w:rsidRDefault="00FD78A6" w:rsidP="00FD78A6">
      <w:pPr>
        <w:spacing w:after="200"/>
        <w:rPr>
          <w:rFonts w:eastAsia="Times New Roman"/>
          <w:lang w:val="en-US"/>
        </w:rPr>
      </w:pPr>
    </w:p>
    <w:p w14:paraId="7F400B3E" w14:textId="287FE1C9" w:rsidR="00FA3A75" w:rsidRDefault="002D681B" w:rsidP="00DC51E6">
      <w:pPr>
        <w:pStyle w:val="ae"/>
        <w:rPr>
          <w:b w:val="0"/>
        </w:rPr>
      </w:pPr>
      <w:bookmarkStart w:id="21" w:name="_Toc211355199"/>
      <w:r>
        <w:rPr>
          <w:noProof/>
        </w:rPr>
        <w:lastRenderedPageBreak/>
        <w:drawing>
          <wp:anchor distT="0" distB="0" distL="114300" distR="114300" simplePos="0" relativeHeight="251687936" behindDoc="0" locked="0" layoutInCell="1" allowOverlap="1" wp14:anchorId="74F736B3" wp14:editId="616745CC">
            <wp:simplePos x="0" y="0"/>
            <wp:positionH relativeFrom="column">
              <wp:posOffset>-313690</wp:posOffset>
            </wp:positionH>
            <wp:positionV relativeFrom="paragraph">
              <wp:posOffset>219710</wp:posOffset>
            </wp:positionV>
            <wp:extent cx="6210300" cy="2810510"/>
            <wp:effectExtent l="0" t="0" r="0" b="889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10300" cy="2810510"/>
                    </a:xfrm>
                    <a:prstGeom prst="rect">
                      <a:avLst/>
                    </a:prstGeom>
                    <a:noFill/>
                  </pic:spPr>
                </pic:pic>
              </a:graphicData>
            </a:graphic>
            <wp14:sizeRelH relativeFrom="margin">
              <wp14:pctWidth>0</wp14:pctWidth>
            </wp14:sizeRelH>
            <wp14:sizeRelV relativeFrom="margin">
              <wp14:pctHeight>0</wp14:pctHeight>
            </wp14:sizeRelV>
          </wp:anchor>
        </w:drawing>
      </w:r>
      <w:r w:rsidR="00DC51E6">
        <w:t xml:space="preserve">Figure </w:t>
      </w:r>
      <w:r w:rsidR="00540C3A">
        <w:fldChar w:fldCharType="begin"/>
      </w:r>
      <w:r w:rsidR="00DC51E6">
        <w:instrText xml:space="preserve"> SEQ Figure \* ARABIC </w:instrText>
      </w:r>
      <w:r w:rsidR="00540C3A">
        <w:fldChar w:fldCharType="separate"/>
      </w:r>
      <w:r w:rsidR="00AF0E6B">
        <w:rPr>
          <w:noProof/>
        </w:rPr>
        <w:t>6</w:t>
      </w:r>
      <w:r w:rsidR="00540C3A">
        <w:fldChar w:fldCharType="end"/>
      </w:r>
      <w:r w:rsidR="00DC51E6">
        <w:t xml:space="preserve"> | </w:t>
      </w:r>
      <w:r w:rsidR="00FA3A75" w:rsidRPr="00597C03">
        <w:t>Evolution of international energy prices</w:t>
      </w:r>
      <w:r w:rsidR="00DC51E6">
        <w:t xml:space="preserve"> </w:t>
      </w:r>
      <w:r w:rsidR="00FA3A75" w:rsidRPr="00DC51E6">
        <w:rPr>
          <w:b w:val="0"/>
        </w:rPr>
        <w:t>(price level)</w:t>
      </w:r>
      <w:bookmarkEnd w:id="21"/>
    </w:p>
    <w:p w14:paraId="2682E375" w14:textId="77C3D16D" w:rsidR="00FA3A75" w:rsidRPr="00385F38" w:rsidRDefault="00FA3A75" w:rsidP="002D681B">
      <w:pPr>
        <w:pBdr>
          <w:top w:val="single" w:sz="18" w:space="1" w:color="4F81BD" w:themeColor="accent1"/>
        </w:pBdr>
        <w:spacing w:before="60" w:after="480"/>
        <w:rPr>
          <w:sz w:val="20"/>
          <w:lang w:val="en-US"/>
        </w:rPr>
      </w:pPr>
      <w:r w:rsidRPr="00385F38">
        <w:rPr>
          <w:sz w:val="20"/>
          <w:lang w:val="en-US"/>
        </w:rPr>
        <w:t>Source: Intercontinental Exchange (ICE), World Bank, Commodity Markets, monthly prices, September 2025</w:t>
      </w:r>
    </w:p>
    <w:p w14:paraId="065CBAB3" w14:textId="13214D08" w:rsidR="00FA3A75" w:rsidRDefault="00FA3A75" w:rsidP="00DC51E6">
      <w:pPr>
        <w:rPr>
          <w:rFonts w:eastAsia="Times New Roman"/>
          <w:lang w:val="en-US"/>
        </w:rPr>
      </w:pPr>
      <w:r w:rsidRPr="00597C03">
        <w:rPr>
          <w:rFonts w:eastAsia="Times New Roman"/>
          <w:lang w:val="en-US"/>
        </w:rPr>
        <w:t xml:space="preserve">The price of natural gas in Europe declined further in 2025, following a downward trajectory after a temporary increase at the beginning of the year. This earlier rise was driven by lower energy reserves in Europe compared </w:t>
      </w:r>
      <w:r w:rsidR="00D010B6">
        <w:rPr>
          <w:rFonts w:eastAsia="Times New Roman"/>
          <w:lang w:val="en-US"/>
        </w:rPr>
        <w:t>to</w:t>
      </w:r>
      <w:r w:rsidR="00D010B6" w:rsidRPr="00597C03">
        <w:rPr>
          <w:rFonts w:eastAsia="Times New Roman"/>
          <w:lang w:val="en-US"/>
        </w:rPr>
        <w:t xml:space="preserve"> </w:t>
      </w:r>
      <w:r w:rsidRPr="00597C03">
        <w:rPr>
          <w:rFonts w:eastAsia="Times New Roman"/>
          <w:lang w:val="en-US"/>
        </w:rPr>
        <w:t>2024, harsher winter weather conditions, the suspension of Russian natural gas transit through Ukraine, and reduced output from renewable energy sources. The TTF (Title Transfer Facility) price fell from €42.8 per megawatt hour in August 2024 to €35.4 per megawatt hour in August 2025, marking a 17.3% decrease, while the decline since August 2022</w:t>
      </w:r>
      <w:r w:rsidR="00E210D2">
        <w:rPr>
          <w:rFonts w:eastAsia="Times New Roman"/>
          <w:lang w:val="en-US"/>
        </w:rPr>
        <w:t xml:space="preserve"> </w:t>
      </w:r>
      <w:r w:rsidRPr="00597C03">
        <w:rPr>
          <w:rFonts w:eastAsia="Times New Roman"/>
          <w:lang w:val="en-US"/>
        </w:rPr>
        <w:t>—the peak of the energy crisis—</w:t>
      </w:r>
      <w:r w:rsidR="00E210D2">
        <w:rPr>
          <w:rFonts w:eastAsia="Times New Roman"/>
          <w:lang w:val="en-US"/>
        </w:rPr>
        <w:t xml:space="preserve"> </w:t>
      </w:r>
      <w:r w:rsidRPr="00597C03">
        <w:rPr>
          <w:rFonts w:eastAsia="Times New Roman"/>
          <w:lang w:val="en-US"/>
        </w:rPr>
        <w:t>amounted to 90%. This downward adjustment in 2025 is attributed to milder temperatures, the availability of sufficient liquefied natural gas (LNG) reserves, and the increased contribution of renewable energy sources. Despite this significant easing, international prices remain volatile and highly sensitive to supply and demand conditions, as well as to geopolitical developments that continue to affect Europe’s energy supply.</w:t>
      </w:r>
    </w:p>
    <w:p w14:paraId="2E732B89" w14:textId="5B754DD0" w:rsidR="00E12B4A" w:rsidRDefault="00FA3A75" w:rsidP="00DC51E6">
      <w:pPr>
        <w:rPr>
          <w:rFonts w:eastAsia="Times New Roman"/>
          <w:lang w:val="en-US"/>
        </w:rPr>
      </w:pPr>
      <w:r w:rsidRPr="00597C03">
        <w:rPr>
          <w:rFonts w:eastAsia="Times New Roman"/>
          <w:lang w:val="en-US"/>
        </w:rPr>
        <w:t>In the first half of 2025, the current account deficit stood at 6.5% of GDP, lower than in the corresponding period of 2024 (7.5% of GDP). During the period January</w:t>
      </w:r>
      <w:r w:rsidR="00E210D2">
        <w:rPr>
          <w:rFonts w:eastAsia="Times New Roman"/>
          <w:lang w:val="en-US"/>
        </w:rPr>
        <w:t>-</w:t>
      </w:r>
      <w:r w:rsidRPr="00597C03">
        <w:rPr>
          <w:rFonts w:eastAsia="Times New Roman"/>
          <w:lang w:val="en-US"/>
        </w:rPr>
        <w:t>July 2025, the current account balance improved, with the deficit narrowing by €1.4 billion or 17.5% compared with the same period of 2024 (€8.1 billion). This development reflects improvements across all sub-balances, particularly in the primary income, services, and goods balances. The services balance surplus increased by almost €0.5 billion or 4.2%, from €11.4 billion to €11.8 billion, mainly as a result of strong travel receipts. Travel receipts during January</w:t>
      </w:r>
      <w:r w:rsidR="00C40F6D">
        <w:rPr>
          <w:rFonts w:eastAsia="Times New Roman"/>
          <w:lang w:val="en-US"/>
        </w:rPr>
        <w:t>-</w:t>
      </w:r>
      <w:r w:rsidRPr="00597C03">
        <w:rPr>
          <w:rFonts w:eastAsia="Times New Roman"/>
          <w:lang w:val="en-US"/>
        </w:rPr>
        <w:t>July 2025 reached €12.18 billion, exceeding the €10.83 billion recorded in 2024 by 12.5%.</w:t>
      </w:r>
      <w:bookmarkStart w:id="22" w:name="_Toc210570705"/>
      <w:r w:rsidR="00DC51E6">
        <w:rPr>
          <w:rFonts w:eastAsia="Times New Roman"/>
          <w:lang w:val="en-US"/>
        </w:rPr>
        <w:t xml:space="preserve"> </w:t>
      </w:r>
    </w:p>
    <w:p w14:paraId="3E370ED0" w14:textId="3E30184C" w:rsidR="002D681B" w:rsidRDefault="002D681B" w:rsidP="00DC51E6">
      <w:pPr>
        <w:rPr>
          <w:rFonts w:eastAsia="Times New Roman"/>
          <w:lang w:val="en-US"/>
        </w:rPr>
      </w:pPr>
    </w:p>
    <w:p w14:paraId="5620E3FD" w14:textId="75E7DF99" w:rsidR="002D681B" w:rsidRDefault="002D681B" w:rsidP="00DC51E6">
      <w:pPr>
        <w:rPr>
          <w:rFonts w:eastAsia="Times New Roman"/>
          <w:lang w:val="en-US"/>
        </w:rPr>
      </w:pPr>
    </w:p>
    <w:p w14:paraId="5B79F19B" w14:textId="77777777" w:rsidR="002D681B" w:rsidRDefault="002D681B" w:rsidP="00DC51E6">
      <w:pPr>
        <w:rPr>
          <w:rFonts w:eastAsia="Times New Roman"/>
          <w:lang w:val="en-US"/>
        </w:rPr>
      </w:pPr>
    </w:p>
    <w:p w14:paraId="1359FDB0" w14:textId="3D199DD8" w:rsidR="00DC51E6" w:rsidRDefault="00DC51E6" w:rsidP="00DC51E6">
      <w:pPr>
        <w:pStyle w:val="ae"/>
      </w:pPr>
      <w:bookmarkStart w:id="23" w:name="_Toc211355200"/>
      <w:bookmarkEnd w:id="22"/>
      <w:r>
        <w:lastRenderedPageBreak/>
        <w:t xml:space="preserve">Figure </w:t>
      </w:r>
      <w:r w:rsidR="00540C3A">
        <w:fldChar w:fldCharType="begin"/>
      </w:r>
      <w:r>
        <w:instrText xml:space="preserve"> SEQ Figure \* ARABIC </w:instrText>
      </w:r>
      <w:r w:rsidR="00540C3A">
        <w:fldChar w:fldCharType="separate"/>
      </w:r>
      <w:r w:rsidR="00AF0E6B">
        <w:rPr>
          <w:noProof/>
        </w:rPr>
        <w:t>7</w:t>
      </w:r>
      <w:r w:rsidR="00540C3A">
        <w:fldChar w:fldCharType="end"/>
      </w:r>
      <w:r>
        <w:t xml:space="preserve"> | </w:t>
      </w:r>
      <w:r w:rsidR="00FA3A75" w:rsidRPr="00597C03">
        <w:t>Greece’s Current Account Balance</w:t>
      </w:r>
      <w:bookmarkEnd w:id="23"/>
    </w:p>
    <w:p w14:paraId="2D9C11A0" w14:textId="456642E3" w:rsidR="00FA3A75" w:rsidRPr="002D681B" w:rsidRDefault="002D681B" w:rsidP="002D681B">
      <w:pPr>
        <w:pStyle w:val="figureright-handed"/>
      </w:pPr>
      <w:r>
        <w:rPr>
          <w:noProof/>
        </w:rPr>
        <w:drawing>
          <wp:anchor distT="0" distB="0" distL="114300" distR="114300" simplePos="0" relativeHeight="251688960" behindDoc="0" locked="0" layoutInCell="1" allowOverlap="1" wp14:anchorId="5DD95C69" wp14:editId="592666AC">
            <wp:simplePos x="0" y="0"/>
            <wp:positionH relativeFrom="column">
              <wp:posOffset>-111760</wp:posOffset>
            </wp:positionH>
            <wp:positionV relativeFrom="paragraph">
              <wp:posOffset>347980</wp:posOffset>
            </wp:positionV>
            <wp:extent cx="5800725" cy="2276475"/>
            <wp:effectExtent l="0" t="0" r="9525" b="952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00725" cy="2276475"/>
                    </a:xfrm>
                    <a:prstGeom prst="rect">
                      <a:avLst/>
                    </a:prstGeom>
                    <a:noFill/>
                  </pic:spPr>
                </pic:pic>
              </a:graphicData>
            </a:graphic>
            <wp14:sizeRelH relativeFrom="margin">
              <wp14:pctWidth>0</wp14:pctWidth>
            </wp14:sizeRelH>
            <wp14:sizeRelV relativeFrom="margin">
              <wp14:pctHeight>0</wp14:pctHeight>
            </wp14:sizeRelV>
          </wp:anchor>
        </w:drawing>
      </w:r>
      <w:r w:rsidR="00FA3A75" w:rsidRPr="00597C03">
        <w:t>(million euros, current prices, non-seasonally adjusted data)</w:t>
      </w:r>
    </w:p>
    <w:p w14:paraId="575CE6E3" w14:textId="77777777" w:rsidR="00FA3A75" w:rsidRPr="00385F38" w:rsidRDefault="00FA3A75" w:rsidP="00E210D2">
      <w:pPr>
        <w:pBdr>
          <w:top w:val="single" w:sz="18" w:space="1" w:color="4F81BD" w:themeColor="accent1"/>
        </w:pBdr>
        <w:spacing w:after="240" w:line="276" w:lineRule="auto"/>
        <w:jc w:val="left"/>
        <w:rPr>
          <w:sz w:val="20"/>
          <w:lang w:val="en-US"/>
        </w:rPr>
      </w:pPr>
      <w:r w:rsidRPr="00385F38">
        <w:rPr>
          <w:sz w:val="20"/>
          <w:lang w:val="en-US"/>
        </w:rPr>
        <w:t>Source: Bank of Greece, monthly Balance of Payments data</w:t>
      </w:r>
    </w:p>
    <w:p w14:paraId="22128269" w14:textId="2B0B8387" w:rsidR="00FA3A75" w:rsidRPr="00597C03" w:rsidRDefault="00FA3A75" w:rsidP="00DC51E6">
      <w:pPr>
        <w:rPr>
          <w:rFonts w:eastAsia="Times New Roman"/>
          <w:lang w:val="en-US"/>
        </w:rPr>
      </w:pPr>
      <w:r w:rsidRPr="00597C03">
        <w:rPr>
          <w:rFonts w:eastAsia="Times New Roman"/>
          <w:lang w:val="en-US"/>
        </w:rPr>
        <w:t xml:space="preserve">The positive momentum of the Greek economy, despite the uncertain external economic environment, was reflected in the sustained performance of the Economic Sentiment Indicator (ESI), which, according to </w:t>
      </w:r>
      <w:r w:rsidR="004B7B92">
        <w:rPr>
          <w:rFonts w:eastAsia="Times New Roman"/>
          <w:lang w:val="en-US"/>
        </w:rPr>
        <w:t xml:space="preserve">the </w:t>
      </w:r>
      <w:r w:rsidRPr="00597C03">
        <w:rPr>
          <w:rFonts w:eastAsia="Times New Roman"/>
          <w:lang w:val="en-US"/>
        </w:rPr>
        <w:t>European Commission data</w:t>
      </w:r>
      <w:r w:rsidR="0001751D">
        <w:rPr>
          <w:rStyle w:val="af1"/>
          <w:rFonts w:eastAsia="Times New Roman"/>
          <w:lang w:val="en-US"/>
        </w:rPr>
        <w:footnoteReference w:id="2"/>
      </w:r>
      <w:r w:rsidRPr="00597C03">
        <w:rPr>
          <w:rFonts w:eastAsia="Times New Roman"/>
          <w:lang w:val="en-US"/>
        </w:rPr>
        <w:t>, stood at 107.8 points during the period January</w:t>
      </w:r>
      <w:r w:rsidR="00C40F6D">
        <w:rPr>
          <w:rFonts w:eastAsia="Times New Roman"/>
          <w:lang w:val="en-US"/>
        </w:rPr>
        <w:t>-</w:t>
      </w:r>
      <w:r w:rsidRPr="00597C03">
        <w:rPr>
          <w:rFonts w:eastAsia="Times New Roman"/>
          <w:lang w:val="en-US"/>
        </w:rPr>
        <w:t>August 2025, compared with 107.5 points in the corresponding period of 2024. In the Euro area, the Economic Sentiment Indicator remained at lower levels, standing at 95.1 points in January</w:t>
      </w:r>
      <w:r w:rsidR="00C40F6D">
        <w:rPr>
          <w:rFonts w:eastAsia="Times New Roman"/>
          <w:lang w:val="en-US"/>
        </w:rPr>
        <w:t>-</w:t>
      </w:r>
      <w:r w:rsidRPr="00597C03">
        <w:rPr>
          <w:rFonts w:eastAsia="Times New Roman"/>
          <w:lang w:val="en-US"/>
        </w:rPr>
        <w:t>August 2025, down from 95.9 points in the same period of 2024.</w:t>
      </w:r>
    </w:p>
    <w:p w14:paraId="3B21B7DB" w14:textId="77777777" w:rsidR="00FA3A75" w:rsidRPr="00597C03" w:rsidRDefault="00FA3A75" w:rsidP="00DC51E6">
      <w:pPr>
        <w:rPr>
          <w:rFonts w:eastAsia="Times New Roman"/>
          <w:lang w:val="en-US"/>
        </w:rPr>
      </w:pPr>
      <w:r w:rsidRPr="00597C03">
        <w:rPr>
          <w:rFonts w:eastAsia="Times New Roman"/>
          <w:lang w:val="en-US"/>
        </w:rPr>
        <w:t>Greece’s stronger performance in the indicator is mainly attributed to business expectations in industry, where the corresponding index recorded a sharp upward trend during the first eight months of 2025, rising to 6.3 points from 0.6 points in the same period of 2024. Significant</w:t>
      </w:r>
      <w:r w:rsidRPr="00597C03">
        <w:rPr>
          <w:rFonts w:eastAsia="Times New Roman" w:cs="Times New Roman"/>
          <w:color w:val="1F497D"/>
          <w:szCs w:val="24"/>
          <w:lang w:val="en-US"/>
        </w:rPr>
        <w:t xml:space="preserve"> </w:t>
      </w:r>
      <w:r w:rsidRPr="00597C03">
        <w:rPr>
          <w:rFonts w:eastAsia="Times New Roman"/>
          <w:lang w:val="en-US"/>
        </w:rPr>
        <w:t xml:space="preserve">improvement was also observed in business expectations in construction, with the index increasing to 16.4 points from 8.3 points, reflecting optimistic forecasts associated with strong investment activity in both public and private infrastructure projects. In retail trade, expectations declined to </w:t>
      </w:r>
      <w:r w:rsidR="00E210D2">
        <w:rPr>
          <w:rFonts w:eastAsia="Times New Roman"/>
          <w:lang w:val="en-US"/>
        </w:rPr>
        <w:t>-</w:t>
      </w:r>
      <w:r w:rsidRPr="00597C03">
        <w:rPr>
          <w:rFonts w:eastAsia="Times New Roman"/>
          <w:lang w:val="en-US"/>
        </w:rPr>
        <w:t>0.3 points from 13.9 points, while in services the index fell to 29.9 points from 41.3 points.</w:t>
      </w:r>
    </w:p>
    <w:p w14:paraId="179731DD" w14:textId="77777777" w:rsidR="00FA3A75" w:rsidRPr="00597C03" w:rsidRDefault="00FA3A75" w:rsidP="00DC51E6">
      <w:pPr>
        <w:rPr>
          <w:rFonts w:eastAsia="Times New Roman"/>
          <w:lang w:val="en-US"/>
        </w:rPr>
      </w:pPr>
      <w:r w:rsidRPr="00597C03">
        <w:rPr>
          <w:rFonts w:eastAsia="Times New Roman"/>
          <w:lang w:val="en-US"/>
        </w:rPr>
        <w:t>With regard to the manufacturing sector, data from the S&amp;P Global Purchasing Managers’ Index (PMI) indicated a very strong performance in August 2025, as the increase in new orders recorded the sharpest improvement of the past five months and led to a significant rise in production. Specifically, the seasonally adjusted index rose to 54.5 points, up from 51.7 in the previous month (July 2025) and 52.9 in August 2024, signaling a clear strengthening of activity in the manufacturing sector. Despite continued weakness in external markets, the improvement in domestic demand proved strong enough to drive both production and new orders, with the overall increase in new sales being the fastest recorded since March 2024.</w:t>
      </w:r>
    </w:p>
    <w:p w14:paraId="1E60B4F1" w14:textId="77777777" w:rsidR="00FA3A75" w:rsidRPr="00597C03" w:rsidRDefault="00FA3A75" w:rsidP="00DC51E6">
      <w:pPr>
        <w:rPr>
          <w:rFonts w:eastAsia="Times New Roman"/>
          <w:lang w:val="en-US"/>
        </w:rPr>
      </w:pPr>
      <w:r w:rsidRPr="00597C03">
        <w:rPr>
          <w:rFonts w:eastAsia="Times New Roman"/>
          <w:lang w:val="en-US"/>
        </w:rPr>
        <w:t xml:space="preserve">Despite the volatility of the international environment, the performance of the Greek economy continues to be acknowledged internationally, with the maintenance of investment-grade </w:t>
      </w:r>
      <w:r w:rsidRPr="00597C03">
        <w:rPr>
          <w:rFonts w:eastAsia="Times New Roman"/>
          <w:lang w:val="en-US"/>
        </w:rPr>
        <w:lastRenderedPageBreak/>
        <w:t>status and successive upgrades reaffirming its credibility and resilience. In this context, economic policy remains focused on fiscal stability, debt reduction, tax relief, and the strengthening of disposable income, while at the same time promoting investments that emphasize the green and digital transitions. By leveraging the resources of the Public Investment and Development Programme and further enhancing employment and productivity, this strategy reinforces investor confidence, improves financing conditions, and establishes the foundations for the sustained continuation of the economy’s growth momentum to the benefit of all citizens.</w:t>
      </w:r>
    </w:p>
    <w:p w14:paraId="7F0A4A3A" w14:textId="77777777" w:rsidR="00FA3A75" w:rsidRDefault="00FA3A75" w:rsidP="00385F38">
      <w:pPr>
        <w:pStyle w:val="2"/>
        <w:numPr>
          <w:ilvl w:val="1"/>
          <w:numId w:val="2"/>
        </w:numPr>
        <w:spacing w:before="960" w:after="360"/>
        <w:ind w:left="567" w:hanging="567"/>
        <w:rPr>
          <w:lang w:val="en-US"/>
        </w:rPr>
      </w:pPr>
      <w:bookmarkStart w:id="24" w:name="_Toc211418436"/>
      <w:r w:rsidRPr="00D94E0E">
        <w:rPr>
          <w:lang w:val="en-US"/>
        </w:rPr>
        <w:t xml:space="preserve">Macroeconomic </w:t>
      </w:r>
      <w:r>
        <w:rPr>
          <w:lang w:val="en-US"/>
        </w:rPr>
        <w:t xml:space="preserve">prospects </w:t>
      </w:r>
      <w:r w:rsidRPr="00D94E0E">
        <w:rPr>
          <w:lang w:val="en-US"/>
        </w:rPr>
        <w:t>in 202</w:t>
      </w:r>
      <w:r>
        <w:rPr>
          <w:lang w:val="en-US"/>
        </w:rPr>
        <w:t>6</w:t>
      </w:r>
      <w:bookmarkEnd w:id="24"/>
    </w:p>
    <w:p w14:paraId="48CE9A9E" w14:textId="77777777" w:rsidR="00FA3A75" w:rsidRPr="0057469F" w:rsidRDefault="00FA3A75" w:rsidP="00DC51E6">
      <w:pPr>
        <w:rPr>
          <w:lang w:val="en-US"/>
        </w:rPr>
      </w:pPr>
      <w:r w:rsidRPr="0057469F">
        <w:rPr>
          <w:lang w:val="en-US"/>
        </w:rPr>
        <w:t>The global economy continues to be marked by a high degree of uncertainty, driven by factors such as geopolitical tensions, climate change, and the lack of stability and predictability in international trade policy, affecting private consumption and fixed capital investment.</w:t>
      </w:r>
    </w:p>
    <w:p w14:paraId="390E6981" w14:textId="347621B0" w:rsidR="00FA3A75" w:rsidRPr="0057469F" w:rsidRDefault="00FA3A75" w:rsidP="00DC51E6">
      <w:pPr>
        <w:rPr>
          <w:lang w:val="en-US"/>
        </w:rPr>
      </w:pPr>
      <w:r w:rsidRPr="0057469F">
        <w:rPr>
          <w:lang w:val="en-US"/>
        </w:rPr>
        <w:t>Τhe global GDP growth rate, according to the International Monetary Fund (IMF) forecasts in July 2025, is expected to slow</w:t>
      </w:r>
      <w:r w:rsidR="00606347">
        <w:rPr>
          <w:lang w:val="en-US"/>
        </w:rPr>
        <w:t xml:space="preserve"> down</w:t>
      </w:r>
      <w:r w:rsidRPr="0057469F">
        <w:rPr>
          <w:lang w:val="en-US"/>
        </w:rPr>
        <w:t xml:space="preserve"> from 3.3% in 2024 to 3.0% in 2025, before slightly recovering to 3.1% in 2026. These forecasts have been revised upward by 0.2 pp</w:t>
      </w:r>
      <w:r w:rsidR="005D5ECF">
        <w:rPr>
          <w:lang w:val="en-US"/>
        </w:rPr>
        <w:t xml:space="preserve"> </w:t>
      </w:r>
      <w:r w:rsidRPr="0057469F">
        <w:rPr>
          <w:lang w:val="en-US"/>
        </w:rPr>
        <w:t>for 2025 and 0.1 pp</w:t>
      </w:r>
      <w:r w:rsidR="005D5ECF">
        <w:rPr>
          <w:lang w:val="en-US"/>
        </w:rPr>
        <w:t xml:space="preserve"> </w:t>
      </w:r>
      <w:r w:rsidRPr="0057469F">
        <w:rPr>
          <w:lang w:val="en-US"/>
        </w:rPr>
        <w:t xml:space="preserve">for 2026, compared to April projections. </w:t>
      </w:r>
      <w:r w:rsidRPr="00220A13">
        <w:rPr>
          <w:lang w:val="en-US"/>
        </w:rPr>
        <w:t>For the Euro area, GDP growth is expected to reach 1.0% in 2025 and 1.2% in 2026 from 0.9% in 2024.</w:t>
      </w:r>
    </w:p>
    <w:p w14:paraId="0173E9BC" w14:textId="72D5DF3F" w:rsidR="006C4785" w:rsidRDefault="00FA3A75" w:rsidP="00AA5847">
      <w:pPr>
        <w:rPr>
          <w:lang w:val="en-US"/>
        </w:rPr>
      </w:pPr>
      <w:bookmarkStart w:id="25" w:name="_Hlk210820234"/>
      <w:r w:rsidRPr="0057469F">
        <w:rPr>
          <w:lang w:val="en-US"/>
        </w:rPr>
        <w:t xml:space="preserve">According to the Spring Economic Forecast of the European Commission, </w:t>
      </w:r>
      <w:bookmarkEnd w:id="25"/>
      <w:r w:rsidRPr="0057469F">
        <w:rPr>
          <w:lang w:val="en-US"/>
        </w:rPr>
        <w:t>the growth rate for the EU is estimated to increase from 1.0% in 2024 to 1.1% in 2025 and 1.5% in 2026, supported by continued consumption growth and a rebound</w:t>
      </w:r>
      <w:r>
        <w:rPr>
          <w:lang w:val="en-US"/>
        </w:rPr>
        <w:t xml:space="preserve"> of</w:t>
      </w:r>
      <w:r w:rsidRPr="0057469F">
        <w:rPr>
          <w:lang w:val="en-US"/>
        </w:rPr>
        <w:t xml:space="preserve"> investment. For the Euro area, GDP growth is expected to increase from 0.9% in both 2024 and 2025 to 1.4% in 2026 (</w:t>
      </w:r>
      <w:r w:rsidR="004741E3">
        <w:rPr>
          <w:lang w:val="en-US"/>
        </w:rPr>
        <w:fldChar w:fldCharType="begin"/>
      </w:r>
      <w:r w:rsidR="004741E3">
        <w:rPr>
          <w:lang w:val="en-US"/>
        </w:rPr>
        <w:instrText xml:space="preserve"> REF _Ref211245967 \h </w:instrText>
      </w:r>
      <w:r w:rsidR="004741E3">
        <w:rPr>
          <w:lang w:val="en-US"/>
        </w:rPr>
      </w:r>
      <w:r w:rsidR="004741E3">
        <w:rPr>
          <w:lang w:val="en-US"/>
        </w:rPr>
        <w:fldChar w:fldCharType="separate"/>
      </w:r>
      <w:r w:rsidR="00AF0E6B" w:rsidRPr="00AF0E6B">
        <w:rPr>
          <w:lang w:val="en-US"/>
        </w:rPr>
        <w:t xml:space="preserve">Table </w:t>
      </w:r>
      <w:r w:rsidR="00AF0E6B" w:rsidRPr="00AF0E6B">
        <w:rPr>
          <w:noProof/>
          <w:lang w:val="en-US"/>
        </w:rPr>
        <w:t>1</w:t>
      </w:r>
      <w:r w:rsidR="004741E3">
        <w:rPr>
          <w:lang w:val="en-US"/>
        </w:rPr>
        <w:fldChar w:fldCharType="end"/>
      </w:r>
      <w:r w:rsidRPr="0057469F">
        <w:rPr>
          <w:lang w:val="en-US"/>
        </w:rPr>
        <w:t xml:space="preserve">). </w:t>
      </w:r>
    </w:p>
    <w:p w14:paraId="56DA7749" w14:textId="52670ECF" w:rsidR="00AA5847" w:rsidRPr="00AA5847" w:rsidRDefault="00AA5847" w:rsidP="00AA5847">
      <w:pPr>
        <w:pStyle w:val="ae"/>
      </w:pPr>
      <w:bookmarkStart w:id="26" w:name="_Ref211245967"/>
      <w:bookmarkStart w:id="27" w:name="_Toc211355095"/>
      <w:r>
        <w:t xml:space="preserve">Table </w:t>
      </w:r>
      <w:r w:rsidR="00540C3A">
        <w:fldChar w:fldCharType="begin"/>
      </w:r>
      <w:r>
        <w:instrText xml:space="preserve"> SEQ Table \* ARABIC </w:instrText>
      </w:r>
      <w:r w:rsidR="00540C3A">
        <w:fldChar w:fldCharType="separate"/>
      </w:r>
      <w:r w:rsidR="00AF0E6B">
        <w:rPr>
          <w:noProof/>
        </w:rPr>
        <w:t>1</w:t>
      </w:r>
      <w:r w:rsidR="00540C3A">
        <w:fldChar w:fldCharType="end"/>
      </w:r>
      <w:bookmarkEnd w:id="26"/>
      <w:r>
        <w:t xml:space="preserve"> | </w:t>
      </w:r>
      <w:r w:rsidRPr="00AA5847">
        <w:t>Key indicators for the European and the world economy</w:t>
      </w:r>
      <w:bookmarkEnd w:id="27"/>
    </w:p>
    <w:p w14:paraId="161F08E2" w14:textId="77777777" w:rsidR="00AA5847" w:rsidRPr="00AA5847" w:rsidRDefault="00AA5847" w:rsidP="00AA5847">
      <w:pPr>
        <w:pStyle w:val="Table"/>
        <w:jc w:val="right"/>
        <w:rPr>
          <w:b w:val="0"/>
        </w:rPr>
      </w:pPr>
      <w:r w:rsidRPr="00AA5847">
        <w:rPr>
          <w:b w:val="0"/>
        </w:rPr>
        <w:t>(% annual changes, constant prices)</w:t>
      </w:r>
    </w:p>
    <w:tbl>
      <w:tblPr>
        <w:tblW w:w="8834" w:type="dxa"/>
        <w:tblLook w:val="04A0" w:firstRow="1" w:lastRow="0" w:firstColumn="1" w:lastColumn="0" w:noHBand="0" w:noVBand="1"/>
      </w:tblPr>
      <w:tblGrid>
        <w:gridCol w:w="5954"/>
        <w:gridCol w:w="960"/>
        <w:gridCol w:w="960"/>
        <w:gridCol w:w="960"/>
      </w:tblGrid>
      <w:tr w:rsidR="00AA5847" w:rsidRPr="00AA5847" w14:paraId="61727B3C" w14:textId="77777777" w:rsidTr="00AA5847">
        <w:trPr>
          <w:trHeight w:val="300"/>
        </w:trPr>
        <w:tc>
          <w:tcPr>
            <w:tcW w:w="5954" w:type="dxa"/>
            <w:tcBorders>
              <w:top w:val="nil"/>
              <w:left w:val="nil"/>
              <w:bottom w:val="nil"/>
              <w:right w:val="nil"/>
            </w:tcBorders>
            <w:shd w:val="clear" w:color="000000" w:fill="BFBFBF"/>
            <w:vAlign w:val="center"/>
            <w:hideMark/>
          </w:tcPr>
          <w:p w14:paraId="3FA4917B" w14:textId="77777777" w:rsidR="00AA5847" w:rsidRPr="00AA5847" w:rsidRDefault="00AA5847" w:rsidP="00AA5847">
            <w:pPr>
              <w:spacing w:after="0" w:line="240" w:lineRule="auto"/>
              <w:jc w:val="center"/>
              <w:rPr>
                <w:rFonts w:ascii="Arial" w:eastAsia="Times New Roman" w:hAnsi="Arial" w:cs="Arial"/>
                <w:b/>
                <w:bCs/>
                <w:color w:val="000000"/>
                <w:sz w:val="20"/>
                <w:szCs w:val="20"/>
              </w:rPr>
            </w:pPr>
            <w:r w:rsidRPr="00AA5847">
              <w:rPr>
                <w:rFonts w:ascii="Arial" w:eastAsia="Times New Roman" w:hAnsi="Arial" w:cs="Arial"/>
                <w:b/>
                <w:bCs/>
                <w:color w:val="000000"/>
                <w:sz w:val="20"/>
                <w:szCs w:val="20"/>
              </w:rPr>
              <w:t> </w:t>
            </w:r>
          </w:p>
        </w:tc>
        <w:tc>
          <w:tcPr>
            <w:tcW w:w="960" w:type="dxa"/>
            <w:tcBorders>
              <w:top w:val="nil"/>
              <w:left w:val="nil"/>
              <w:bottom w:val="nil"/>
              <w:right w:val="nil"/>
            </w:tcBorders>
            <w:shd w:val="clear" w:color="000000" w:fill="BFBFBF"/>
            <w:vAlign w:val="center"/>
            <w:hideMark/>
          </w:tcPr>
          <w:p w14:paraId="276DEB2F" w14:textId="77777777" w:rsidR="00AA5847" w:rsidRPr="00AA5847" w:rsidRDefault="00AA5847" w:rsidP="00AA5847">
            <w:pPr>
              <w:spacing w:after="0" w:line="240" w:lineRule="auto"/>
              <w:jc w:val="center"/>
              <w:rPr>
                <w:rFonts w:ascii="Arial" w:eastAsia="Times New Roman" w:hAnsi="Arial" w:cs="Arial"/>
                <w:b/>
                <w:bCs/>
                <w:color w:val="000000"/>
                <w:sz w:val="20"/>
                <w:szCs w:val="20"/>
              </w:rPr>
            </w:pPr>
            <w:r w:rsidRPr="00AA5847">
              <w:rPr>
                <w:rFonts w:ascii="Arial" w:eastAsia="Times New Roman" w:hAnsi="Arial" w:cs="Arial"/>
                <w:b/>
                <w:bCs/>
                <w:color w:val="000000"/>
                <w:sz w:val="20"/>
                <w:szCs w:val="20"/>
              </w:rPr>
              <w:t>2024</w:t>
            </w:r>
          </w:p>
        </w:tc>
        <w:tc>
          <w:tcPr>
            <w:tcW w:w="960" w:type="dxa"/>
            <w:tcBorders>
              <w:top w:val="nil"/>
              <w:left w:val="nil"/>
              <w:bottom w:val="nil"/>
              <w:right w:val="nil"/>
            </w:tcBorders>
            <w:shd w:val="clear" w:color="000000" w:fill="BFBFBF"/>
            <w:vAlign w:val="center"/>
            <w:hideMark/>
          </w:tcPr>
          <w:p w14:paraId="3EE43933" w14:textId="77777777" w:rsidR="00AA5847" w:rsidRPr="00AA5847" w:rsidRDefault="00AA5847" w:rsidP="00AA5847">
            <w:pPr>
              <w:spacing w:after="0" w:line="240" w:lineRule="auto"/>
              <w:jc w:val="center"/>
              <w:rPr>
                <w:rFonts w:ascii="Arial" w:eastAsia="Times New Roman" w:hAnsi="Arial" w:cs="Arial"/>
                <w:b/>
                <w:bCs/>
                <w:color w:val="000000"/>
                <w:sz w:val="20"/>
                <w:szCs w:val="20"/>
              </w:rPr>
            </w:pPr>
            <w:r w:rsidRPr="00AA5847">
              <w:rPr>
                <w:rFonts w:ascii="Arial" w:eastAsia="Times New Roman" w:hAnsi="Arial" w:cs="Arial"/>
                <w:b/>
                <w:bCs/>
                <w:color w:val="000000"/>
                <w:sz w:val="20"/>
                <w:szCs w:val="20"/>
              </w:rPr>
              <w:t>2025*</w:t>
            </w:r>
          </w:p>
        </w:tc>
        <w:tc>
          <w:tcPr>
            <w:tcW w:w="960" w:type="dxa"/>
            <w:tcBorders>
              <w:top w:val="nil"/>
              <w:left w:val="nil"/>
              <w:bottom w:val="nil"/>
              <w:right w:val="nil"/>
            </w:tcBorders>
            <w:shd w:val="clear" w:color="000000" w:fill="BFBFBF"/>
            <w:vAlign w:val="center"/>
            <w:hideMark/>
          </w:tcPr>
          <w:p w14:paraId="54732C2C" w14:textId="77777777" w:rsidR="00AA5847" w:rsidRPr="00AA5847" w:rsidRDefault="00AA5847" w:rsidP="00AA5847">
            <w:pPr>
              <w:spacing w:after="0" w:line="240" w:lineRule="auto"/>
              <w:jc w:val="center"/>
              <w:rPr>
                <w:rFonts w:ascii="Arial" w:eastAsia="Times New Roman" w:hAnsi="Arial" w:cs="Arial"/>
                <w:b/>
                <w:bCs/>
                <w:color w:val="000000"/>
                <w:sz w:val="20"/>
                <w:szCs w:val="20"/>
              </w:rPr>
            </w:pPr>
            <w:r w:rsidRPr="00AA5847">
              <w:rPr>
                <w:rFonts w:ascii="Arial" w:eastAsia="Times New Roman" w:hAnsi="Arial" w:cs="Arial"/>
                <w:b/>
                <w:bCs/>
                <w:color w:val="000000"/>
                <w:sz w:val="20"/>
                <w:szCs w:val="20"/>
              </w:rPr>
              <w:t>2026*</w:t>
            </w:r>
          </w:p>
        </w:tc>
      </w:tr>
      <w:tr w:rsidR="00AA5847" w:rsidRPr="00AA5847" w14:paraId="74E03D77" w14:textId="77777777" w:rsidTr="00AA5847">
        <w:trPr>
          <w:trHeight w:val="300"/>
        </w:trPr>
        <w:tc>
          <w:tcPr>
            <w:tcW w:w="5954" w:type="dxa"/>
            <w:tcBorders>
              <w:top w:val="nil"/>
              <w:left w:val="nil"/>
              <w:bottom w:val="single" w:sz="4" w:space="0" w:color="FFFFFF"/>
              <w:right w:val="nil"/>
            </w:tcBorders>
            <w:shd w:val="clear" w:color="000000" w:fill="F2F2F2"/>
            <w:vAlign w:val="center"/>
            <w:hideMark/>
          </w:tcPr>
          <w:p w14:paraId="7FEE922C" w14:textId="77777777" w:rsidR="00AA5847" w:rsidRPr="00AA5847" w:rsidRDefault="00AA5847" w:rsidP="00AA5847">
            <w:pPr>
              <w:spacing w:after="0" w:line="240" w:lineRule="auto"/>
              <w:jc w:val="left"/>
              <w:rPr>
                <w:rFonts w:eastAsia="Times New Roman" w:cs="Calibri"/>
                <w:sz w:val="22"/>
              </w:rPr>
            </w:pPr>
            <w:r w:rsidRPr="00AA5847">
              <w:rPr>
                <w:rFonts w:eastAsia="Times New Roman" w:cs="Calibri"/>
                <w:bCs/>
                <w:sz w:val="22"/>
              </w:rPr>
              <w:t>World GDP</w:t>
            </w:r>
          </w:p>
        </w:tc>
        <w:tc>
          <w:tcPr>
            <w:tcW w:w="960" w:type="dxa"/>
            <w:tcBorders>
              <w:top w:val="nil"/>
              <w:left w:val="nil"/>
              <w:bottom w:val="single" w:sz="4" w:space="0" w:color="FFFFFF"/>
              <w:right w:val="nil"/>
            </w:tcBorders>
            <w:shd w:val="clear" w:color="000000" w:fill="F2F2F2"/>
            <w:vAlign w:val="center"/>
            <w:hideMark/>
          </w:tcPr>
          <w:p w14:paraId="7E6A98F8"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3.3</w:t>
            </w:r>
          </w:p>
        </w:tc>
        <w:tc>
          <w:tcPr>
            <w:tcW w:w="960" w:type="dxa"/>
            <w:tcBorders>
              <w:top w:val="nil"/>
              <w:left w:val="nil"/>
              <w:bottom w:val="single" w:sz="4" w:space="0" w:color="FFFFFF"/>
              <w:right w:val="nil"/>
            </w:tcBorders>
            <w:shd w:val="clear" w:color="000000" w:fill="F2F2F2"/>
            <w:vAlign w:val="center"/>
            <w:hideMark/>
          </w:tcPr>
          <w:p w14:paraId="5A7B4D04"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3.0</w:t>
            </w:r>
          </w:p>
        </w:tc>
        <w:tc>
          <w:tcPr>
            <w:tcW w:w="960" w:type="dxa"/>
            <w:tcBorders>
              <w:top w:val="nil"/>
              <w:left w:val="nil"/>
              <w:bottom w:val="single" w:sz="4" w:space="0" w:color="FFFFFF"/>
              <w:right w:val="nil"/>
            </w:tcBorders>
            <w:shd w:val="clear" w:color="000000" w:fill="F2F2F2"/>
            <w:vAlign w:val="center"/>
            <w:hideMark/>
          </w:tcPr>
          <w:p w14:paraId="47467416"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3.1</w:t>
            </w:r>
          </w:p>
        </w:tc>
      </w:tr>
      <w:tr w:rsidR="00AA5847" w:rsidRPr="00AA5847" w14:paraId="6461EBD6" w14:textId="77777777" w:rsidTr="00AA5847">
        <w:trPr>
          <w:trHeight w:val="300"/>
        </w:trPr>
        <w:tc>
          <w:tcPr>
            <w:tcW w:w="5954" w:type="dxa"/>
            <w:tcBorders>
              <w:top w:val="nil"/>
              <w:left w:val="nil"/>
              <w:bottom w:val="single" w:sz="4" w:space="0" w:color="FFFFFF"/>
              <w:right w:val="nil"/>
            </w:tcBorders>
            <w:shd w:val="clear" w:color="000000" w:fill="D9D9D9"/>
            <w:vAlign w:val="center"/>
            <w:hideMark/>
          </w:tcPr>
          <w:p w14:paraId="59A2F763" w14:textId="77777777" w:rsidR="00AA5847" w:rsidRPr="00AA5847" w:rsidRDefault="00AA5847" w:rsidP="00AA5847">
            <w:pPr>
              <w:spacing w:after="0" w:line="240" w:lineRule="auto"/>
              <w:jc w:val="left"/>
              <w:rPr>
                <w:rFonts w:eastAsia="Times New Roman" w:cs="Calibri"/>
                <w:sz w:val="22"/>
                <w:lang w:val="en-US"/>
              </w:rPr>
            </w:pPr>
            <w:r w:rsidRPr="00AA5847">
              <w:rPr>
                <w:rFonts w:eastAsia="Times New Roman" w:cs="Calibri"/>
                <w:sz w:val="22"/>
                <w:lang w:val="en-US"/>
              </w:rPr>
              <w:t>GDP of the European Union**</w:t>
            </w:r>
          </w:p>
        </w:tc>
        <w:tc>
          <w:tcPr>
            <w:tcW w:w="960" w:type="dxa"/>
            <w:tcBorders>
              <w:top w:val="nil"/>
              <w:left w:val="nil"/>
              <w:bottom w:val="single" w:sz="4" w:space="0" w:color="FFFFFF"/>
              <w:right w:val="nil"/>
            </w:tcBorders>
            <w:shd w:val="clear" w:color="000000" w:fill="D9D9D9"/>
            <w:vAlign w:val="center"/>
            <w:hideMark/>
          </w:tcPr>
          <w:p w14:paraId="5BF9863A"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1.0</w:t>
            </w:r>
          </w:p>
        </w:tc>
        <w:tc>
          <w:tcPr>
            <w:tcW w:w="960" w:type="dxa"/>
            <w:tcBorders>
              <w:top w:val="nil"/>
              <w:left w:val="nil"/>
              <w:bottom w:val="single" w:sz="4" w:space="0" w:color="FFFFFF"/>
              <w:right w:val="nil"/>
            </w:tcBorders>
            <w:shd w:val="clear" w:color="000000" w:fill="D9D9D9"/>
            <w:vAlign w:val="center"/>
            <w:hideMark/>
          </w:tcPr>
          <w:p w14:paraId="0E9F432E"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1.1</w:t>
            </w:r>
          </w:p>
        </w:tc>
        <w:tc>
          <w:tcPr>
            <w:tcW w:w="960" w:type="dxa"/>
            <w:tcBorders>
              <w:top w:val="nil"/>
              <w:left w:val="nil"/>
              <w:bottom w:val="single" w:sz="4" w:space="0" w:color="FFFFFF"/>
              <w:right w:val="nil"/>
            </w:tcBorders>
            <w:shd w:val="clear" w:color="000000" w:fill="D9D9D9"/>
            <w:vAlign w:val="center"/>
            <w:hideMark/>
          </w:tcPr>
          <w:p w14:paraId="0EE0E29A"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1.5</w:t>
            </w:r>
          </w:p>
        </w:tc>
      </w:tr>
      <w:tr w:rsidR="00AA5847" w:rsidRPr="00AA5847" w14:paraId="207349FD" w14:textId="77777777" w:rsidTr="00AA5847">
        <w:trPr>
          <w:trHeight w:val="300"/>
        </w:trPr>
        <w:tc>
          <w:tcPr>
            <w:tcW w:w="5954" w:type="dxa"/>
            <w:tcBorders>
              <w:top w:val="nil"/>
              <w:left w:val="nil"/>
              <w:bottom w:val="single" w:sz="4" w:space="0" w:color="FFFFFF"/>
              <w:right w:val="nil"/>
            </w:tcBorders>
            <w:shd w:val="clear" w:color="000000" w:fill="F2F2F2"/>
            <w:vAlign w:val="center"/>
            <w:hideMark/>
          </w:tcPr>
          <w:p w14:paraId="1BA14BEF" w14:textId="77777777" w:rsidR="00AA5847" w:rsidRPr="00AA5847" w:rsidRDefault="00AA5847" w:rsidP="00AA5847">
            <w:pPr>
              <w:spacing w:after="0" w:line="240" w:lineRule="auto"/>
              <w:jc w:val="left"/>
              <w:rPr>
                <w:rFonts w:eastAsia="Times New Roman" w:cs="Calibri"/>
                <w:sz w:val="22"/>
                <w:lang w:val="en-US"/>
              </w:rPr>
            </w:pPr>
            <w:r w:rsidRPr="00AA5847">
              <w:rPr>
                <w:rFonts w:eastAsia="Times New Roman" w:cs="Calibri"/>
                <w:sz w:val="22"/>
                <w:lang w:val="en-US"/>
              </w:rPr>
              <w:t>GDP of the Euro Area**</w:t>
            </w:r>
          </w:p>
        </w:tc>
        <w:tc>
          <w:tcPr>
            <w:tcW w:w="960" w:type="dxa"/>
            <w:tcBorders>
              <w:top w:val="nil"/>
              <w:left w:val="nil"/>
              <w:bottom w:val="single" w:sz="4" w:space="0" w:color="FFFFFF"/>
              <w:right w:val="nil"/>
            </w:tcBorders>
            <w:shd w:val="clear" w:color="000000" w:fill="F2F2F2"/>
            <w:vAlign w:val="center"/>
            <w:hideMark/>
          </w:tcPr>
          <w:p w14:paraId="15EAC57A"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0.9</w:t>
            </w:r>
          </w:p>
        </w:tc>
        <w:tc>
          <w:tcPr>
            <w:tcW w:w="960" w:type="dxa"/>
            <w:tcBorders>
              <w:top w:val="nil"/>
              <w:left w:val="nil"/>
              <w:bottom w:val="single" w:sz="4" w:space="0" w:color="FFFFFF"/>
              <w:right w:val="nil"/>
            </w:tcBorders>
            <w:shd w:val="clear" w:color="000000" w:fill="F2F2F2"/>
            <w:vAlign w:val="center"/>
            <w:hideMark/>
          </w:tcPr>
          <w:p w14:paraId="6AA68EE4"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0.9</w:t>
            </w:r>
          </w:p>
        </w:tc>
        <w:tc>
          <w:tcPr>
            <w:tcW w:w="960" w:type="dxa"/>
            <w:tcBorders>
              <w:top w:val="nil"/>
              <w:left w:val="nil"/>
              <w:bottom w:val="single" w:sz="4" w:space="0" w:color="FFFFFF"/>
              <w:right w:val="nil"/>
            </w:tcBorders>
            <w:shd w:val="clear" w:color="000000" w:fill="F2F2F2"/>
            <w:vAlign w:val="center"/>
            <w:hideMark/>
          </w:tcPr>
          <w:p w14:paraId="12C4BC2A"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1.4</w:t>
            </w:r>
          </w:p>
        </w:tc>
      </w:tr>
      <w:tr w:rsidR="00AA5847" w:rsidRPr="00AA5847" w14:paraId="4A361049" w14:textId="77777777" w:rsidTr="00AA5847">
        <w:trPr>
          <w:trHeight w:val="300"/>
        </w:trPr>
        <w:tc>
          <w:tcPr>
            <w:tcW w:w="5954" w:type="dxa"/>
            <w:tcBorders>
              <w:top w:val="nil"/>
              <w:left w:val="nil"/>
              <w:bottom w:val="single" w:sz="4" w:space="0" w:color="FFFFFF"/>
              <w:right w:val="nil"/>
            </w:tcBorders>
            <w:shd w:val="clear" w:color="000000" w:fill="D9D9D9"/>
            <w:vAlign w:val="center"/>
            <w:hideMark/>
          </w:tcPr>
          <w:p w14:paraId="01EA2144" w14:textId="77777777" w:rsidR="00AA5847" w:rsidRPr="00AA5847" w:rsidRDefault="00AA5847" w:rsidP="00AA5847">
            <w:pPr>
              <w:spacing w:after="0" w:line="240" w:lineRule="auto"/>
              <w:jc w:val="left"/>
              <w:rPr>
                <w:rFonts w:eastAsia="Times New Roman" w:cs="Calibri"/>
                <w:sz w:val="22"/>
              </w:rPr>
            </w:pPr>
            <w:r w:rsidRPr="00AA5847">
              <w:rPr>
                <w:rFonts w:eastAsia="Times New Roman" w:cs="Calibri"/>
                <w:bCs/>
                <w:sz w:val="22"/>
              </w:rPr>
              <w:t>GDP of the USA</w:t>
            </w:r>
          </w:p>
        </w:tc>
        <w:tc>
          <w:tcPr>
            <w:tcW w:w="960" w:type="dxa"/>
            <w:tcBorders>
              <w:top w:val="nil"/>
              <w:left w:val="nil"/>
              <w:bottom w:val="single" w:sz="4" w:space="0" w:color="FFFFFF"/>
              <w:right w:val="nil"/>
            </w:tcBorders>
            <w:shd w:val="clear" w:color="000000" w:fill="D9D9D9"/>
            <w:vAlign w:val="center"/>
            <w:hideMark/>
          </w:tcPr>
          <w:p w14:paraId="0E0AE394"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2.8</w:t>
            </w:r>
          </w:p>
        </w:tc>
        <w:tc>
          <w:tcPr>
            <w:tcW w:w="960" w:type="dxa"/>
            <w:tcBorders>
              <w:top w:val="nil"/>
              <w:left w:val="nil"/>
              <w:bottom w:val="single" w:sz="4" w:space="0" w:color="FFFFFF"/>
              <w:right w:val="nil"/>
            </w:tcBorders>
            <w:shd w:val="clear" w:color="000000" w:fill="D9D9D9"/>
            <w:vAlign w:val="center"/>
            <w:hideMark/>
          </w:tcPr>
          <w:p w14:paraId="52C96F3F"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1.9</w:t>
            </w:r>
          </w:p>
        </w:tc>
        <w:tc>
          <w:tcPr>
            <w:tcW w:w="960" w:type="dxa"/>
            <w:tcBorders>
              <w:top w:val="nil"/>
              <w:left w:val="nil"/>
              <w:bottom w:val="single" w:sz="4" w:space="0" w:color="FFFFFF"/>
              <w:right w:val="nil"/>
            </w:tcBorders>
            <w:shd w:val="clear" w:color="000000" w:fill="D9D9D9"/>
            <w:vAlign w:val="center"/>
            <w:hideMark/>
          </w:tcPr>
          <w:p w14:paraId="14BDA380"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2.0</w:t>
            </w:r>
          </w:p>
        </w:tc>
      </w:tr>
      <w:tr w:rsidR="00AA5847" w:rsidRPr="00AA5847" w14:paraId="715E5B4D" w14:textId="77777777" w:rsidTr="00AA5847">
        <w:trPr>
          <w:trHeight w:val="300"/>
        </w:trPr>
        <w:tc>
          <w:tcPr>
            <w:tcW w:w="5954" w:type="dxa"/>
            <w:tcBorders>
              <w:top w:val="nil"/>
              <w:left w:val="nil"/>
              <w:bottom w:val="single" w:sz="4" w:space="0" w:color="FFFFFF"/>
              <w:right w:val="nil"/>
            </w:tcBorders>
            <w:shd w:val="clear" w:color="000000" w:fill="F2F2F2"/>
            <w:vAlign w:val="center"/>
            <w:hideMark/>
          </w:tcPr>
          <w:p w14:paraId="171B8F7F" w14:textId="77777777" w:rsidR="00AA5847" w:rsidRPr="00AA5847" w:rsidRDefault="00AA5847" w:rsidP="00AA5847">
            <w:pPr>
              <w:spacing w:after="0" w:line="240" w:lineRule="auto"/>
              <w:jc w:val="left"/>
              <w:rPr>
                <w:rFonts w:eastAsia="Times New Roman" w:cs="Calibri"/>
                <w:sz w:val="22"/>
                <w:lang w:val="en-US"/>
              </w:rPr>
            </w:pPr>
            <w:r w:rsidRPr="00AA5847">
              <w:rPr>
                <w:rFonts w:eastAsia="Times New Roman" w:cs="Calibri"/>
                <w:sz w:val="22"/>
                <w:lang w:val="en-US"/>
              </w:rPr>
              <w:t>World trade (goods and services)</w:t>
            </w:r>
          </w:p>
        </w:tc>
        <w:tc>
          <w:tcPr>
            <w:tcW w:w="960" w:type="dxa"/>
            <w:tcBorders>
              <w:top w:val="nil"/>
              <w:left w:val="nil"/>
              <w:bottom w:val="single" w:sz="4" w:space="0" w:color="FFFFFF"/>
              <w:right w:val="nil"/>
            </w:tcBorders>
            <w:shd w:val="clear" w:color="000000" w:fill="F2F2F2"/>
            <w:vAlign w:val="center"/>
            <w:hideMark/>
          </w:tcPr>
          <w:p w14:paraId="175CBFD9"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3.5</w:t>
            </w:r>
          </w:p>
        </w:tc>
        <w:tc>
          <w:tcPr>
            <w:tcW w:w="960" w:type="dxa"/>
            <w:tcBorders>
              <w:top w:val="nil"/>
              <w:left w:val="nil"/>
              <w:bottom w:val="single" w:sz="4" w:space="0" w:color="FFFFFF"/>
              <w:right w:val="nil"/>
            </w:tcBorders>
            <w:shd w:val="clear" w:color="000000" w:fill="F2F2F2"/>
            <w:vAlign w:val="center"/>
            <w:hideMark/>
          </w:tcPr>
          <w:p w14:paraId="5C38B0F6"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2.6</w:t>
            </w:r>
          </w:p>
        </w:tc>
        <w:tc>
          <w:tcPr>
            <w:tcW w:w="960" w:type="dxa"/>
            <w:tcBorders>
              <w:top w:val="nil"/>
              <w:left w:val="nil"/>
              <w:bottom w:val="single" w:sz="4" w:space="0" w:color="FFFFFF"/>
              <w:right w:val="nil"/>
            </w:tcBorders>
            <w:shd w:val="clear" w:color="000000" w:fill="F2F2F2"/>
            <w:vAlign w:val="center"/>
            <w:hideMark/>
          </w:tcPr>
          <w:p w14:paraId="05E9B200"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1.9</w:t>
            </w:r>
          </w:p>
        </w:tc>
      </w:tr>
      <w:tr w:rsidR="00AA5847" w:rsidRPr="00AA5847" w14:paraId="7100D2DD" w14:textId="77777777" w:rsidTr="00AA5847">
        <w:trPr>
          <w:trHeight w:val="300"/>
        </w:trPr>
        <w:tc>
          <w:tcPr>
            <w:tcW w:w="5954" w:type="dxa"/>
            <w:tcBorders>
              <w:top w:val="nil"/>
              <w:left w:val="nil"/>
              <w:bottom w:val="single" w:sz="4" w:space="0" w:color="FFFFFF"/>
              <w:right w:val="nil"/>
            </w:tcBorders>
            <w:shd w:val="clear" w:color="000000" w:fill="D9D9D9"/>
            <w:vAlign w:val="center"/>
            <w:hideMark/>
          </w:tcPr>
          <w:p w14:paraId="4BE186BE" w14:textId="77777777" w:rsidR="00AA5847" w:rsidRPr="00AA5847" w:rsidRDefault="00AA5847" w:rsidP="00AA5847">
            <w:pPr>
              <w:spacing w:after="0" w:line="240" w:lineRule="auto"/>
              <w:jc w:val="left"/>
              <w:rPr>
                <w:rFonts w:eastAsia="Times New Roman" w:cs="Calibri"/>
                <w:sz w:val="22"/>
              </w:rPr>
            </w:pPr>
            <w:r w:rsidRPr="00AA5847">
              <w:rPr>
                <w:rFonts w:eastAsia="Times New Roman" w:cs="Calibri"/>
                <w:bCs/>
                <w:sz w:val="22"/>
              </w:rPr>
              <w:t xml:space="preserve">Inflation </w:t>
            </w:r>
          </w:p>
        </w:tc>
        <w:tc>
          <w:tcPr>
            <w:tcW w:w="960" w:type="dxa"/>
            <w:tcBorders>
              <w:top w:val="nil"/>
              <w:left w:val="nil"/>
              <w:bottom w:val="single" w:sz="4" w:space="0" w:color="FFFFFF"/>
              <w:right w:val="nil"/>
            </w:tcBorders>
            <w:shd w:val="clear" w:color="000000" w:fill="D9D9D9"/>
            <w:vAlign w:val="center"/>
            <w:hideMark/>
          </w:tcPr>
          <w:p w14:paraId="25FB04E9"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5.6</w:t>
            </w:r>
          </w:p>
        </w:tc>
        <w:tc>
          <w:tcPr>
            <w:tcW w:w="960" w:type="dxa"/>
            <w:tcBorders>
              <w:top w:val="nil"/>
              <w:left w:val="nil"/>
              <w:bottom w:val="single" w:sz="4" w:space="0" w:color="FFFFFF"/>
              <w:right w:val="nil"/>
            </w:tcBorders>
            <w:shd w:val="clear" w:color="000000" w:fill="D9D9D9"/>
            <w:vAlign w:val="center"/>
            <w:hideMark/>
          </w:tcPr>
          <w:p w14:paraId="29F828FA"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4.2</w:t>
            </w:r>
          </w:p>
        </w:tc>
        <w:tc>
          <w:tcPr>
            <w:tcW w:w="960" w:type="dxa"/>
            <w:tcBorders>
              <w:top w:val="nil"/>
              <w:left w:val="nil"/>
              <w:bottom w:val="single" w:sz="4" w:space="0" w:color="FFFFFF"/>
              <w:right w:val="nil"/>
            </w:tcBorders>
            <w:shd w:val="clear" w:color="000000" w:fill="D9D9D9"/>
            <w:vAlign w:val="center"/>
            <w:hideMark/>
          </w:tcPr>
          <w:p w14:paraId="3048B97E"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3.6</w:t>
            </w:r>
          </w:p>
        </w:tc>
      </w:tr>
      <w:tr w:rsidR="00AA5847" w:rsidRPr="00AA5847" w14:paraId="505A90B3" w14:textId="77777777" w:rsidTr="00AA5847">
        <w:trPr>
          <w:trHeight w:val="300"/>
        </w:trPr>
        <w:tc>
          <w:tcPr>
            <w:tcW w:w="5954" w:type="dxa"/>
            <w:tcBorders>
              <w:top w:val="nil"/>
              <w:left w:val="nil"/>
              <w:bottom w:val="single" w:sz="4" w:space="0" w:color="FFFFFF"/>
              <w:right w:val="nil"/>
            </w:tcBorders>
            <w:shd w:val="clear" w:color="000000" w:fill="F2F2F2"/>
            <w:vAlign w:val="center"/>
            <w:hideMark/>
          </w:tcPr>
          <w:p w14:paraId="47A65C0D" w14:textId="77777777" w:rsidR="00AA5847" w:rsidRPr="00AA5847" w:rsidRDefault="00AA5847" w:rsidP="00AA5847">
            <w:pPr>
              <w:spacing w:after="0" w:line="240" w:lineRule="auto"/>
              <w:ind w:firstLineChars="200" w:firstLine="440"/>
              <w:jc w:val="left"/>
              <w:rPr>
                <w:rFonts w:eastAsia="Times New Roman" w:cs="Calibri"/>
                <w:sz w:val="22"/>
              </w:rPr>
            </w:pPr>
            <w:r w:rsidRPr="00AA5847">
              <w:rPr>
                <w:rFonts w:eastAsia="Times New Roman" w:cs="Calibri"/>
                <w:sz w:val="22"/>
                <w:lang w:val="en-US"/>
              </w:rPr>
              <w:t>a. Advanced economies</w:t>
            </w:r>
          </w:p>
        </w:tc>
        <w:tc>
          <w:tcPr>
            <w:tcW w:w="960" w:type="dxa"/>
            <w:tcBorders>
              <w:top w:val="nil"/>
              <w:left w:val="nil"/>
              <w:bottom w:val="single" w:sz="4" w:space="0" w:color="FFFFFF"/>
              <w:right w:val="nil"/>
            </w:tcBorders>
            <w:shd w:val="clear" w:color="000000" w:fill="F2F2F2"/>
            <w:vAlign w:val="center"/>
            <w:hideMark/>
          </w:tcPr>
          <w:p w14:paraId="54262AA0"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2.6</w:t>
            </w:r>
          </w:p>
        </w:tc>
        <w:tc>
          <w:tcPr>
            <w:tcW w:w="960" w:type="dxa"/>
            <w:tcBorders>
              <w:top w:val="nil"/>
              <w:left w:val="nil"/>
              <w:bottom w:val="single" w:sz="4" w:space="0" w:color="FFFFFF"/>
              <w:right w:val="nil"/>
            </w:tcBorders>
            <w:shd w:val="clear" w:color="000000" w:fill="F2F2F2"/>
            <w:vAlign w:val="center"/>
            <w:hideMark/>
          </w:tcPr>
          <w:p w14:paraId="573E160A"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2.5</w:t>
            </w:r>
          </w:p>
        </w:tc>
        <w:tc>
          <w:tcPr>
            <w:tcW w:w="960" w:type="dxa"/>
            <w:tcBorders>
              <w:top w:val="nil"/>
              <w:left w:val="nil"/>
              <w:bottom w:val="single" w:sz="4" w:space="0" w:color="FFFFFF"/>
              <w:right w:val="nil"/>
            </w:tcBorders>
            <w:shd w:val="clear" w:color="000000" w:fill="F2F2F2"/>
            <w:vAlign w:val="center"/>
            <w:hideMark/>
          </w:tcPr>
          <w:p w14:paraId="03E05647"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2.1</w:t>
            </w:r>
          </w:p>
        </w:tc>
      </w:tr>
      <w:tr w:rsidR="00AA5847" w:rsidRPr="00AA5847" w14:paraId="005EE098" w14:textId="77777777" w:rsidTr="00C156BE">
        <w:trPr>
          <w:trHeight w:val="411"/>
        </w:trPr>
        <w:tc>
          <w:tcPr>
            <w:tcW w:w="5954" w:type="dxa"/>
            <w:tcBorders>
              <w:top w:val="nil"/>
              <w:left w:val="nil"/>
              <w:bottom w:val="single" w:sz="4" w:space="0" w:color="FFFFFF"/>
              <w:right w:val="nil"/>
            </w:tcBorders>
            <w:shd w:val="clear" w:color="000000" w:fill="D9D9D9"/>
            <w:vAlign w:val="center"/>
            <w:hideMark/>
          </w:tcPr>
          <w:p w14:paraId="3D6DF1A1" w14:textId="77777777" w:rsidR="00AA5847" w:rsidRPr="00AA5847" w:rsidRDefault="00AA5847" w:rsidP="00AA5847">
            <w:pPr>
              <w:spacing w:after="0" w:line="240" w:lineRule="auto"/>
              <w:ind w:firstLineChars="200" w:firstLine="440"/>
              <w:jc w:val="left"/>
              <w:rPr>
                <w:rFonts w:eastAsia="Times New Roman" w:cs="Calibri"/>
                <w:sz w:val="22"/>
                <w:lang w:val="en-US"/>
              </w:rPr>
            </w:pPr>
            <w:r w:rsidRPr="00AA5847">
              <w:rPr>
                <w:rFonts w:eastAsia="Times New Roman" w:cs="Calibri"/>
                <w:sz w:val="22"/>
                <w:lang w:val="en-US"/>
              </w:rPr>
              <w:t>b. Emerging markets and developing economies</w:t>
            </w:r>
          </w:p>
        </w:tc>
        <w:tc>
          <w:tcPr>
            <w:tcW w:w="960" w:type="dxa"/>
            <w:tcBorders>
              <w:top w:val="nil"/>
              <w:left w:val="nil"/>
              <w:bottom w:val="single" w:sz="4" w:space="0" w:color="FFFFFF"/>
              <w:right w:val="nil"/>
            </w:tcBorders>
            <w:shd w:val="clear" w:color="000000" w:fill="D9D9D9"/>
            <w:vAlign w:val="center"/>
            <w:hideMark/>
          </w:tcPr>
          <w:p w14:paraId="3DDB75B8"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7.7</w:t>
            </w:r>
          </w:p>
        </w:tc>
        <w:tc>
          <w:tcPr>
            <w:tcW w:w="960" w:type="dxa"/>
            <w:tcBorders>
              <w:top w:val="nil"/>
              <w:left w:val="nil"/>
              <w:bottom w:val="single" w:sz="4" w:space="0" w:color="FFFFFF"/>
              <w:right w:val="nil"/>
            </w:tcBorders>
            <w:shd w:val="clear" w:color="000000" w:fill="D9D9D9"/>
            <w:vAlign w:val="center"/>
            <w:hideMark/>
          </w:tcPr>
          <w:p w14:paraId="273FF195"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5.4</w:t>
            </w:r>
          </w:p>
        </w:tc>
        <w:tc>
          <w:tcPr>
            <w:tcW w:w="960" w:type="dxa"/>
            <w:tcBorders>
              <w:top w:val="nil"/>
              <w:left w:val="nil"/>
              <w:bottom w:val="single" w:sz="4" w:space="0" w:color="FFFFFF"/>
              <w:right w:val="nil"/>
            </w:tcBorders>
            <w:shd w:val="clear" w:color="000000" w:fill="D9D9D9"/>
            <w:vAlign w:val="center"/>
            <w:hideMark/>
          </w:tcPr>
          <w:p w14:paraId="5B239D85"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4.5</w:t>
            </w:r>
          </w:p>
        </w:tc>
      </w:tr>
      <w:tr w:rsidR="00AA5847" w:rsidRPr="00AA5847" w14:paraId="1F0638C6" w14:textId="77777777" w:rsidTr="00AA5847">
        <w:trPr>
          <w:trHeight w:val="300"/>
        </w:trPr>
        <w:tc>
          <w:tcPr>
            <w:tcW w:w="5954" w:type="dxa"/>
            <w:tcBorders>
              <w:top w:val="nil"/>
              <w:left w:val="nil"/>
              <w:bottom w:val="single" w:sz="4" w:space="0" w:color="FFFFFF"/>
              <w:right w:val="nil"/>
            </w:tcBorders>
            <w:shd w:val="clear" w:color="000000" w:fill="F2F2F2"/>
            <w:vAlign w:val="center"/>
            <w:hideMark/>
          </w:tcPr>
          <w:p w14:paraId="52DAE290" w14:textId="77777777" w:rsidR="00AA5847" w:rsidRPr="00AA5847" w:rsidRDefault="00AA5847" w:rsidP="00AA5847">
            <w:pPr>
              <w:spacing w:after="0" w:line="240" w:lineRule="auto"/>
              <w:ind w:firstLineChars="200" w:firstLine="440"/>
              <w:jc w:val="left"/>
              <w:rPr>
                <w:rFonts w:eastAsia="Times New Roman" w:cs="Calibri"/>
                <w:sz w:val="22"/>
              </w:rPr>
            </w:pPr>
            <w:r w:rsidRPr="00AA5847">
              <w:rPr>
                <w:rFonts w:eastAsia="Times New Roman" w:cs="Calibri"/>
                <w:bCs/>
                <w:sz w:val="22"/>
              </w:rPr>
              <w:t>c. Euro Area**</w:t>
            </w:r>
          </w:p>
        </w:tc>
        <w:tc>
          <w:tcPr>
            <w:tcW w:w="960" w:type="dxa"/>
            <w:tcBorders>
              <w:top w:val="nil"/>
              <w:left w:val="nil"/>
              <w:bottom w:val="single" w:sz="4" w:space="0" w:color="FFFFFF"/>
              <w:right w:val="nil"/>
            </w:tcBorders>
            <w:shd w:val="clear" w:color="000000" w:fill="F2F2F2"/>
            <w:vAlign w:val="center"/>
            <w:hideMark/>
          </w:tcPr>
          <w:p w14:paraId="323282C2"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2.4</w:t>
            </w:r>
          </w:p>
        </w:tc>
        <w:tc>
          <w:tcPr>
            <w:tcW w:w="960" w:type="dxa"/>
            <w:tcBorders>
              <w:top w:val="nil"/>
              <w:left w:val="nil"/>
              <w:bottom w:val="single" w:sz="4" w:space="0" w:color="FFFFFF"/>
              <w:right w:val="nil"/>
            </w:tcBorders>
            <w:shd w:val="clear" w:color="000000" w:fill="F2F2F2"/>
            <w:vAlign w:val="center"/>
            <w:hideMark/>
          </w:tcPr>
          <w:p w14:paraId="56CF2989"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2.1</w:t>
            </w:r>
          </w:p>
        </w:tc>
        <w:tc>
          <w:tcPr>
            <w:tcW w:w="960" w:type="dxa"/>
            <w:tcBorders>
              <w:top w:val="nil"/>
              <w:left w:val="nil"/>
              <w:bottom w:val="single" w:sz="4" w:space="0" w:color="FFFFFF"/>
              <w:right w:val="nil"/>
            </w:tcBorders>
            <w:shd w:val="clear" w:color="000000" w:fill="F2F2F2"/>
            <w:vAlign w:val="center"/>
            <w:hideMark/>
          </w:tcPr>
          <w:p w14:paraId="64795D89"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1.7</w:t>
            </w:r>
          </w:p>
        </w:tc>
      </w:tr>
      <w:tr w:rsidR="00AA5847" w:rsidRPr="00AA5847" w14:paraId="22E63C9E" w14:textId="77777777" w:rsidTr="00AA5847">
        <w:trPr>
          <w:trHeight w:val="300"/>
        </w:trPr>
        <w:tc>
          <w:tcPr>
            <w:tcW w:w="5954" w:type="dxa"/>
            <w:tcBorders>
              <w:top w:val="single" w:sz="4" w:space="0" w:color="FFFFFF"/>
              <w:left w:val="nil"/>
              <w:bottom w:val="single" w:sz="18" w:space="0" w:color="4F81BD" w:themeColor="accent1"/>
              <w:right w:val="nil"/>
            </w:tcBorders>
            <w:shd w:val="clear" w:color="000000" w:fill="D9D9D9"/>
            <w:vAlign w:val="center"/>
            <w:hideMark/>
          </w:tcPr>
          <w:p w14:paraId="4CBCBBE7" w14:textId="77777777" w:rsidR="00AA5847" w:rsidRPr="00AA5847" w:rsidRDefault="00AA5847" w:rsidP="00AA5847">
            <w:pPr>
              <w:spacing w:after="0" w:line="240" w:lineRule="auto"/>
              <w:jc w:val="left"/>
              <w:rPr>
                <w:rFonts w:eastAsia="Times New Roman" w:cs="Calibri"/>
                <w:sz w:val="22"/>
                <w:lang w:val="en-US"/>
              </w:rPr>
            </w:pPr>
            <w:r w:rsidRPr="00AA5847">
              <w:rPr>
                <w:rFonts w:eastAsia="Times New Roman" w:cs="Calibri"/>
                <w:sz w:val="22"/>
                <w:lang w:val="en-US"/>
              </w:rPr>
              <w:t>Oil prices (Brent, USD/barrel)**</w:t>
            </w:r>
          </w:p>
        </w:tc>
        <w:tc>
          <w:tcPr>
            <w:tcW w:w="960" w:type="dxa"/>
            <w:tcBorders>
              <w:top w:val="single" w:sz="4" w:space="0" w:color="FFFFFF"/>
              <w:left w:val="nil"/>
              <w:bottom w:val="single" w:sz="18" w:space="0" w:color="4F81BD" w:themeColor="accent1"/>
              <w:right w:val="nil"/>
            </w:tcBorders>
            <w:shd w:val="clear" w:color="000000" w:fill="D9D9D9"/>
            <w:vAlign w:val="center"/>
            <w:hideMark/>
          </w:tcPr>
          <w:p w14:paraId="7F815AB1" w14:textId="77777777" w:rsidR="00AA5847" w:rsidRPr="00AA5847" w:rsidRDefault="00AA5847" w:rsidP="00AA5847">
            <w:pPr>
              <w:spacing w:after="0" w:line="240" w:lineRule="auto"/>
              <w:jc w:val="center"/>
              <w:rPr>
                <w:rFonts w:eastAsia="Times New Roman" w:cs="Calibri"/>
                <w:sz w:val="22"/>
              </w:rPr>
            </w:pPr>
            <w:r w:rsidRPr="00AA5847">
              <w:rPr>
                <w:rFonts w:eastAsia="Calibri" w:cs="Calibri"/>
                <w:sz w:val="22"/>
              </w:rPr>
              <w:t>80.5</w:t>
            </w:r>
          </w:p>
        </w:tc>
        <w:tc>
          <w:tcPr>
            <w:tcW w:w="960" w:type="dxa"/>
            <w:tcBorders>
              <w:top w:val="single" w:sz="4" w:space="0" w:color="FFFFFF"/>
              <w:left w:val="nil"/>
              <w:bottom w:val="single" w:sz="18" w:space="0" w:color="4F81BD" w:themeColor="accent1"/>
              <w:right w:val="nil"/>
            </w:tcBorders>
            <w:shd w:val="clear" w:color="000000" w:fill="D9D9D9"/>
            <w:vAlign w:val="center"/>
            <w:hideMark/>
          </w:tcPr>
          <w:p w14:paraId="208126F9"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67.7</w:t>
            </w:r>
          </w:p>
        </w:tc>
        <w:tc>
          <w:tcPr>
            <w:tcW w:w="960" w:type="dxa"/>
            <w:tcBorders>
              <w:top w:val="single" w:sz="4" w:space="0" w:color="FFFFFF"/>
              <w:left w:val="nil"/>
              <w:bottom w:val="single" w:sz="18" w:space="0" w:color="4F81BD" w:themeColor="accent1"/>
              <w:right w:val="nil"/>
            </w:tcBorders>
            <w:shd w:val="clear" w:color="000000" w:fill="D9D9D9"/>
            <w:vAlign w:val="center"/>
            <w:hideMark/>
          </w:tcPr>
          <w:p w14:paraId="15C0DCE0" w14:textId="77777777" w:rsidR="00AA5847" w:rsidRPr="00AA5847" w:rsidRDefault="00AA5847" w:rsidP="00AA5847">
            <w:pPr>
              <w:spacing w:after="0" w:line="240" w:lineRule="auto"/>
              <w:jc w:val="center"/>
              <w:rPr>
                <w:rFonts w:eastAsia="Times New Roman" w:cs="Calibri"/>
                <w:sz w:val="22"/>
              </w:rPr>
            </w:pPr>
            <w:r w:rsidRPr="00AA5847">
              <w:rPr>
                <w:rFonts w:eastAsia="Times New Roman" w:cs="Calibri"/>
                <w:sz w:val="22"/>
                <w:lang w:val="en-US"/>
              </w:rPr>
              <w:t>64.0</w:t>
            </w:r>
          </w:p>
        </w:tc>
      </w:tr>
    </w:tbl>
    <w:p w14:paraId="75B0388F" w14:textId="77777777" w:rsidR="00FA3A75" w:rsidRPr="00873C4F" w:rsidRDefault="00FA3A75" w:rsidP="00304EEB">
      <w:pPr>
        <w:pStyle w:val="Source"/>
        <w:spacing w:after="0"/>
        <w:rPr>
          <w:i w:val="0"/>
        </w:rPr>
      </w:pPr>
      <w:r w:rsidRPr="00873C4F">
        <w:rPr>
          <w:i w:val="0"/>
        </w:rPr>
        <w:t>*   Estimates/projections.     ** EC Spring European Economic Forecast, May 2025.</w:t>
      </w:r>
    </w:p>
    <w:p w14:paraId="0476CAE0" w14:textId="77777777" w:rsidR="00E12B4A" w:rsidRPr="00385F38" w:rsidRDefault="005E1B94" w:rsidP="00385F38">
      <w:pPr>
        <w:pStyle w:val="Source"/>
        <w:spacing w:after="240"/>
        <w:rPr>
          <w:i w:val="0"/>
        </w:rPr>
      </w:pPr>
      <w:r w:rsidRPr="00385F38">
        <w:rPr>
          <w:i w:val="0"/>
        </w:rPr>
        <w:t>Source: IMF, World Economic Outlook, July 2025.</w:t>
      </w:r>
      <w:r w:rsidRPr="00385F38">
        <w:rPr>
          <w:i w:val="0"/>
        </w:rPr>
        <w:br/>
      </w:r>
    </w:p>
    <w:p w14:paraId="5C51AFD7" w14:textId="77777777" w:rsidR="00FA3A75" w:rsidRPr="00E868E6" w:rsidRDefault="00FA3A75" w:rsidP="00691F31">
      <w:pPr>
        <w:rPr>
          <w:lang w:val="en-US"/>
        </w:rPr>
      </w:pPr>
      <w:r w:rsidRPr="00E12B4A">
        <w:rPr>
          <w:lang w:val="en-US"/>
        </w:rPr>
        <w:lastRenderedPageBreak/>
        <w:t xml:space="preserve">According to the Spring Economic Forecast of the European Commission, inflation in the EU is projected to decline from 2.6% in 2024 to 2.3% in 2025 and further to 1.9% in 2026. </w:t>
      </w:r>
      <w:r w:rsidRPr="00A543B1">
        <w:rPr>
          <w:lang w:val="en-US"/>
        </w:rPr>
        <w:t xml:space="preserve">In the Euro area, inflation is forecasted to fall from 2.4% in 2024 to 2.1% in 2025 and to 1.7% in 2026. Downward pressures stem from significantly lower energy prices, US-China trade relations which increase competition in non-energy industrial goods within the EU and the appreciation of the euro and other </w:t>
      </w:r>
      <w:r w:rsidRPr="00E868E6">
        <w:rPr>
          <w:lang w:val="en-US"/>
        </w:rPr>
        <w:t>EU currencies. These deflationary forces are partly offset by higher inflation in food and services.</w:t>
      </w:r>
    </w:p>
    <w:p w14:paraId="44D3BB59" w14:textId="77777777" w:rsidR="00FA3A75" w:rsidRPr="0057469F" w:rsidRDefault="00FA3A75" w:rsidP="00691F31">
      <w:pPr>
        <w:rPr>
          <w:lang w:val="en-US"/>
        </w:rPr>
      </w:pPr>
      <w:r w:rsidRPr="0057469F">
        <w:rPr>
          <w:lang w:val="en-US"/>
        </w:rPr>
        <w:t>According to forecasts of the European Central Bank (ECB) in September 2025, the growth rate for the Euro area is estimated at 1.2% in 2025 and 1.0% in 2026, compared to 0.8% in 2024. Inflation is projected to decline from 2.4% in 2024 to 2.1% in 2025 and further to 1.7% in 2026.</w:t>
      </w:r>
    </w:p>
    <w:p w14:paraId="09C722EC" w14:textId="77777777" w:rsidR="00FA3A75" w:rsidRPr="0057469F" w:rsidRDefault="00FA3A75" w:rsidP="00691F31">
      <w:pPr>
        <w:rPr>
          <w:lang w:val="en-US"/>
        </w:rPr>
      </w:pPr>
      <w:r w:rsidRPr="0057469F">
        <w:rPr>
          <w:lang w:val="en-US"/>
        </w:rPr>
        <w:t>In advanced economies, according to the IMF forecasts in July 2025, GDP growth is estimated to slow from 1.8% in 2024 to 1.5% in 2025, before modestly increasing to 1.6% in 2026. Specifically, for the United States, GDP growth is expected to decelerate from 2.8% in 2024 to 1.9% in 2025 and then slightly recover to 2.0% in 2026, mainly driven by tax incentives for corporate investment. For Japan, the growth rate is forecast to rise from 0.2% in 2024 to 0.7% in 2025 before declining to 0.5% in 2026. For Canada, the growth rate is expected to increase from 1.6% in both 2024 and 2025 to 1.9% in 2026. For the United Kingdom, the growth rate is projected to rise from 1.1% in 2024 to 1.2% in 2025 and to 1.4% in 2026.</w:t>
      </w:r>
    </w:p>
    <w:p w14:paraId="37936631" w14:textId="77777777" w:rsidR="00FA3A75" w:rsidRPr="0057469F" w:rsidRDefault="00FA3A75" w:rsidP="00691F31">
      <w:pPr>
        <w:rPr>
          <w:lang w:val="en-US"/>
        </w:rPr>
      </w:pPr>
      <w:r w:rsidRPr="0057469F">
        <w:rPr>
          <w:lang w:val="en-US"/>
        </w:rPr>
        <w:t>In emerging markets and developing economies, according to the IMF forecasts in July 2025, the GDP growth rate is expected to slow from 4.3% in 2024 to 4.1% in 2025 and further to 4.0% in 2026. Specifically, for China, the growth rate is projected to decline from 5.0% in 2024 to 4.8% in 2025 and further to 4.2% in 2026. Forecasts have been revised upwards compared to April, reflecting stronger-than-expected activity in the first half of 2025 and a significant reduction in US-China tariffs. For India, the growth rate is expected to decrease slightly from 6.5% in 2024 to 6.4% in both 2025 and 2026, however, the country is estimated to remain the fastest-growing major economy worldwide. Forecasts have been slightly revised upwards compared to April, reflecting a more favorable external environment.</w:t>
      </w:r>
    </w:p>
    <w:p w14:paraId="2CC430F5" w14:textId="77777777" w:rsidR="00FA3A75" w:rsidRPr="0057469F" w:rsidRDefault="00FA3A75" w:rsidP="00691F31">
      <w:pPr>
        <w:rPr>
          <w:lang w:val="en-US"/>
        </w:rPr>
      </w:pPr>
      <w:r w:rsidRPr="0057469F">
        <w:rPr>
          <w:lang w:val="en-US"/>
        </w:rPr>
        <w:t>According to the IMF forecasts in July 2025, the growth rate of global trade in goods and services, in volume terms, is projected to decelerate from 3.5% in 2024 to 2.6% in 2025 and further to 1.9% in 2026. The volume of global trade increased in early 2025 driven by frontloading in anticipation of tariffs, however this effect is expected to fade. For advanced economies, the trade growth rate is projected to decline from 2.0% in 2024 to 1.8% in 2025 and further to 1.2% in 2026 and for emerging markets and developing economies, a slowdown is also expected from 5.8% in 2024 to 3.8% in 2025 and to 3.2% in 2026.</w:t>
      </w:r>
    </w:p>
    <w:p w14:paraId="7D96E198" w14:textId="77777777" w:rsidR="00FA3A75" w:rsidRPr="0057469F" w:rsidRDefault="00FA3A75" w:rsidP="00691F31">
      <w:pPr>
        <w:rPr>
          <w:lang w:val="en-US"/>
        </w:rPr>
      </w:pPr>
      <w:r w:rsidRPr="0057469F">
        <w:rPr>
          <w:lang w:val="en-US"/>
        </w:rPr>
        <w:t>According to the ECB forecasts in September 2025, the growth rate of global trade (excluding the Euro area) is expected to decline from 4</w:t>
      </w:r>
      <w:r w:rsidR="00B51701">
        <w:rPr>
          <w:lang w:val="en-US"/>
        </w:rPr>
        <w:t>.</w:t>
      </w:r>
      <w:r w:rsidRPr="0057469F">
        <w:rPr>
          <w:lang w:val="en-US"/>
        </w:rPr>
        <w:t>2% in 2024 to 2</w:t>
      </w:r>
      <w:r w:rsidR="00B51701">
        <w:rPr>
          <w:lang w:val="en-US"/>
        </w:rPr>
        <w:t>.</w:t>
      </w:r>
      <w:r w:rsidRPr="0057469F">
        <w:rPr>
          <w:lang w:val="en-US"/>
        </w:rPr>
        <w:t>8% in 2025 and further to 1.5% in 2026. The growth rate of foreign demand in the Euro area is projected to decrease from 3.6% in 2024 to 2.8% in 2025 and to 1.4% in 2026.</w:t>
      </w:r>
    </w:p>
    <w:p w14:paraId="20598612" w14:textId="77777777" w:rsidR="00FA3A75" w:rsidRPr="0057469F" w:rsidRDefault="00FA3A75" w:rsidP="00691F31">
      <w:pPr>
        <w:rPr>
          <w:lang w:val="en-US"/>
        </w:rPr>
      </w:pPr>
      <w:r w:rsidRPr="0057469F">
        <w:rPr>
          <w:lang w:val="en-US"/>
        </w:rPr>
        <w:t xml:space="preserve">Global inflation, according to the IMF forecasts in July, is expected to ease to 4.2% in 2025 and decline further to 3.6% in 2026, down from 5.6% in 2024, though with notable divergences among countries. In advanced economies, inflation is expected to decrease from 2.6% in 2024 </w:t>
      </w:r>
      <w:r w:rsidRPr="0057469F">
        <w:rPr>
          <w:lang w:val="en-US"/>
        </w:rPr>
        <w:lastRenderedPageBreak/>
        <w:t>to 2.5% in 2025 and to 2.1% in 2026, while in emerging markets and developing economies, it is expected to remain relatively higher compared to advanced economies and is projected to slow from 7.7% in 2024 to 5.4% in 2025 and further decrease to 4.5% in 2026.</w:t>
      </w:r>
    </w:p>
    <w:p w14:paraId="25793223" w14:textId="77777777" w:rsidR="00FA3A75" w:rsidRPr="0057469F" w:rsidRDefault="00FA3A75" w:rsidP="00691F31">
      <w:pPr>
        <w:rPr>
          <w:lang w:val="en-US"/>
        </w:rPr>
      </w:pPr>
      <w:r w:rsidRPr="0057469F">
        <w:rPr>
          <w:lang w:val="en-US"/>
        </w:rPr>
        <w:t>According to the Spring Economic Forecast of the European Commission, the average price of crude oil is on a downward trajectory and is expected to decline from $80.5 per barrel in 2024 to $67.7 per barrel in 2025 and to $64.0 per barrel in 2026. The oil price forecasts have been revised downward compared to those of autumn, reflecting expectations of weakening global demand.</w:t>
      </w:r>
    </w:p>
    <w:p w14:paraId="35853B23" w14:textId="299ACA03" w:rsidR="00FA3A75" w:rsidRPr="0057469F" w:rsidRDefault="00FA3A75" w:rsidP="00691F31">
      <w:pPr>
        <w:rPr>
          <w:rFonts w:eastAsia="Times New Roman"/>
          <w:lang w:val="en-US"/>
        </w:rPr>
      </w:pPr>
      <w:r w:rsidRPr="0057469F">
        <w:rPr>
          <w:rFonts w:eastAsia="Times New Roman"/>
          <w:lang w:val="en-US"/>
        </w:rPr>
        <w:t>The global economy following the disruptions caused by the pandemic and the energy crisis, is now confronted with a range of new challenges that increase the level of uncertainty regarding international economic prospects. The lack of stability and predictability characterizing the global tariff framework since early 2025 is expected to weigh on international trade and business investments, with direct repercussions for the global economy. Moreover, the escalation of geopolitical tensions could trigger new shocks to the global economy by adversely affecting maritime routes, supply chains, and consequently, the prices of key commodities and overall growth. Additionally, the increasing frequency and intensity of extreme climate events represent an additional, entrenched risk with unpredictable and severe implications for economic activity. On the other hand, the easing of trade tensions through a predictable framework of trade agreements, as well as a possible de-escalation of geopolitical tensions, would constitute favorable factors for the global economy, reducing uncertainty and fostering investment and growth.</w:t>
      </w:r>
    </w:p>
    <w:p w14:paraId="533A800F" w14:textId="77777777" w:rsidR="00FA3A75" w:rsidRDefault="00FA3A75" w:rsidP="00691F31">
      <w:pPr>
        <w:rPr>
          <w:rFonts w:eastAsia="Times New Roman"/>
          <w:lang w:val="en-US"/>
        </w:rPr>
      </w:pPr>
      <w:bookmarkStart w:id="28" w:name="_Hlk208320521"/>
      <w:r w:rsidRPr="00AF0104">
        <w:rPr>
          <w:rFonts w:eastAsia="Times New Roman"/>
          <w:lang w:val="en-US"/>
        </w:rPr>
        <w:t xml:space="preserve">The Greek economy is projected to maintain robust </w:t>
      </w:r>
      <w:r>
        <w:rPr>
          <w:rFonts w:eastAsia="Times New Roman"/>
          <w:lang w:val="en-US"/>
        </w:rPr>
        <w:t>ou</w:t>
      </w:r>
      <w:r w:rsidR="00B51701">
        <w:rPr>
          <w:rFonts w:eastAsia="Times New Roman"/>
          <w:lang w:val="en-US"/>
        </w:rPr>
        <w:t>t</w:t>
      </w:r>
      <w:r>
        <w:rPr>
          <w:rFonts w:eastAsia="Times New Roman"/>
          <w:lang w:val="en-US"/>
        </w:rPr>
        <w:t xml:space="preserve">put </w:t>
      </w:r>
      <w:r w:rsidRPr="00AF0104">
        <w:rPr>
          <w:rFonts w:eastAsia="Times New Roman"/>
          <w:lang w:val="en-US"/>
        </w:rPr>
        <w:t>growth momentum in 2026, despite ongoing external sources of instability and challenges, continuing to demonstrate the resilience it has shown in previous external crises. Real GDP is forecast to expand by 2.4% in 2026 on an annual basis, marking the sixth consecutive year of growth above 2% and indicating an acceleration compared to 2025 (2.2%).</w:t>
      </w:r>
    </w:p>
    <w:p w14:paraId="064FB132" w14:textId="77777777" w:rsidR="00FA3A75" w:rsidRDefault="00FA3A75" w:rsidP="00691F31">
      <w:pPr>
        <w:rPr>
          <w:rFonts w:eastAsia="Times New Roman"/>
          <w:lang w:val="en-US"/>
        </w:rPr>
      </w:pPr>
      <w:r w:rsidRPr="001545FF">
        <w:rPr>
          <w:rFonts w:eastAsia="Times New Roman"/>
          <w:lang w:val="en-US"/>
        </w:rPr>
        <w:t xml:space="preserve">The acceleration of real GDP growth in 2026 is </w:t>
      </w:r>
      <w:r w:rsidRPr="00DC6360">
        <w:rPr>
          <w:rFonts w:eastAsia="Times New Roman"/>
          <w:lang w:val="en-US"/>
        </w:rPr>
        <w:t xml:space="preserve">anchored </w:t>
      </w:r>
      <w:r>
        <w:rPr>
          <w:rFonts w:eastAsia="Times New Roman"/>
          <w:lang w:val="en-US"/>
        </w:rPr>
        <w:t>on</w:t>
      </w:r>
      <w:r w:rsidRPr="001545FF">
        <w:rPr>
          <w:rFonts w:eastAsia="Times New Roman"/>
          <w:lang w:val="en-US"/>
        </w:rPr>
        <w:t xml:space="preserve"> the following key pillars of resilience:</w:t>
      </w:r>
    </w:p>
    <w:p w14:paraId="3A4D744D" w14:textId="4326C12A" w:rsidR="00FA3A75" w:rsidRPr="00AA5847" w:rsidRDefault="00302AC5" w:rsidP="00691F31">
      <w:pPr>
        <w:pStyle w:val="a4"/>
        <w:numPr>
          <w:ilvl w:val="0"/>
          <w:numId w:val="40"/>
        </w:numPr>
        <w:rPr>
          <w:rFonts w:eastAsia="Times New Roman"/>
          <w:lang w:val="en-US"/>
        </w:rPr>
      </w:pPr>
      <w:r>
        <w:rPr>
          <w:rFonts w:eastAsia="Times New Roman"/>
          <w:lang w:val="en-US"/>
        </w:rPr>
        <w:t>T</w:t>
      </w:r>
      <w:r w:rsidR="00FA3A75" w:rsidRPr="00AA5847">
        <w:rPr>
          <w:rFonts w:eastAsia="Times New Roman"/>
          <w:lang w:val="en-US"/>
        </w:rPr>
        <w:t>he new government initiatives aimed at reducing the tax burden and supporting incomes and investment,</w:t>
      </w:r>
    </w:p>
    <w:p w14:paraId="48737D19" w14:textId="3244A3FE" w:rsidR="00FA3A75" w:rsidRPr="00AA5847" w:rsidRDefault="00B07CC0" w:rsidP="00691F31">
      <w:pPr>
        <w:pStyle w:val="a4"/>
        <w:numPr>
          <w:ilvl w:val="0"/>
          <w:numId w:val="40"/>
        </w:numPr>
        <w:rPr>
          <w:rFonts w:eastAsia="Times New Roman"/>
          <w:lang w:val="en-US"/>
        </w:rPr>
      </w:pPr>
      <w:r>
        <w:rPr>
          <w:rFonts w:eastAsia="Times New Roman"/>
          <w:lang w:val="en-US"/>
        </w:rPr>
        <w:t>t</w:t>
      </w:r>
      <w:r w:rsidR="00302AC5" w:rsidRPr="00AA5847">
        <w:rPr>
          <w:rFonts w:eastAsia="Times New Roman"/>
          <w:lang w:val="en-US"/>
        </w:rPr>
        <w:t xml:space="preserve">he </w:t>
      </w:r>
      <w:r w:rsidR="00FA3A75" w:rsidRPr="00AA5847">
        <w:rPr>
          <w:rFonts w:eastAsia="Times New Roman"/>
          <w:lang w:val="en-US"/>
        </w:rPr>
        <w:t>continued expansion of the labour market,</w:t>
      </w:r>
    </w:p>
    <w:p w14:paraId="1192FABB" w14:textId="0E540505" w:rsidR="00FA3A75" w:rsidRPr="00AA5847" w:rsidRDefault="00B07CC0" w:rsidP="00691F31">
      <w:pPr>
        <w:pStyle w:val="a4"/>
        <w:numPr>
          <w:ilvl w:val="0"/>
          <w:numId w:val="40"/>
        </w:numPr>
        <w:rPr>
          <w:rFonts w:eastAsia="Times New Roman"/>
          <w:lang w:val="en-US"/>
        </w:rPr>
      </w:pPr>
      <w:r>
        <w:rPr>
          <w:rFonts w:eastAsia="Times New Roman"/>
          <w:lang w:val="en-US"/>
        </w:rPr>
        <w:t>t</w:t>
      </w:r>
      <w:r w:rsidR="00302AC5" w:rsidRPr="00AA5847">
        <w:rPr>
          <w:rFonts w:eastAsia="Times New Roman"/>
          <w:lang w:val="en-US"/>
        </w:rPr>
        <w:t xml:space="preserve">he </w:t>
      </w:r>
      <w:r w:rsidR="00FA3A75" w:rsidRPr="00AA5847">
        <w:rPr>
          <w:rFonts w:eastAsia="Times New Roman"/>
          <w:lang w:val="en-US"/>
        </w:rPr>
        <w:t>effective utilisation of EU funds under the Recovery and Resilience Facility (RRF) / Next Generation EU (NGEU) and</w:t>
      </w:r>
    </w:p>
    <w:p w14:paraId="4EA998D2" w14:textId="485137B4" w:rsidR="00FA3A75" w:rsidRPr="00AA5847" w:rsidRDefault="00B07CC0" w:rsidP="00691F31">
      <w:pPr>
        <w:pStyle w:val="a4"/>
        <w:numPr>
          <w:ilvl w:val="0"/>
          <w:numId w:val="40"/>
        </w:numPr>
        <w:rPr>
          <w:rFonts w:eastAsia="Times New Roman"/>
          <w:lang w:val="en-US"/>
        </w:rPr>
      </w:pPr>
      <w:r>
        <w:rPr>
          <w:rFonts w:eastAsia="Times New Roman"/>
          <w:lang w:val="en-US"/>
        </w:rPr>
        <w:t>t</w:t>
      </w:r>
      <w:r w:rsidR="00302AC5" w:rsidRPr="00AA5847">
        <w:rPr>
          <w:rFonts w:eastAsia="Times New Roman"/>
          <w:lang w:val="en-US"/>
        </w:rPr>
        <w:t xml:space="preserve">he </w:t>
      </w:r>
      <w:r w:rsidR="00FA3A75" w:rsidRPr="00AA5847">
        <w:rPr>
          <w:rFonts w:eastAsia="Times New Roman"/>
          <w:lang w:val="en-US"/>
        </w:rPr>
        <w:t>gradual upgrading of the productive base through structural reforms.</w:t>
      </w:r>
    </w:p>
    <w:bookmarkEnd w:id="28"/>
    <w:p w14:paraId="5B5895AA" w14:textId="77777777" w:rsidR="00FA3A75" w:rsidRDefault="00FA3A75" w:rsidP="00691F31">
      <w:pPr>
        <w:rPr>
          <w:rFonts w:eastAsia="Times New Roman"/>
          <w:lang w:val="en-US"/>
        </w:rPr>
      </w:pPr>
      <w:r w:rsidRPr="002A2987">
        <w:rPr>
          <w:rFonts w:eastAsia="Times New Roman"/>
          <w:lang w:val="en-US"/>
        </w:rPr>
        <w:t>Owing to robust private investment and increased RRF funding</w:t>
      </w:r>
      <w:r w:rsidRPr="00D6704E">
        <w:rPr>
          <w:rFonts w:eastAsia="Times New Roman"/>
          <w:lang w:val="en-US"/>
        </w:rPr>
        <w:t>, as the “Greece 2.0” Recovery and Resilience Plan approaches its implementation horizon, the growth rate of gross fixed capital formation is projected to reach 10.2% in 2026, compared to 5.7% in 2025.</w:t>
      </w:r>
      <w:r>
        <w:rPr>
          <w:rFonts w:eastAsia="Times New Roman"/>
          <w:lang w:val="en-US"/>
        </w:rPr>
        <w:t xml:space="preserve"> </w:t>
      </w:r>
      <w:r w:rsidRPr="00D6704E">
        <w:rPr>
          <w:rFonts w:eastAsia="Times New Roman"/>
          <w:lang w:val="en-US"/>
        </w:rPr>
        <w:t xml:space="preserve">The double-digit increase in total investment reflects positive developments across all investment categories. Notably, around 50% of the increase is expected to stem from construction investment (annual growth of 13.8%), while the remaining 50% is attributed to equipment </w:t>
      </w:r>
      <w:r w:rsidRPr="00D6704E">
        <w:rPr>
          <w:rFonts w:eastAsia="Times New Roman"/>
          <w:lang w:val="en-US"/>
        </w:rPr>
        <w:lastRenderedPageBreak/>
        <w:t>investment (annual growth of 10.1%) and investment in agricultural and other products (annual growth of 2.7%).</w:t>
      </w:r>
    </w:p>
    <w:p w14:paraId="707291BE" w14:textId="7F94F7E1" w:rsidR="00FA3A75" w:rsidRDefault="00FA3A75" w:rsidP="00691F31">
      <w:pPr>
        <w:rPr>
          <w:rFonts w:eastAsia="Times New Roman"/>
          <w:lang w:val="en-US"/>
        </w:rPr>
      </w:pPr>
      <w:r w:rsidRPr="00B21CA0">
        <w:rPr>
          <w:rFonts w:eastAsia="Times New Roman"/>
          <w:lang w:val="en-US"/>
        </w:rPr>
        <w:t>Consequently, investment is projected to be the main driver of real growth in 2026, contributing 1.7 pp</w:t>
      </w:r>
      <w:r w:rsidR="005D5ECF">
        <w:rPr>
          <w:rFonts w:eastAsia="Times New Roman"/>
          <w:lang w:val="en-US"/>
        </w:rPr>
        <w:t xml:space="preserve"> </w:t>
      </w:r>
      <w:r w:rsidRPr="00B21CA0">
        <w:rPr>
          <w:rFonts w:eastAsia="Times New Roman"/>
          <w:lang w:val="en-US"/>
        </w:rPr>
        <w:t xml:space="preserve">to annual real GDP growth. </w:t>
      </w:r>
      <w:r w:rsidRPr="002A2987">
        <w:rPr>
          <w:rFonts w:eastAsia="Times New Roman"/>
          <w:lang w:val="en-US"/>
        </w:rPr>
        <w:t>Greece’s negative investment gap vis-à-vis the euro area, which has been steadily narrowing since 2019, is expected to shrink to its lowest level since the onset of the economic adjustment programme by the end of 2026.</w:t>
      </w:r>
      <w:r>
        <w:rPr>
          <w:rFonts w:eastAsia="Times New Roman"/>
          <w:lang w:val="en-US"/>
        </w:rPr>
        <w:t xml:space="preserve"> </w:t>
      </w:r>
      <w:r w:rsidRPr="002A2987">
        <w:rPr>
          <w:rFonts w:eastAsia="Times New Roman"/>
          <w:lang w:val="en-US"/>
        </w:rPr>
        <w:t>These developments reflect a rise in real investment to 18.0% of GDP in 2026, while in nominal terms investment is projected to reach 16.8% of GDP in 2026, up from 15.7% in 2025 —the highest share since 2010.</w:t>
      </w:r>
    </w:p>
    <w:p w14:paraId="35AEDED8" w14:textId="610745CE" w:rsidR="00FA3A75" w:rsidRPr="00110A6A" w:rsidRDefault="00AA5847" w:rsidP="00110A6A">
      <w:pPr>
        <w:pStyle w:val="Figure"/>
      </w:pPr>
      <w:bookmarkStart w:id="29" w:name="_Toc211355201"/>
      <w:r w:rsidRPr="00110A6A">
        <w:t xml:space="preserve">Figure </w:t>
      </w:r>
      <w:r w:rsidR="00540C3A" w:rsidRPr="00110A6A">
        <w:fldChar w:fldCharType="begin"/>
      </w:r>
      <w:r w:rsidRPr="00110A6A">
        <w:instrText xml:space="preserve"> SEQ Figure \* ARABIC </w:instrText>
      </w:r>
      <w:r w:rsidR="00540C3A" w:rsidRPr="00110A6A">
        <w:fldChar w:fldCharType="separate"/>
      </w:r>
      <w:r w:rsidR="00AF0E6B">
        <w:rPr>
          <w:noProof/>
        </w:rPr>
        <w:t>8</w:t>
      </w:r>
      <w:r w:rsidR="00540C3A" w:rsidRPr="00110A6A">
        <w:fldChar w:fldCharType="end"/>
      </w:r>
      <w:r w:rsidRPr="00110A6A">
        <w:t xml:space="preserve"> | </w:t>
      </w:r>
      <w:r w:rsidR="00FA3A75" w:rsidRPr="00110A6A">
        <w:t>Greece’s investment gap vis-à-vis the euro area</w:t>
      </w:r>
      <w:bookmarkEnd w:id="29"/>
    </w:p>
    <w:p w14:paraId="10A7D253" w14:textId="77777777" w:rsidR="00FA3A75" w:rsidRPr="007D5804" w:rsidRDefault="00FA3A75" w:rsidP="00AA5847">
      <w:pPr>
        <w:pStyle w:val="figureright-handed"/>
      </w:pPr>
      <w:r w:rsidRPr="007D5804">
        <w:t>(constant prices, non-seasonally adjusted data)</w:t>
      </w:r>
    </w:p>
    <w:p w14:paraId="113C6311" w14:textId="4B3234AF" w:rsidR="00FA3A75" w:rsidRPr="0025392F" w:rsidRDefault="009713A6" w:rsidP="00FA3A75">
      <w:pPr>
        <w:spacing w:after="120" w:line="300" w:lineRule="auto"/>
        <w:jc w:val="center"/>
        <w:rPr>
          <w:rFonts w:ascii="Arial" w:eastAsia="Times New Roman" w:hAnsi="Arial" w:cs="Times New Roman"/>
          <w:sz w:val="20"/>
          <w:szCs w:val="24"/>
        </w:rPr>
      </w:pPr>
      <w:r>
        <w:rPr>
          <w:rFonts w:ascii="Arial" w:eastAsia="Times New Roman" w:hAnsi="Arial" w:cs="Times New Roman"/>
          <w:noProof/>
          <w:sz w:val="20"/>
          <w:szCs w:val="24"/>
        </w:rPr>
        <w:drawing>
          <wp:inline distT="0" distB="0" distL="0" distR="0" wp14:anchorId="1E3F5A5A" wp14:editId="2D39AF8A">
            <wp:extent cx="4498205" cy="3681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41753" cy="3716990"/>
                    </a:xfrm>
                    <a:prstGeom prst="rect">
                      <a:avLst/>
                    </a:prstGeom>
                    <a:noFill/>
                  </pic:spPr>
                </pic:pic>
              </a:graphicData>
            </a:graphic>
          </wp:inline>
        </w:drawing>
      </w:r>
    </w:p>
    <w:p w14:paraId="54B13D65" w14:textId="77777777" w:rsidR="00FA3A75" w:rsidRPr="00385F38" w:rsidRDefault="00FA3A75" w:rsidP="009713A6">
      <w:pPr>
        <w:pBdr>
          <w:top w:val="single" w:sz="18" w:space="1" w:color="4F81BD" w:themeColor="accent1"/>
        </w:pBdr>
        <w:spacing w:after="240" w:line="240" w:lineRule="auto"/>
        <w:jc w:val="left"/>
        <w:rPr>
          <w:sz w:val="20"/>
          <w:lang w:val="en-US"/>
        </w:rPr>
      </w:pPr>
      <w:r w:rsidRPr="00385F38">
        <w:rPr>
          <w:sz w:val="20"/>
          <w:lang w:val="en-US"/>
        </w:rPr>
        <w:t>Source: Annual National Accounts (ELSTAT/Eurostat), European Commission 2025 Spring Economic Forecast, Hellenic Ministry of Economy and Finance projections.</w:t>
      </w:r>
    </w:p>
    <w:p w14:paraId="2E8D2AB4" w14:textId="70910BE6" w:rsidR="00FA3A75" w:rsidRDefault="00FA3A75" w:rsidP="00E12B4A">
      <w:pPr>
        <w:spacing w:after="120"/>
        <w:rPr>
          <w:rFonts w:eastAsia="Times New Roman"/>
          <w:lang w:val="en-US"/>
        </w:rPr>
      </w:pPr>
      <w:r w:rsidRPr="004B2077">
        <w:rPr>
          <w:rFonts w:eastAsia="Times New Roman"/>
          <w:lang w:val="en-US"/>
        </w:rPr>
        <w:t xml:space="preserve">The new government measures announced at the 2025 Thessaloniki International Fair (TIF) constitute permanent support measures to be implemented from 2026, with an estimated fiscal impact of </w:t>
      </w:r>
      <w:r w:rsidR="00154902">
        <w:rPr>
          <w:rFonts w:eastAsia="Times New Roman"/>
          <w:lang w:val="en-US"/>
        </w:rPr>
        <w:t>€</w:t>
      </w:r>
      <w:r w:rsidRPr="004B2077">
        <w:rPr>
          <w:rFonts w:eastAsia="Times New Roman"/>
          <w:lang w:val="en-US"/>
        </w:rPr>
        <w:t>1.76 billion in the first year.</w:t>
      </w:r>
      <w:r>
        <w:rPr>
          <w:rFonts w:eastAsia="Times New Roman"/>
          <w:lang w:val="en-US"/>
        </w:rPr>
        <w:t xml:space="preserve"> </w:t>
      </w:r>
      <w:r w:rsidRPr="006716BD">
        <w:rPr>
          <w:rFonts w:eastAsia="Times New Roman"/>
          <w:lang w:val="en-US"/>
        </w:rPr>
        <w:t xml:space="preserve">They are primarily aimed at </w:t>
      </w:r>
      <w:r w:rsidRPr="004B2077">
        <w:rPr>
          <w:rFonts w:eastAsia="Times New Roman"/>
          <w:lang w:val="en-US"/>
        </w:rPr>
        <w:t>boosting incomes and reducing the tax burden for the majority of the population</w:t>
      </w:r>
      <w:r w:rsidRPr="006716BD">
        <w:rPr>
          <w:rFonts w:eastAsia="Times New Roman"/>
          <w:lang w:val="en-US"/>
        </w:rPr>
        <w:t xml:space="preserve">. At their core lies the </w:t>
      </w:r>
      <w:r w:rsidRPr="004B2077">
        <w:rPr>
          <w:rFonts w:eastAsia="Times New Roman"/>
          <w:lang w:val="en-US"/>
        </w:rPr>
        <w:t>significant reform of the personal income tax scale</w:t>
      </w:r>
      <w:r w:rsidRPr="006716BD">
        <w:rPr>
          <w:rFonts w:eastAsia="Times New Roman"/>
          <w:lang w:val="en-US"/>
        </w:rPr>
        <w:t xml:space="preserve"> for employees, pensioners, farmers and the self-employed. Specific provisions for additional tax relief are envisaged for families with children and for young people up to 30 years of age.</w:t>
      </w:r>
      <w:r>
        <w:rPr>
          <w:rFonts w:eastAsia="Times New Roman"/>
          <w:lang w:val="en-US"/>
        </w:rPr>
        <w:t xml:space="preserve"> </w:t>
      </w:r>
      <w:r w:rsidRPr="006716BD">
        <w:rPr>
          <w:rFonts w:eastAsia="Times New Roman"/>
          <w:lang w:val="en-US"/>
        </w:rPr>
        <w:t xml:space="preserve">This </w:t>
      </w:r>
      <w:r w:rsidRPr="004B2077">
        <w:rPr>
          <w:rFonts w:eastAsia="Times New Roman"/>
          <w:lang w:val="en-US"/>
        </w:rPr>
        <w:t>structural reform of the personal income tax scale</w:t>
      </w:r>
      <w:r w:rsidRPr="006716BD">
        <w:rPr>
          <w:rFonts w:eastAsia="Times New Roman"/>
          <w:lang w:val="en-US"/>
        </w:rPr>
        <w:t xml:space="preserve"> is projected to ease household budgets by </w:t>
      </w:r>
      <w:r w:rsidR="005D5ECF">
        <w:rPr>
          <w:rFonts w:eastAsia="Times New Roman"/>
          <w:lang w:val="en-US"/>
        </w:rPr>
        <w:t>€</w:t>
      </w:r>
      <w:r w:rsidRPr="004B2077">
        <w:rPr>
          <w:rFonts w:eastAsia="Times New Roman"/>
          <w:lang w:val="en-US"/>
        </w:rPr>
        <w:t>1.2 billion in 2026</w:t>
      </w:r>
      <w:r w:rsidRPr="006716BD">
        <w:rPr>
          <w:rFonts w:eastAsia="Times New Roman"/>
          <w:lang w:val="en-US"/>
        </w:rPr>
        <w:t xml:space="preserve">, followed by a further </w:t>
      </w:r>
      <w:r w:rsidR="005D5ECF">
        <w:rPr>
          <w:rFonts w:eastAsia="Times New Roman"/>
          <w:lang w:val="en-US"/>
        </w:rPr>
        <w:t>€</w:t>
      </w:r>
      <w:r w:rsidRPr="006716BD">
        <w:rPr>
          <w:rFonts w:eastAsia="Times New Roman"/>
          <w:lang w:val="en-US"/>
        </w:rPr>
        <w:t>400 million in 2027, aiming to provide substantial support to middle-income households, families with children and young people.</w:t>
      </w:r>
    </w:p>
    <w:p w14:paraId="78ABFB27" w14:textId="77777777" w:rsidR="00FA3A75" w:rsidRDefault="00FA3A75" w:rsidP="00E12B4A">
      <w:pPr>
        <w:spacing w:after="120"/>
        <w:rPr>
          <w:rFonts w:eastAsia="Times New Roman"/>
          <w:lang w:val="en-US"/>
        </w:rPr>
      </w:pPr>
      <w:r w:rsidRPr="004D3A8F">
        <w:rPr>
          <w:rFonts w:eastAsia="Times New Roman"/>
          <w:lang w:val="en-US"/>
        </w:rPr>
        <w:lastRenderedPageBreak/>
        <w:t xml:space="preserve">Further income support is expected in 2026 from additional new measures, </w:t>
      </w:r>
      <w:r>
        <w:rPr>
          <w:rFonts w:eastAsia="Times New Roman"/>
          <w:lang w:val="en-US"/>
        </w:rPr>
        <w:t>such as</w:t>
      </w:r>
      <w:r w:rsidRPr="004D3A8F">
        <w:rPr>
          <w:rFonts w:eastAsia="Times New Roman"/>
          <w:lang w:val="en-US"/>
        </w:rPr>
        <w:t xml:space="preserve"> the gradual elimination of the pensioners’ personal difference offset, the reduction of rental income tax for property owners, </w:t>
      </w:r>
      <w:r>
        <w:rPr>
          <w:rFonts w:eastAsia="Times New Roman"/>
          <w:lang w:val="en-US"/>
        </w:rPr>
        <w:t>the</w:t>
      </w:r>
      <w:r w:rsidRPr="004D3A8F">
        <w:rPr>
          <w:rFonts w:eastAsia="Times New Roman"/>
          <w:lang w:val="en-US"/>
        </w:rPr>
        <w:t xml:space="preserve"> 30% </w:t>
      </w:r>
      <w:r>
        <w:rPr>
          <w:rFonts w:eastAsia="Times New Roman"/>
          <w:lang w:val="en-US"/>
        </w:rPr>
        <w:t xml:space="preserve">average </w:t>
      </w:r>
      <w:r w:rsidRPr="004D3A8F">
        <w:rPr>
          <w:rFonts w:eastAsia="Times New Roman"/>
          <w:lang w:val="en-US"/>
        </w:rPr>
        <w:t xml:space="preserve">reduction in imputed living expenses, </w:t>
      </w:r>
      <w:r>
        <w:rPr>
          <w:rFonts w:eastAsia="Times New Roman"/>
          <w:lang w:val="en-US"/>
        </w:rPr>
        <w:t xml:space="preserve">the </w:t>
      </w:r>
      <w:r w:rsidRPr="004D3A8F">
        <w:rPr>
          <w:rFonts w:eastAsia="Times New Roman"/>
          <w:lang w:val="en-US"/>
        </w:rPr>
        <w:t xml:space="preserve">adjustments to special wage </w:t>
      </w:r>
      <w:r>
        <w:rPr>
          <w:rFonts w:eastAsia="Times New Roman"/>
          <w:lang w:val="en-US"/>
        </w:rPr>
        <w:t>grids</w:t>
      </w:r>
      <w:r w:rsidRPr="004D3A8F">
        <w:rPr>
          <w:rFonts w:eastAsia="Times New Roman"/>
          <w:lang w:val="en-US"/>
        </w:rPr>
        <w:t xml:space="preserve"> for the armed</w:t>
      </w:r>
      <w:r>
        <w:rPr>
          <w:rFonts w:eastAsia="Times New Roman"/>
          <w:lang w:val="en-US"/>
        </w:rPr>
        <w:t xml:space="preserve"> and security forces</w:t>
      </w:r>
      <w:r w:rsidRPr="004D3A8F">
        <w:rPr>
          <w:rFonts w:eastAsia="Times New Roman"/>
          <w:lang w:val="en-US"/>
        </w:rPr>
        <w:t xml:space="preserve">, </w:t>
      </w:r>
      <w:r>
        <w:rPr>
          <w:rFonts w:eastAsia="Times New Roman"/>
          <w:lang w:val="en-US"/>
        </w:rPr>
        <w:t>the</w:t>
      </w:r>
      <w:r w:rsidRPr="004D3A8F">
        <w:rPr>
          <w:rFonts w:eastAsia="Times New Roman"/>
          <w:lang w:val="en-US"/>
        </w:rPr>
        <w:t xml:space="preserve"> 30% </w:t>
      </w:r>
      <w:r>
        <w:rPr>
          <w:rFonts w:eastAsia="Times New Roman"/>
          <w:lang w:val="en-US"/>
        </w:rPr>
        <w:t>cut</w:t>
      </w:r>
      <w:r w:rsidRPr="004D3A8F">
        <w:rPr>
          <w:rFonts w:eastAsia="Times New Roman"/>
          <w:lang w:val="en-US"/>
        </w:rPr>
        <w:t xml:space="preserve"> in VAT for remote islands with populations up to 20,000, </w:t>
      </w:r>
      <w:r>
        <w:rPr>
          <w:rFonts w:eastAsia="Times New Roman"/>
          <w:lang w:val="en-US"/>
        </w:rPr>
        <w:t>the</w:t>
      </w:r>
      <w:r w:rsidRPr="004D3A8F">
        <w:rPr>
          <w:rFonts w:eastAsia="Times New Roman"/>
          <w:lang w:val="en-US"/>
        </w:rPr>
        <w:t xml:space="preserve"> </w:t>
      </w:r>
      <w:r>
        <w:rPr>
          <w:rFonts w:eastAsia="Times New Roman"/>
          <w:lang w:val="en-US"/>
        </w:rPr>
        <w:t>three</w:t>
      </w:r>
      <w:r w:rsidRPr="004D3A8F">
        <w:rPr>
          <w:rFonts w:eastAsia="Times New Roman"/>
          <w:lang w:val="en-US"/>
        </w:rPr>
        <w:t xml:space="preserve">-year suspension </w:t>
      </w:r>
      <w:r w:rsidRPr="006E0FBD">
        <w:rPr>
          <w:rFonts w:eastAsia="Times New Roman"/>
          <w:lang w:val="en-US"/>
        </w:rPr>
        <w:t>of the minimum income threshold for new mothers</w:t>
      </w:r>
      <w:r w:rsidRPr="004D3A8F">
        <w:rPr>
          <w:rFonts w:eastAsia="Times New Roman"/>
          <w:lang w:val="en-US"/>
        </w:rPr>
        <w:t xml:space="preserve"> and </w:t>
      </w:r>
      <w:r>
        <w:rPr>
          <w:rFonts w:eastAsia="Times New Roman"/>
          <w:lang w:val="en-US"/>
        </w:rPr>
        <w:t xml:space="preserve">the </w:t>
      </w:r>
      <w:r w:rsidRPr="004D3A8F">
        <w:rPr>
          <w:rFonts w:eastAsia="Times New Roman"/>
          <w:lang w:val="en-US"/>
        </w:rPr>
        <w:t xml:space="preserve">relief measures for </w:t>
      </w:r>
      <w:r>
        <w:rPr>
          <w:rFonts w:eastAsia="Times New Roman"/>
          <w:lang w:val="en-US"/>
        </w:rPr>
        <w:t>communities</w:t>
      </w:r>
      <w:r w:rsidRPr="004D3A8F">
        <w:rPr>
          <w:rFonts w:eastAsia="Times New Roman"/>
          <w:lang w:val="en-US"/>
        </w:rPr>
        <w:t xml:space="preserve"> with population up to 1,500</w:t>
      </w:r>
      <w:r w:rsidRPr="005A135A">
        <w:rPr>
          <w:rFonts w:eastAsia="Times New Roman"/>
          <w:lang w:val="en-US"/>
        </w:rPr>
        <w:t xml:space="preserve"> </w:t>
      </w:r>
      <w:r>
        <w:rPr>
          <w:rFonts w:eastAsia="Times New Roman"/>
          <w:lang w:val="en-US"/>
        </w:rPr>
        <w:t>persons</w:t>
      </w:r>
      <w:r w:rsidRPr="004D3A8F">
        <w:rPr>
          <w:rFonts w:eastAsia="Times New Roman"/>
          <w:lang w:val="en-US"/>
        </w:rPr>
        <w:t xml:space="preserve">, such as the gradual abolition of the </w:t>
      </w:r>
      <w:r w:rsidRPr="006716BD">
        <w:rPr>
          <w:rFonts w:eastAsia="Times New Roman"/>
          <w:lang w:val="en-US"/>
        </w:rPr>
        <w:t xml:space="preserve">Unified Property Tax </w:t>
      </w:r>
      <w:r w:rsidRPr="004D3A8F">
        <w:rPr>
          <w:rFonts w:eastAsia="Times New Roman"/>
          <w:lang w:val="en-US"/>
        </w:rPr>
        <w:t xml:space="preserve">(ENFIA) on primary residences and </w:t>
      </w:r>
      <w:r>
        <w:rPr>
          <w:rFonts w:eastAsia="Times New Roman"/>
          <w:lang w:val="en-US"/>
        </w:rPr>
        <w:t>the</w:t>
      </w:r>
      <w:r w:rsidRPr="004D3A8F">
        <w:rPr>
          <w:rFonts w:eastAsia="Times New Roman"/>
          <w:lang w:val="en-US"/>
        </w:rPr>
        <w:t xml:space="preserve"> 50% reduction in the minimum income threshold for </w:t>
      </w:r>
      <w:r>
        <w:rPr>
          <w:rFonts w:eastAsia="Times New Roman"/>
          <w:lang w:val="en-US"/>
        </w:rPr>
        <w:t xml:space="preserve">the </w:t>
      </w:r>
      <w:r w:rsidRPr="004D3A8F">
        <w:rPr>
          <w:rFonts w:eastAsia="Times New Roman"/>
          <w:lang w:val="en-US"/>
        </w:rPr>
        <w:t>self-employed.</w:t>
      </w:r>
    </w:p>
    <w:p w14:paraId="36EAD566" w14:textId="6E828E57" w:rsidR="006C4785" w:rsidRDefault="00FA3A75" w:rsidP="00E12B4A">
      <w:pPr>
        <w:spacing w:after="120"/>
        <w:rPr>
          <w:rFonts w:eastAsia="Times New Roman"/>
          <w:lang w:val="en-US"/>
        </w:rPr>
      </w:pPr>
      <w:r w:rsidRPr="006E0FBD">
        <w:rPr>
          <w:lang w:val="en-US"/>
        </w:rPr>
        <w:t>The implementation of these permanent income-support measures, carried out within fiscal targets, covers the vast majority of the population and aims to enhance household purchasing power and support domestic demand, leaving a lasting impact on disposable income.</w:t>
      </w:r>
      <w:r w:rsidRPr="006E0FBD">
        <w:rPr>
          <w:lang w:val="en-US"/>
        </w:rPr>
        <w:br/>
        <w:t>Moreover, the reduction in tax rates implies that future wage increases will translate into larger gains in workers’ net income. For 2026, the positive effect of the full set of new government measures on real GDP growth is projected at 0.6 pp</w:t>
      </w:r>
      <w:r w:rsidR="005D5ECF">
        <w:rPr>
          <w:lang w:val="en-US"/>
        </w:rPr>
        <w:t xml:space="preserve"> </w:t>
      </w:r>
      <w:r w:rsidRPr="006E0FBD">
        <w:rPr>
          <w:lang w:val="en-US"/>
        </w:rPr>
        <w:t>of GDP.</w:t>
      </w:r>
      <w:r>
        <w:rPr>
          <w:lang w:val="en-US"/>
        </w:rPr>
        <w:t xml:space="preserve"> </w:t>
      </w:r>
      <w:r w:rsidRPr="006E0FBD">
        <w:rPr>
          <w:lang w:val="en-US"/>
        </w:rPr>
        <w:t xml:space="preserve">As a result, the Greek economy is expected to record for the sixth consecutive year a higher real GDP growth rate, according to </w:t>
      </w:r>
      <w:r w:rsidRPr="00BB7F93">
        <w:rPr>
          <w:rFonts w:eastAsia="Times New Roman"/>
          <w:lang w:val="en-US"/>
        </w:rPr>
        <w:t>projections of the Hellenic Ministry of Economy and Finance (2.4% in total and 2.6% per capita), compared</w:t>
      </w:r>
      <w:r w:rsidRPr="006E0FBD">
        <w:rPr>
          <w:lang w:val="en-US"/>
        </w:rPr>
        <w:t xml:space="preserve"> with the </w:t>
      </w:r>
      <w:r>
        <w:rPr>
          <w:lang w:val="en-US"/>
        </w:rPr>
        <w:t>e</w:t>
      </w:r>
      <w:r w:rsidRPr="006E0FBD">
        <w:rPr>
          <w:lang w:val="en-US"/>
        </w:rPr>
        <w:t>uro area and EU averages as reflected in the European Commission Spring Economic Forecast (1.4% for the euro area and 1.5% for the EU in total, and 1.1% and 1.3% per capita, respectively).</w:t>
      </w:r>
      <w:r>
        <w:rPr>
          <w:lang w:val="en-US"/>
        </w:rPr>
        <w:t xml:space="preserve"> T</w:t>
      </w:r>
      <w:r w:rsidRPr="004D3A8F">
        <w:rPr>
          <w:rFonts w:eastAsia="Times New Roman"/>
          <w:lang w:val="en-US"/>
        </w:rPr>
        <w:t xml:space="preserve">his way, the medium-term convergence prospects with the </w:t>
      </w:r>
      <w:r>
        <w:rPr>
          <w:rFonts w:eastAsia="Times New Roman"/>
          <w:lang w:val="en-US"/>
        </w:rPr>
        <w:t>e</w:t>
      </w:r>
      <w:r w:rsidRPr="004D3A8F">
        <w:rPr>
          <w:rFonts w:eastAsia="Times New Roman"/>
          <w:lang w:val="en-US"/>
        </w:rPr>
        <w:t>uro area are strengthened, gradually improving Greece’s position within the European context.</w:t>
      </w:r>
    </w:p>
    <w:p w14:paraId="6A097701" w14:textId="5A1E99BB" w:rsidR="00FA3A75" w:rsidRPr="00D1082F" w:rsidRDefault="00AA5847" w:rsidP="009713A6">
      <w:pPr>
        <w:pStyle w:val="ae"/>
        <w:spacing w:before="120"/>
      </w:pPr>
      <w:bookmarkStart w:id="30" w:name="_Toc211355202"/>
      <w:r>
        <w:t xml:space="preserve">Figure </w:t>
      </w:r>
      <w:r w:rsidR="00540C3A">
        <w:fldChar w:fldCharType="begin"/>
      </w:r>
      <w:r>
        <w:instrText xml:space="preserve"> SEQ Figure \* ARABIC </w:instrText>
      </w:r>
      <w:r w:rsidR="00540C3A">
        <w:fldChar w:fldCharType="separate"/>
      </w:r>
      <w:r w:rsidR="00AF0E6B">
        <w:rPr>
          <w:noProof/>
        </w:rPr>
        <w:t>9</w:t>
      </w:r>
      <w:r w:rsidR="00540C3A">
        <w:fldChar w:fldCharType="end"/>
      </w:r>
      <w:r>
        <w:t xml:space="preserve"> | </w:t>
      </w:r>
      <w:r w:rsidR="00FA3A75" w:rsidRPr="00D1082F">
        <w:t xml:space="preserve"> </w:t>
      </w:r>
      <w:r w:rsidR="00FA3A75" w:rsidRPr="007040FE">
        <w:t>Rate of change in GDP per capita</w:t>
      </w:r>
      <w:bookmarkEnd w:id="30"/>
    </w:p>
    <w:p w14:paraId="0827501C" w14:textId="77777777" w:rsidR="00FA3A75" w:rsidRPr="00A22A79" w:rsidRDefault="00FA3A75" w:rsidP="00AA5847">
      <w:pPr>
        <w:pStyle w:val="figureright-handed"/>
      </w:pPr>
      <w:r w:rsidRPr="00A22A79">
        <w:t xml:space="preserve">(constant prices, year on year </w:t>
      </w:r>
      <w:r>
        <w:t xml:space="preserve">change </w:t>
      </w:r>
      <w:r w:rsidRPr="00A22A79">
        <w:t>%)</w:t>
      </w:r>
    </w:p>
    <w:p w14:paraId="6739077A" w14:textId="01DDF9E7" w:rsidR="00FA3A75" w:rsidRPr="0025392F" w:rsidRDefault="009F30FC" w:rsidP="00FA3A75">
      <w:pPr>
        <w:spacing w:after="120" w:line="300" w:lineRule="auto"/>
        <w:jc w:val="center"/>
        <w:rPr>
          <w:rFonts w:ascii="Arial" w:eastAsia="Times New Roman" w:hAnsi="Arial" w:cs="Times New Roman"/>
          <w:sz w:val="20"/>
          <w:szCs w:val="24"/>
          <w:highlight w:val="yellow"/>
        </w:rPr>
      </w:pPr>
      <w:r w:rsidRPr="009F30FC">
        <w:rPr>
          <w:rFonts w:ascii="Arial" w:eastAsia="Times New Roman" w:hAnsi="Arial" w:cs="Times New Roman"/>
          <w:noProof/>
          <w:sz w:val="20"/>
          <w:szCs w:val="24"/>
        </w:rPr>
        <w:drawing>
          <wp:inline distT="0" distB="0" distL="0" distR="0" wp14:anchorId="3BC8B563" wp14:editId="74ED3C15">
            <wp:extent cx="5619481" cy="2933700"/>
            <wp:effectExtent l="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36528" cy="2942600"/>
                    </a:xfrm>
                    <a:prstGeom prst="rect">
                      <a:avLst/>
                    </a:prstGeom>
                  </pic:spPr>
                </pic:pic>
              </a:graphicData>
            </a:graphic>
          </wp:inline>
        </w:drawing>
      </w:r>
    </w:p>
    <w:p w14:paraId="11E0D433" w14:textId="77777777" w:rsidR="00AA5847" w:rsidRPr="006C4785" w:rsidRDefault="00AA5847" w:rsidP="006C4785">
      <w:pPr>
        <w:pBdr>
          <w:top w:val="single" w:sz="18" w:space="1" w:color="4F81BD" w:themeColor="accent1"/>
        </w:pBdr>
        <w:spacing w:after="0" w:line="240" w:lineRule="auto"/>
        <w:jc w:val="left"/>
        <w:rPr>
          <w:sz w:val="20"/>
          <w:lang w:val="en-US"/>
        </w:rPr>
      </w:pPr>
      <w:r w:rsidRPr="006C4785">
        <w:rPr>
          <w:sz w:val="20"/>
          <w:lang w:val="en-US"/>
        </w:rPr>
        <w:t>* Forecast years</w:t>
      </w:r>
    </w:p>
    <w:p w14:paraId="79396C2F" w14:textId="77777777" w:rsidR="00FA3A75" w:rsidRPr="00DD61B7" w:rsidRDefault="00FA3A75">
      <w:pPr>
        <w:pBdr>
          <w:top w:val="single" w:sz="18" w:space="1" w:color="4F81BD" w:themeColor="accent1"/>
        </w:pBdr>
        <w:spacing w:after="600" w:line="240" w:lineRule="auto"/>
        <w:jc w:val="left"/>
        <w:rPr>
          <w:sz w:val="19"/>
          <w:szCs w:val="19"/>
          <w:lang w:val="en-US"/>
        </w:rPr>
      </w:pPr>
      <w:r w:rsidRPr="00DD61B7">
        <w:rPr>
          <w:sz w:val="19"/>
          <w:szCs w:val="19"/>
          <w:lang w:val="en-US"/>
        </w:rPr>
        <w:t>Source: Annual National Accounts (ELSTAT/Eurostat), Hellenic Ministry of Economy and Finance projections, European Commission 2025 Spring Economic Forecast.</w:t>
      </w:r>
    </w:p>
    <w:p w14:paraId="2AF8481A" w14:textId="77777777" w:rsidR="00FA3A75" w:rsidRDefault="00FA3A75" w:rsidP="00385F38">
      <w:pPr>
        <w:spacing w:after="240"/>
        <w:rPr>
          <w:lang w:val="en-US"/>
        </w:rPr>
      </w:pPr>
      <w:r w:rsidRPr="00602010">
        <w:rPr>
          <w:lang w:val="en-US"/>
        </w:rPr>
        <w:lastRenderedPageBreak/>
        <w:t>Against the backdrop of strengthened incomes, real consumption</w:t>
      </w:r>
      <w:r w:rsidRPr="00BB7F93">
        <w:rPr>
          <w:lang w:val="en-US"/>
        </w:rPr>
        <w:t xml:space="preserve"> expenditure</w:t>
      </w:r>
      <w:r w:rsidRPr="00602010">
        <w:rPr>
          <w:lang w:val="en-US"/>
        </w:rPr>
        <w:t xml:space="preserve"> is projected to increase by 1.5% in 2026 on an annual basis, with private co</w:t>
      </w:r>
      <w:r w:rsidRPr="00BB7F93">
        <w:rPr>
          <w:lang w:val="en-US"/>
        </w:rPr>
        <w:t>ns</w:t>
      </w:r>
      <w:r w:rsidRPr="00602010">
        <w:rPr>
          <w:lang w:val="en-US"/>
        </w:rPr>
        <w:t xml:space="preserve">umption expected to rise by 1.7% and public consumption by 0.7%. </w:t>
      </w:r>
      <w:r w:rsidRPr="00B9625A">
        <w:rPr>
          <w:lang w:val="en-US"/>
        </w:rPr>
        <w:t xml:space="preserve">This expansion is underpinned by </w:t>
      </w:r>
      <w:r>
        <w:rPr>
          <w:lang w:val="en-US"/>
        </w:rPr>
        <w:t xml:space="preserve">the </w:t>
      </w:r>
      <w:r w:rsidRPr="00BB7F93">
        <w:rPr>
          <w:lang w:val="en-US"/>
        </w:rPr>
        <w:t xml:space="preserve">income-support measures for the private and public sectors, </w:t>
      </w:r>
      <w:r>
        <w:rPr>
          <w:lang w:val="en-US"/>
        </w:rPr>
        <w:t xml:space="preserve">the </w:t>
      </w:r>
      <w:r w:rsidRPr="00BB7F93">
        <w:rPr>
          <w:lang w:val="en-US"/>
        </w:rPr>
        <w:t xml:space="preserve">positive developments in the labour market, </w:t>
      </w:r>
      <w:r>
        <w:rPr>
          <w:lang w:val="en-US"/>
        </w:rPr>
        <w:t>the</w:t>
      </w:r>
      <w:r w:rsidRPr="00BB7F93">
        <w:rPr>
          <w:lang w:val="en-US"/>
        </w:rPr>
        <w:t xml:space="preserve"> slowdown in inflation and </w:t>
      </w:r>
      <w:r>
        <w:rPr>
          <w:lang w:val="en-US"/>
        </w:rPr>
        <w:t>the</w:t>
      </w:r>
      <w:r w:rsidRPr="00BB7F93">
        <w:rPr>
          <w:lang w:val="en-US"/>
        </w:rPr>
        <w:t xml:space="preserve"> improvement in consumer confidence.</w:t>
      </w:r>
    </w:p>
    <w:p w14:paraId="11F2DF32" w14:textId="77777777" w:rsidR="00FA3A75" w:rsidRDefault="00FA3A75" w:rsidP="00385F38">
      <w:pPr>
        <w:spacing w:after="240"/>
        <w:rPr>
          <w:lang w:val="en-US"/>
        </w:rPr>
      </w:pPr>
      <w:r w:rsidRPr="00BB7F93">
        <w:rPr>
          <w:lang w:val="en-US"/>
        </w:rPr>
        <w:t xml:space="preserve">Employment is expected to continue its upward trajectory in 2026, rising by 0.4% on a national accounts basis, reflecting a comparatively larger increase in the number of employees </w:t>
      </w:r>
      <w:r>
        <w:rPr>
          <w:lang w:val="en-US"/>
        </w:rPr>
        <w:t>by</w:t>
      </w:r>
      <w:r w:rsidRPr="00BB7F93">
        <w:rPr>
          <w:lang w:val="en-US"/>
        </w:rPr>
        <w:t xml:space="preserve"> 0.6%. In national accounts terms, the number of employees in 2026 is projected at around 3.9 million, which is 659,000 higher than the 2008 level, prior to the Greek sovereign debt crisis.</w:t>
      </w:r>
      <w:r>
        <w:rPr>
          <w:lang w:val="en-US"/>
        </w:rPr>
        <w:t xml:space="preserve"> </w:t>
      </w:r>
      <w:r w:rsidRPr="00BB7F93">
        <w:rPr>
          <w:lang w:val="en-US"/>
        </w:rPr>
        <w:t xml:space="preserve">Similarly, the total number of employed persons is expected to reach 5.2 million, exceeding the 2008 level by 297,000, entirely attributable to the </w:t>
      </w:r>
      <w:r w:rsidRPr="00602010">
        <w:rPr>
          <w:lang w:val="en-US"/>
        </w:rPr>
        <w:t xml:space="preserve">progressive </w:t>
      </w:r>
      <w:r w:rsidRPr="00BB7F93">
        <w:rPr>
          <w:lang w:val="en-US"/>
        </w:rPr>
        <w:t>improvement observed since 2022.</w:t>
      </w:r>
    </w:p>
    <w:p w14:paraId="2D693B29" w14:textId="6809F411" w:rsidR="00FA3A75" w:rsidRDefault="00FA3A75" w:rsidP="00385F38">
      <w:pPr>
        <w:spacing w:after="240"/>
        <w:rPr>
          <w:rFonts w:eastAsia="Times New Roman" w:cs="Times New Roman"/>
          <w:szCs w:val="24"/>
          <w:lang w:val="en-US"/>
        </w:rPr>
      </w:pPr>
      <w:r w:rsidRPr="002F0AD2">
        <w:rPr>
          <w:rFonts w:eastAsia="Times New Roman" w:cs="Times New Roman"/>
          <w:szCs w:val="24"/>
          <w:lang w:val="en-US"/>
        </w:rPr>
        <w:t>The unemployment rate, having already fallen into single digits in 2025, is projected to decline further in 2026 by half a pp</w:t>
      </w:r>
      <w:r w:rsidR="005D5ECF">
        <w:rPr>
          <w:rFonts w:eastAsia="Times New Roman" w:cs="Times New Roman"/>
          <w:szCs w:val="24"/>
          <w:lang w:val="en-US"/>
        </w:rPr>
        <w:t xml:space="preserve"> </w:t>
      </w:r>
      <w:r w:rsidRPr="002F0AD2">
        <w:rPr>
          <w:rFonts w:eastAsia="Times New Roman" w:cs="Times New Roman"/>
          <w:szCs w:val="24"/>
          <w:lang w:val="en-US"/>
        </w:rPr>
        <w:t>of the labour force, reaching 8.6% according to the Labour Force Survey — the lowest unemployment rate in Greece since 2008.</w:t>
      </w:r>
    </w:p>
    <w:p w14:paraId="390F5E00" w14:textId="77777777" w:rsidR="00FA3A75" w:rsidRDefault="00FA3A75" w:rsidP="00385F38">
      <w:pPr>
        <w:spacing w:after="240"/>
        <w:rPr>
          <w:rFonts w:eastAsia="Times New Roman" w:cs="Times New Roman"/>
          <w:szCs w:val="24"/>
          <w:lang w:val="en-US"/>
        </w:rPr>
      </w:pPr>
      <w:r>
        <w:rPr>
          <w:rFonts w:eastAsia="Times New Roman" w:cs="Times New Roman"/>
          <w:szCs w:val="24"/>
          <w:lang w:val="en-US"/>
        </w:rPr>
        <w:t>Given</w:t>
      </w:r>
      <w:r w:rsidRPr="00D03DB5">
        <w:rPr>
          <w:rFonts w:eastAsia="Times New Roman" w:cs="Times New Roman"/>
          <w:szCs w:val="24"/>
          <w:lang w:val="en-US"/>
        </w:rPr>
        <w:t xml:space="preserve"> the new adjustment of the minimum wage as of 1 April 2026 and </w:t>
      </w:r>
      <w:r>
        <w:rPr>
          <w:rFonts w:eastAsia="Times New Roman" w:cs="Times New Roman"/>
          <w:szCs w:val="24"/>
          <w:lang w:val="en-US"/>
        </w:rPr>
        <w:t>amid</w:t>
      </w:r>
      <w:r w:rsidRPr="00D03DB5">
        <w:rPr>
          <w:rFonts w:eastAsia="Times New Roman" w:cs="Times New Roman"/>
          <w:szCs w:val="24"/>
          <w:lang w:val="en-US"/>
        </w:rPr>
        <w:t xml:space="preserve"> higher employment, the nominal average wage is expected to rise by 3.7% in 2026, the same rate as in 2025. This development brings per capita employee compensation for 2026 to 21.6% above the 2019 level. It should be noted that per capita employee compensation is expressed in gross terms. Accounting for the successive reductions in income taxes and social security contributions, net per capita employee compensation is estimated to have increased by more than 30% in 2026 compared with 2019.</w:t>
      </w:r>
    </w:p>
    <w:p w14:paraId="1D95F221" w14:textId="77777777" w:rsidR="00FA3A75" w:rsidRDefault="00FA3A75" w:rsidP="00385F38">
      <w:pPr>
        <w:spacing w:after="240"/>
        <w:rPr>
          <w:rFonts w:eastAsia="Times New Roman" w:cs="Times New Roman"/>
          <w:bCs/>
          <w:szCs w:val="24"/>
          <w:lang w:val="en-US"/>
        </w:rPr>
      </w:pPr>
      <w:r w:rsidRPr="00D03DB5">
        <w:rPr>
          <w:rFonts w:eastAsia="Times New Roman" w:cs="Times New Roman"/>
          <w:bCs/>
          <w:szCs w:val="24"/>
          <w:lang w:val="en-US"/>
        </w:rPr>
        <w:t>The real average wage is expected to rise for the third consecutive year in 2026, with its growth rate accelerating to 1.5% from 0.5% in 2025.</w:t>
      </w:r>
      <w:r w:rsidRPr="00D03DB5">
        <w:rPr>
          <w:rFonts w:eastAsia="Times New Roman" w:cs="Times New Roman"/>
          <w:szCs w:val="24"/>
          <w:lang w:val="en-US"/>
        </w:rPr>
        <w:t xml:space="preserve"> Labour productivity is also projected to enter a phase of acceleration, with its annual growth rate reaching 1.9% in 2026, up from 1.5% in 2025, </w:t>
      </w:r>
      <w:r w:rsidRPr="00D03DB5">
        <w:rPr>
          <w:rFonts w:eastAsia="Times New Roman" w:cs="Times New Roman"/>
          <w:bCs/>
          <w:szCs w:val="24"/>
          <w:lang w:val="en-US"/>
        </w:rPr>
        <w:t xml:space="preserve">supporting </w:t>
      </w:r>
      <w:r w:rsidRPr="00602010">
        <w:rPr>
          <w:rFonts w:eastAsia="Times New Roman" w:cs="Times New Roman"/>
          <w:szCs w:val="24"/>
          <w:lang w:val="en-US"/>
        </w:rPr>
        <w:t>the preservation of the Greek economy’s international competitiveness</w:t>
      </w:r>
      <w:r w:rsidRPr="00D03DB5">
        <w:rPr>
          <w:rFonts w:eastAsia="Times New Roman" w:cs="Times New Roman"/>
          <w:bCs/>
          <w:szCs w:val="24"/>
          <w:lang w:val="en-US"/>
        </w:rPr>
        <w:t>.</w:t>
      </w:r>
    </w:p>
    <w:p w14:paraId="1C76A472" w14:textId="52BD3393" w:rsidR="00FA3A75" w:rsidRDefault="00FA3A75" w:rsidP="00385F38">
      <w:pPr>
        <w:spacing w:after="240"/>
        <w:rPr>
          <w:rFonts w:eastAsia="Times New Roman" w:cs="Times New Roman"/>
          <w:bCs/>
          <w:szCs w:val="24"/>
          <w:lang w:val="en-US"/>
        </w:rPr>
      </w:pPr>
      <w:r w:rsidRPr="00D03DB5">
        <w:rPr>
          <w:rFonts w:eastAsia="Times New Roman" w:cs="Times New Roman"/>
          <w:bCs/>
          <w:szCs w:val="24"/>
          <w:lang w:val="en-US"/>
        </w:rPr>
        <w:t>The gains in the real average wage are underpinned by the expected easing of inflationary pressures in 2026.</w:t>
      </w:r>
      <w:r w:rsidRPr="00D03DB5">
        <w:rPr>
          <w:rFonts w:eastAsia="Times New Roman" w:cs="Times New Roman"/>
          <w:szCs w:val="24"/>
          <w:lang w:val="en-US"/>
        </w:rPr>
        <w:t xml:space="preserve"> The </w:t>
      </w:r>
      <w:r w:rsidRPr="00D03DB5">
        <w:rPr>
          <w:rFonts w:eastAsia="Times New Roman" w:cs="Times New Roman"/>
          <w:bCs/>
          <w:szCs w:val="24"/>
          <w:lang w:val="en-US"/>
        </w:rPr>
        <w:t>Harmonised Index of Consumer Prices (HICP) is projected to increase by 2.2% in 2026</w:t>
      </w:r>
      <w:r w:rsidRPr="00D03DB5">
        <w:rPr>
          <w:rFonts w:eastAsia="Times New Roman" w:cs="Times New Roman"/>
          <w:szCs w:val="24"/>
          <w:lang w:val="en-US"/>
        </w:rPr>
        <w:t xml:space="preserve">, approaching the ECB’s medium-term target. This development </w:t>
      </w:r>
      <w:r w:rsidRPr="00D03DB5">
        <w:rPr>
          <w:rFonts w:eastAsia="Times New Roman" w:cs="Times New Roman"/>
          <w:bCs/>
          <w:szCs w:val="24"/>
          <w:lang w:val="en-US"/>
        </w:rPr>
        <w:t xml:space="preserve">signals </w:t>
      </w:r>
      <w:r>
        <w:rPr>
          <w:rFonts w:eastAsia="Times New Roman" w:cs="Times New Roman"/>
          <w:bCs/>
          <w:szCs w:val="24"/>
          <w:lang w:val="en-US"/>
        </w:rPr>
        <w:t>the</w:t>
      </w:r>
      <w:r w:rsidRPr="00D03DB5">
        <w:rPr>
          <w:rFonts w:eastAsia="Times New Roman" w:cs="Times New Roman"/>
          <w:bCs/>
          <w:szCs w:val="24"/>
          <w:lang w:val="en-US"/>
        </w:rPr>
        <w:t xml:space="preserve"> normali</w:t>
      </w:r>
      <w:r>
        <w:rPr>
          <w:rFonts w:eastAsia="Times New Roman" w:cs="Times New Roman"/>
          <w:bCs/>
          <w:szCs w:val="24"/>
          <w:lang w:val="en-US"/>
        </w:rPr>
        <w:t>s</w:t>
      </w:r>
      <w:r w:rsidRPr="00D03DB5">
        <w:rPr>
          <w:rFonts w:eastAsia="Times New Roman" w:cs="Times New Roman"/>
          <w:bCs/>
          <w:szCs w:val="24"/>
          <w:lang w:val="en-US"/>
        </w:rPr>
        <w:t>ation of underlying pressures</w:t>
      </w:r>
      <w:r w:rsidRPr="00D03DB5">
        <w:rPr>
          <w:rFonts w:eastAsia="Times New Roman" w:cs="Times New Roman"/>
          <w:szCs w:val="24"/>
          <w:lang w:val="en-US"/>
        </w:rPr>
        <w:t xml:space="preserve"> in both the food sector and the core inflation, </w:t>
      </w:r>
      <w:r>
        <w:rPr>
          <w:rFonts w:eastAsia="Times New Roman" w:cs="Times New Roman"/>
          <w:bCs/>
          <w:szCs w:val="24"/>
          <w:lang w:val="en-US"/>
        </w:rPr>
        <w:t>and</w:t>
      </w:r>
      <w:r w:rsidRPr="00D03DB5">
        <w:rPr>
          <w:rFonts w:eastAsia="Times New Roman" w:cs="Times New Roman"/>
          <w:bCs/>
          <w:szCs w:val="24"/>
          <w:lang w:val="en-US"/>
        </w:rPr>
        <w:t xml:space="preserve"> the energy component</w:t>
      </w:r>
      <w:r>
        <w:rPr>
          <w:rFonts w:eastAsia="Times New Roman" w:cs="Times New Roman"/>
          <w:bCs/>
          <w:szCs w:val="24"/>
          <w:lang w:val="en-US"/>
        </w:rPr>
        <w:t xml:space="preserve">’s </w:t>
      </w:r>
      <w:r w:rsidRPr="00D03DB5">
        <w:rPr>
          <w:rFonts w:eastAsia="Times New Roman" w:cs="Times New Roman"/>
          <w:bCs/>
          <w:szCs w:val="24"/>
          <w:lang w:val="en-US"/>
        </w:rPr>
        <w:t>negative impact of around 0.2 pp</w:t>
      </w:r>
      <w:r w:rsidR="005D5ECF">
        <w:rPr>
          <w:rFonts w:eastAsia="Times New Roman" w:cs="Times New Roman"/>
          <w:bCs/>
          <w:szCs w:val="24"/>
          <w:lang w:val="en-US"/>
        </w:rPr>
        <w:t xml:space="preserve"> </w:t>
      </w:r>
      <w:r w:rsidRPr="00D03DB5">
        <w:rPr>
          <w:rFonts w:eastAsia="Times New Roman" w:cs="Times New Roman"/>
          <w:bCs/>
          <w:szCs w:val="24"/>
          <w:lang w:val="en-US"/>
        </w:rPr>
        <w:t>on the annual growth rate of the HICP.</w:t>
      </w:r>
    </w:p>
    <w:p w14:paraId="0E8F75B2" w14:textId="77777777" w:rsidR="00FA3A75" w:rsidRDefault="00FA3A75" w:rsidP="00385F38">
      <w:pPr>
        <w:spacing w:after="240"/>
        <w:rPr>
          <w:lang w:val="en-US"/>
        </w:rPr>
      </w:pPr>
      <w:r w:rsidRPr="00D03DB5">
        <w:rPr>
          <w:lang w:val="en-US"/>
        </w:rPr>
        <w:t xml:space="preserve">In the external sector, international trade conditions are expected to </w:t>
      </w:r>
      <w:r>
        <w:rPr>
          <w:lang w:val="en-US"/>
        </w:rPr>
        <w:t>ease</w:t>
      </w:r>
      <w:r w:rsidRPr="00D03DB5">
        <w:rPr>
          <w:lang w:val="en-US"/>
        </w:rPr>
        <w:t xml:space="preserve"> in 2026 following the tariff agreement reached between the United States and the EU in July 2025. As a result, uncertainty in the international environment is projected to </w:t>
      </w:r>
      <w:r>
        <w:rPr>
          <w:lang w:val="en-US"/>
        </w:rPr>
        <w:t>be</w:t>
      </w:r>
      <w:r w:rsidRPr="00D03DB5">
        <w:rPr>
          <w:lang w:val="en-US"/>
        </w:rPr>
        <w:t xml:space="preserve"> high but moderated compared with the first half of 2025. This, combined with Greece’s relatively limited trade links with the United States, is expected to keep the impact of </w:t>
      </w:r>
      <w:r>
        <w:rPr>
          <w:lang w:val="en-US"/>
        </w:rPr>
        <w:t>higher</w:t>
      </w:r>
      <w:r w:rsidRPr="00D03DB5">
        <w:rPr>
          <w:lang w:val="en-US"/>
        </w:rPr>
        <w:t xml:space="preserve"> tariffs on the Greek economy contained in 2026.</w:t>
      </w:r>
    </w:p>
    <w:p w14:paraId="737B94AD" w14:textId="73156A64" w:rsidR="00302AC5" w:rsidRDefault="00FA3A75" w:rsidP="00385F38">
      <w:pPr>
        <w:spacing w:after="240"/>
        <w:rPr>
          <w:bCs/>
          <w:lang w:val="en-US"/>
        </w:rPr>
      </w:pPr>
      <w:r w:rsidRPr="006000A3">
        <w:rPr>
          <w:bCs/>
          <w:lang w:val="en-US"/>
        </w:rPr>
        <w:t>In this context, the external services balance is expected to follow a positive trajectory in 2026, contributing 0.6 pp</w:t>
      </w:r>
      <w:r w:rsidR="005D5ECF">
        <w:rPr>
          <w:bCs/>
          <w:lang w:val="en-US"/>
        </w:rPr>
        <w:t xml:space="preserve"> </w:t>
      </w:r>
      <w:r w:rsidRPr="006000A3">
        <w:rPr>
          <w:bCs/>
          <w:lang w:val="en-US"/>
        </w:rPr>
        <w:t>to real GDP growth</w:t>
      </w:r>
      <w:r w:rsidRPr="006000A3">
        <w:rPr>
          <w:lang w:val="en-US"/>
        </w:rPr>
        <w:t xml:space="preserve"> due to </w:t>
      </w:r>
      <w:r w:rsidRPr="006000A3">
        <w:rPr>
          <w:bCs/>
          <w:lang w:val="en-US"/>
        </w:rPr>
        <w:t xml:space="preserve">faster growth in real exports of services (5.0%) </w:t>
      </w:r>
      <w:r w:rsidRPr="006000A3">
        <w:rPr>
          <w:bCs/>
          <w:lang w:val="en-US"/>
        </w:rPr>
        <w:lastRenderedPageBreak/>
        <w:t>compared with real imports of services (2.7%)</w:t>
      </w:r>
      <w:r w:rsidRPr="006000A3">
        <w:rPr>
          <w:lang w:val="en-US"/>
        </w:rPr>
        <w:t xml:space="preserve">. The </w:t>
      </w:r>
      <w:r w:rsidRPr="006000A3">
        <w:rPr>
          <w:bCs/>
          <w:lang w:val="en-US"/>
        </w:rPr>
        <w:t>dynamic increase in nominal tourism revenues, projected at 6.5% on an annual basis, is expected to support this trend.</w:t>
      </w:r>
      <w:r>
        <w:rPr>
          <w:bCs/>
          <w:lang w:val="en-US"/>
        </w:rPr>
        <w:t xml:space="preserve"> </w:t>
      </w:r>
      <w:r w:rsidRPr="006000A3">
        <w:rPr>
          <w:bCs/>
          <w:lang w:val="en-US"/>
        </w:rPr>
        <w:t xml:space="preserve">Exports of goods </w:t>
      </w:r>
      <w:r>
        <w:rPr>
          <w:bCs/>
          <w:lang w:val="en-US"/>
        </w:rPr>
        <w:t>at</w:t>
      </w:r>
      <w:r w:rsidRPr="006000A3">
        <w:rPr>
          <w:bCs/>
          <w:lang w:val="en-US"/>
        </w:rPr>
        <w:t xml:space="preserve"> constant prices are projected to rise by 3.9%,</w:t>
      </w:r>
      <w:r w:rsidRPr="006000A3">
        <w:rPr>
          <w:lang w:val="en-US"/>
        </w:rPr>
        <w:t xml:space="preserve"> while </w:t>
      </w:r>
      <w:r w:rsidRPr="006000A3">
        <w:rPr>
          <w:bCs/>
          <w:lang w:val="en-US"/>
        </w:rPr>
        <w:t>total exports of goods and services are expected to increase by 4.5%.</w:t>
      </w:r>
      <w:r w:rsidRPr="006000A3">
        <w:rPr>
          <w:lang w:val="en-US"/>
        </w:rPr>
        <w:t xml:space="preserve"> Imports of goods and services are also anticipated to grow at similar levels (</w:t>
      </w:r>
      <w:r w:rsidRPr="006000A3">
        <w:rPr>
          <w:bCs/>
          <w:lang w:val="en-US"/>
        </w:rPr>
        <w:t>4.6%</w:t>
      </w:r>
      <w:r w:rsidRPr="006000A3">
        <w:rPr>
          <w:lang w:val="en-US"/>
        </w:rPr>
        <w:t xml:space="preserve">), </w:t>
      </w:r>
      <w:r w:rsidRPr="006000A3">
        <w:rPr>
          <w:bCs/>
          <w:lang w:val="en-US"/>
        </w:rPr>
        <w:t>supported by an increase in goods imports, projected at 5.3%, driven by robust domestic demand for investment and consumption.</w:t>
      </w:r>
    </w:p>
    <w:p w14:paraId="179F7E29" w14:textId="77777777" w:rsidR="00B504D4" w:rsidRDefault="00B504D4" w:rsidP="00385F38">
      <w:pPr>
        <w:spacing w:after="240"/>
        <w:rPr>
          <w:bCs/>
          <w:lang w:val="en-US"/>
        </w:rPr>
      </w:pPr>
    </w:p>
    <w:p w14:paraId="17DB3788" w14:textId="00801845" w:rsidR="00E12B4A" w:rsidRPr="00E12B4A" w:rsidRDefault="00E12B4A" w:rsidP="00E12B4A">
      <w:pPr>
        <w:pStyle w:val="ae"/>
        <w:rPr>
          <w:bCs/>
        </w:rPr>
      </w:pPr>
      <w:bookmarkStart w:id="31" w:name="_Toc211355096"/>
      <w:r>
        <w:t xml:space="preserve">Table </w:t>
      </w:r>
      <w:r w:rsidR="00540C3A">
        <w:fldChar w:fldCharType="begin"/>
      </w:r>
      <w:r>
        <w:instrText xml:space="preserve"> SEQ Table \* ARABIC </w:instrText>
      </w:r>
      <w:r w:rsidR="00540C3A">
        <w:fldChar w:fldCharType="separate"/>
      </w:r>
      <w:r w:rsidR="00AF0E6B">
        <w:rPr>
          <w:noProof/>
        </w:rPr>
        <w:t>2</w:t>
      </w:r>
      <w:r w:rsidR="00540C3A">
        <w:fldChar w:fldCharType="end"/>
      </w:r>
      <w:r>
        <w:t xml:space="preserve"> | </w:t>
      </w:r>
      <w:r w:rsidRPr="00E12B4A">
        <w:rPr>
          <w:bCs/>
        </w:rPr>
        <w:t>Key indicators of the Greek economy</w:t>
      </w:r>
      <w:bookmarkEnd w:id="31"/>
      <w:r w:rsidRPr="00E12B4A">
        <w:rPr>
          <w:bCs/>
        </w:rPr>
        <w:t xml:space="preserve"> </w:t>
      </w:r>
    </w:p>
    <w:p w14:paraId="4FEE0DDC" w14:textId="77777777" w:rsidR="00E12B4A" w:rsidRPr="00E12B4A" w:rsidRDefault="00E12B4A" w:rsidP="00E12B4A">
      <w:pPr>
        <w:pStyle w:val="Table"/>
        <w:jc w:val="right"/>
        <w:rPr>
          <w:b w:val="0"/>
        </w:rPr>
      </w:pPr>
      <w:r w:rsidRPr="00E12B4A">
        <w:rPr>
          <w:b w:val="0"/>
        </w:rPr>
        <w:t>(% annual changes, constant prices)</w:t>
      </w:r>
    </w:p>
    <w:tbl>
      <w:tblPr>
        <w:tblW w:w="8834" w:type="dxa"/>
        <w:tblLook w:val="04A0" w:firstRow="1" w:lastRow="0" w:firstColumn="1" w:lastColumn="0" w:noHBand="0" w:noVBand="1"/>
      </w:tblPr>
      <w:tblGrid>
        <w:gridCol w:w="5954"/>
        <w:gridCol w:w="960"/>
        <w:gridCol w:w="960"/>
        <w:gridCol w:w="960"/>
      </w:tblGrid>
      <w:tr w:rsidR="00E12B4A" w:rsidRPr="0067680C" w14:paraId="17CD4669" w14:textId="77777777" w:rsidTr="00E12B4A">
        <w:trPr>
          <w:trHeight w:val="300"/>
        </w:trPr>
        <w:tc>
          <w:tcPr>
            <w:tcW w:w="5954" w:type="dxa"/>
            <w:tcBorders>
              <w:top w:val="nil"/>
              <w:left w:val="nil"/>
              <w:bottom w:val="nil"/>
              <w:right w:val="nil"/>
            </w:tcBorders>
            <w:shd w:val="clear" w:color="000000" w:fill="BFBFBF"/>
            <w:vAlign w:val="center"/>
            <w:hideMark/>
          </w:tcPr>
          <w:p w14:paraId="7A968643" w14:textId="77777777" w:rsidR="00E12B4A" w:rsidRPr="0067680C" w:rsidRDefault="00E12B4A" w:rsidP="00E12B4A">
            <w:pPr>
              <w:spacing w:after="0" w:line="240" w:lineRule="auto"/>
              <w:jc w:val="center"/>
              <w:rPr>
                <w:rFonts w:eastAsia="Times New Roman" w:cstheme="minorHAnsi"/>
                <w:b/>
                <w:bCs/>
                <w:color w:val="000000"/>
                <w:sz w:val="22"/>
              </w:rPr>
            </w:pPr>
            <w:r w:rsidRPr="0067680C">
              <w:rPr>
                <w:rFonts w:eastAsia="Times New Roman" w:cstheme="minorHAnsi"/>
                <w:b/>
                <w:bCs/>
                <w:color w:val="000000"/>
                <w:sz w:val="22"/>
              </w:rPr>
              <w:t> </w:t>
            </w:r>
          </w:p>
        </w:tc>
        <w:tc>
          <w:tcPr>
            <w:tcW w:w="960" w:type="dxa"/>
            <w:tcBorders>
              <w:top w:val="nil"/>
              <w:left w:val="nil"/>
              <w:bottom w:val="nil"/>
              <w:right w:val="nil"/>
            </w:tcBorders>
            <w:shd w:val="clear" w:color="000000" w:fill="BFBFBF"/>
            <w:vAlign w:val="center"/>
            <w:hideMark/>
          </w:tcPr>
          <w:p w14:paraId="7BA9B445" w14:textId="77777777" w:rsidR="00E12B4A" w:rsidRPr="0067680C" w:rsidRDefault="00E12B4A" w:rsidP="00E12B4A">
            <w:pPr>
              <w:spacing w:after="0" w:line="240" w:lineRule="auto"/>
              <w:jc w:val="center"/>
              <w:rPr>
                <w:rFonts w:eastAsia="Times New Roman" w:cstheme="minorHAnsi"/>
                <w:b/>
                <w:bCs/>
                <w:color w:val="000000"/>
                <w:sz w:val="22"/>
              </w:rPr>
            </w:pPr>
            <w:r w:rsidRPr="0067680C">
              <w:rPr>
                <w:rFonts w:eastAsia="Times New Roman" w:cstheme="minorHAnsi"/>
                <w:b/>
                <w:bCs/>
                <w:color w:val="000000"/>
                <w:sz w:val="22"/>
              </w:rPr>
              <w:t>2024</w:t>
            </w:r>
          </w:p>
        </w:tc>
        <w:tc>
          <w:tcPr>
            <w:tcW w:w="960" w:type="dxa"/>
            <w:tcBorders>
              <w:top w:val="nil"/>
              <w:left w:val="nil"/>
              <w:bottom w:val="nil"/>
              <w:right w:val="nil"/>
            </w:tcBorders>
            <w:shd w:val="clear" w:color="000000" w:fill="BFBFBF"/>
            <w:vAlign w:val="center"/>
            <w:hideMark/>
          </w:tcPr>
          <w:p w14:paraId="3875A5B1" w14:textId="77777777" w:rsidR="00E12B4A" w:rsidRPr="0067680C" w:rsidRDefault="00E12B4A" w:rsidP="00E12B4A">
            <w:pPr>
              <w:spacing w:after="0" w:line="240" w:lineRule="auto"/>
              <w:jc w:val="center"/>
              <w:rPr>
                <w:rFonts w:eastAsia="Times New Roman" w:cstheme="minorHAnsi"/>
                <w:b/>
                <w:bCs/>
                <w:color w:val="000000"/>
                <w:sz w:val="22"/>
              </w:rPr>
            </w:pPr>
            <w:r w:rsidRPr="0067680C">
              <w:rPr>
                <w:rFonts w:eastAsia="Times New Roman" w:cstheme="minorHAnsi"/>
                <w:b/>
                <w:bCs/>
                <w:color w:val="000000"/>
                <w:sz w:val="22"/>
              </w:rPr>
              <w:t>2025**</w:t>
            </w:r>
          </w:p>
        </w:tc>
        <w:tc>
          <w:tcPr>
            <w:tcW w:w="960" w:type="dxa"/>
            <w:tcBorders>
              <w:top w:val="nil"/>
              <w:left w:val="nil"/>
              <w:bottom w:val="nil"/>
              <w:right w:val="nil"/>
            </w:tcBorders>
            <w:shd w:val="clear" w:color="000000" w:fill="BFBFBF"/>
            <w:vAlign w:val="center"/>
            <w:hideMark/>
          </w:tcPr>
          <w:p w14:paraId="14623D10" w14:textId="77777777" w:rsidR="00E12B4A" w:rsidRPr="0067680C" w:rsidRDefault="00E12B4A" w:rsidP="00E12B4A">
            <w:pPr>
              <w:spacing w:after="0" w:line="240" w:lineRule="auto"/>
              <w:jc w:val="center"/>
              <w:rPr>
                <w:rFonts w:eastAsia="Times New Roman" w:cstheme="minorHAnsi"/>
                <w:b/>
                <w:bCs/>
                <w:color w:val="000000"/>
                <w:sz w:val="22"/>
              </w:rPr>
            </w:pPr>
            <w:r w:rsidRPr="0067680C">
              <w:rPr>
                <w:rFonts w:eastAsia="Times New Roman" w:cstheme="minorHAnsi"/>
                <w:b/>
                <w:bCs/>
                <w:color w:val="000000"/>
                <w:sz w:val="22"/>
              </w:rPr>
              <w:t>2026**</w:t>
            </w:r>
          </w:p>
        </w:tc>
      </w:tr>
      <w:tr w:rsidR="00E12B4A" w:rsidRPr="0067680C" w14:paraId="09550B85" w14:textId="77777777" w:rsidTr="00E12B4A">
        <w:trPr>
          <w:trHeight w:val="300"/>
        </w:trPr>
        <w:tc>
          <w:tcPr>
            <w:tcW w:w="5954" w:type="dxa"/>
            <w:tcBorders>
              <w:top w:val="nil"/>
              <w:left w:val="nil"/>
              <w:bottom w:val="single" w:sz="4" w:space="0" w:color="FFFFFF"/>
              <w:right w:val="nil"/>
            </w:tcBorders>
            <w:shd w:val="clear" w:color="000000" w:fill="F2F2F2"/>
            <w:vAlign w:val="center"/>
            <w:hideMark/>
          </w:tcPr>
          <w:p w14:paraId="3912FB71"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GDP</w:t>
            </w:r>
          </w:p>
        </w:tc>
        <w:tc>
          <w:tcPr>
            <w:tcW w:w="960" w:type="dxa"/>
            <w:tcBorders>
              <w:top w:val="nil"/>
              <w:left w:val="nil"/>
              <w:bottom w:val="single" w:sz="4" w:space="0" w:color="FFFFFF"/>
              <w:right w:val="nil"/>
            </w:tcBorders>
            <w:shd w:val="clear" w:color="000000" w:fill="F2F2F2"/>
            <w:vAlign w:val="center"/>
            <w:hideMark/>
          </w:tcPr>
          <w:p w14:paraId="2844FAF7"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2.3</w:t>
            </w:r>
          </w:p>
        </w:tc>
        <w:tc>
          <w:tcPr>
            <w:tcW w:w="960" w:type="dxa"/>
            <w:tcBorders>
              <w:top w:val="nil"/>
              <w:left w:val="nil"/>
              <w:bottom w:val="single" w:sz="4" w:space="0" w:color="FFFFFF"/>
              <w:right w:val="nil"/>
            </w:tcBorders>
            <w:shd w:val="clear" w:color="000000" w:fill="F2F2F2"/>
            <w:vAlign w:val="center"/>
            <w:hideMark/>
          </w:tcPr>
          <w:p w14:paraId="795C9232"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2.2</w:t>
            </w:r>
          </w:p>
        </w:tc>
        <w:tc>
          <w:tcPr>
            <w:tcW w:w="960" w:type="dxa"/>
            <w:tcBorders>
              <w:top w:val="nil"/>
              <w:left w:val="nil"/>
              <w:bottom w:val="single" w:sz="4" w:space="0" w:color="FFFFFF"/>
              <w:right w:val="nil"/>
            </w:tcBorders>
            <w:shd w:val="clear" w:color="000000" w:fill="F2F2F2"/>
            <w:vAlign w:val="center"/>
            <w:hideMark/>
          </w:tcPr>
          <w:p w14:paraId="6F617867"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2.4</w:t>
            </w:r>
          </w:p>
        </w:tc>
      </w:tr>
      <w:tr w:rsidR="00E12B4A" w:rsidRPr="0067680C" w14:paraId="3B2535B5" w14:textId="77777777" w:rsidTr="00E12B4A">
        <w:trPr>
          <w:trHeight w:val="300"/>
        </w:trPr>
        <w:tc>
          <w:tcPr>
            <w:tcW w:w="5954" w:type="dxa"/>
            <w:tcBorders>
              <w:top w:val="nil"/>
              <w:left w:val="nil"/>
              <w:bottom w:val="single" w:sz="4" w:space="0" w:color="FFFFFF"/>
              <w:right w:val="nil"/>
            </w:tcBorders>
            <w:shd w:val="clear" w:color="000000" w:fill="D9D9D9"/>
            <w:vAlign w:val="center"/>
            <w:hideMark/>
          </w:tcPr>
          <w:p w14:paraId="1EA7A9C9"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Private consumption</w:t>
            </w:r>
          </w:p>
        </w:tc>
        <w:tc>
          <w:tcPr>
            <w:tcW w:w="960" w:type="dxa"/>
            <w:tcBorders>
              <w:top w:val="nil"/>
              <w:left w:val="nil"/>
              <w:bottom w:val="single" w:sz="4" w:space="0" w:color="FFFFFF"/>
              <w:right w:val="nil"/>
            </w:tcBorders>
            <w:shd w:val="clear" w:color="000000" w:fill="D9D9D9"/>
            <w:vAlign w:val="center"/>
            <w:hideMark/>
          </w:tcPr>
          <w:p w14:paraId="21294DE7"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2.1</w:t>
            </w:r>
          </w:p>
        </w:tc>
        <w:tc>
          <w:tcPr>
            <w:tcW w:w="960" w:type="dxa"/>
            <w:tcBorders>
              <w:top w:val="nil"/>
              <w:left w:val="nil"/>
              <w:bottom w:val="single" w:sz="4" w:space="0" w:color="FFFFFF"/>
              <w:right w:val="nil"/>
            </w:tcBorders>
            <w:shd w:val="clear" w:color="000000" w:fill="D9D9D9"/>
            <w:vAlign w:val="center"/>
            <w:hideMark/>
          </w:tcPr>
          <w:p w14:paraId="489E4E24"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1.9</w:t>
            </w:r>
          </w:p>
        </w:tc>
        <w:tc>
          <w:tcPr>
            <w:tcW w:w="960" w:type="dxa"/>
            <w:tcBorders>
              <w:top w:val="nil"/>
              <w:left w:val="nil"/>
              <w:bottom w:val="single" w:sz="4" w:space="0" w:color="FFFFFF"/>
              <w:right w:val="nil"/>
            </w:tcBorders>
            <w:shd w:val="clear" w:color="000000" w:fill="D9D9D9"/>
            <w:vAlign w:val="center"/>
            <w:hideMark/>
          </w:tcPr>
          <w:p w14:paraId="7C288FE5"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1.7</w:t>
            </w:r>
          </w:p>
        </w:tc>
      </w:tr>
      <w:tr w:rsidR="00E12B4A" w:rsidRPr="0067680C" w14:paraId="37121037" w14:textId="77777777" w:rsidTr="00E12B4A">
        <w:trPr>
          <w:trHeight w:val="300"/>
        </w:trPr>
        <w:tc>
          <w:tcPr>
            <w:tcW w:w="5954" w:type="dxa"/>
            <w:tcBorders>
              <w:top w:val="nil"/>
              <w:left w:val="nil"/>
              <w:bottom w:val="single" w:sz="4" w:space="0" w:color="FFFFFF"/>
              <w:right w:val="nil"/>
            </w:tcBorders>
            <w:shd w:val="clear" w:color="000000" w:fill="F2F2F2"/>
            <w:vAlign w:val="center"/>
            <w:hideMark/>
          </w:tcPr>
          <w:p w14:paraId="1D8A41CA"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Public consumption</w:t>
            </w:r>
          </w:p>
        </w:tc>
        <w:tc>
          <w:tcPr>
            <w:tcW w:w="960" w:type="dxa"/>
            <w:tcBorders>
              <w:top w:val="nil"/>
              <w:left w:val="nil"/>
              <w:bottom w:val="single" w:sz="4" w:space="0" w:color="FFFFFF"/>
              <w:right w:val="nil"/>
            </w:tcBorders>
            <w:shd w:val="clear" w:color="000000" w:fill="F2F2F2"/>
            <w:vAlign w:val="center"/>
            <w:hideMark/>
          </w:tcPr>
          <w:p w14:paraId="5C0A9E79"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-4.1</w:t>
            </w:r>
          </w:p>
        </w:tc>
        <w:tc>
          <w:tcPr>
            <w:tcW w:w="960" w:type="dxa"/>
            <w:tcBorders>
              <w:top w:val="nil"/>
              <w:left w:val="nil"/>
              <w:bottom w:val="single" w:sz="4" w:space="0" w:color="FFFFFF"/>
              <w:right w:val="nil"/>
            </w:tcBorders>
            <w:shd w:val="clear" w:color="000000" w:fill="F2F2F2"/>
            <w:vAlign w:val="center"/>
            <w:hideMark/>
          </w:tcPr>
          <w:p w14:paraId="1E6E7BB9"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1.4</w:t>
            </w:r>
          </w:p>
        </w:tc>
        <w:tc>
          <w:tcPr>
            <w:tcW w:w="960" w:type="dxa"/>
            <w:tcBorders>
              <w:top w:val="nil"/>
              <w:left w:val="nil"/>
              <w:bottom w:val="single" w:sz="4" w:space="0" w:color="FFFFFF"/>
              <w:right w:val="nil"/>
            </w:tcBorders>
            <w:shd w:val="clear" w:color="000000" w:fill="F2F2F2"/>
            <w:vAlign w:val="center"/>
            <w:hideMark/>
          </w:tcPr>
          <w:p w14:paraId="0F8D340A"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0.7</w:t>
            </w:r>
          </w:p>
        </w:tc>
      </w:tr>
      <w:tr w:rsidR="00E12B4A" w:rsidRPr="0067680C" w14:paraId="6E5BDE88" w14:textId="77777777" w:rsidTr="00E12B4A">
        <w:trPr>
          <w:trHeight w:val="300"/>
        </w:trPr>
        <w:tc>
          <w:tcPr>
            <w:tcW w:w="5954" w:type="dxa"/>
            <w:tcBorders>
              <w:top w:val="nil"/>
              <w:left w:val="nil"/>
              <w:bottom w:val="single" w:sz="4" w:space="0" w:color="FFFFFF"/>
              <w:right w:val="nil"/>
            </w:tcBorders>
            <w:shd w:val="clear" w:color="000000" w:fill="D9D9D9"/>
            <w:vAlign w:val="center"/>
            <w:hideMark/>
          </w:tcPr>
          <w:p w14:paraId="4B04EABE"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Gross fixed capital formation</w:t>
            </w:r>
          </w:p>
        </w:tc>
        <w:tc>
          <w:tcPr>
            <w:tcW w:w="960" w:type="dxa"/>
            <w:tcBorders>
              <w:top w:val="nil"/>
              <w:left w:val="nil"/>
              <w:bottom w:val="single" w:sz="4" w:space="0" w:color="FFFFFF"/>
              <w:right w:val="nil"/>
            </w:tcBorders>
            <w:shd w:val="clear" w:color="000000" w:fill="D9D9D9"/>
            <w:vAlign w:val="center"/>
            <w:hideMark/>
          </w:tcPr>
          <w:p w14:paraId="16AE4FEC"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4.5</w:t>
            </w:r>
          </w:p>
        </w:tc>
        <w:tc>
          <w:tcPr>
            <w:tcW w:w="960" w:type="dxa"/>
            <w:tcBorders>
              <w:top w:val="nil"/>
              <w:left w:val="nil"/>
              <w:bottom w:val="single" w:sz="4" w:space="0" w:color="FFFFFF"/>
              <w:right w:val="nil"/>
            </w:tcBorders>
            <w:shd w:val="clear" w:color="000000" w:fill="D9D9D9"/>
            <w:vAlign w:val="center"/>
            <w:hideMark/>
          </w:tcPr>
          <w:p w14:paraId="383CBC7E"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5.7</w:t>
            </w:r>
          </w:p>
        </w:tc>
        <w:tc>
          <w:tcPr>
            <w:tcW w:w="960" w:type="dxa"/>
            <w:tcBorders>
              <w:top w:val="nil"/>
              <w:left w:val="nil"/>
              <w:bottom w:val="single" w:sz="4" w:space="0" w:color="FFFFFF"/>
              <w:right w:val="nil"/>
            </w:tcBorders>
            <w:shd w:val="clear" w:color="000000" w:fill="D9D9D9"/>
            <w:vAlign w:val="center"/>
            <w:hideMark/>
          </w:tcPr>
          <w:p w14:paraId="0D180A9D"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10.2</w:t>
            </w:r>
          </w:p>
        </w:tc>
      </w:tr>
      <w:tr w:rsidR="00E12B4A" w:rsidRPr="0067680C" w14:paraId="4876AD09" w14:textId="77777777" w:rsidTr="00E12B4A">
        <w:trPr>
          <w:trHeight w:val="300"/>
        </w:trPr>
        <w:tc>
          <w:tcPr>
            <w:tcW w:w="5954" w:type="dxa"/>
            <w:tcBorders>
              <w:top w:val="nil"/>
              <w:left w:val="nil"/>
              <w:bottom w:val="single" w:sz="4" w:space="0" w:color="FFFFFF"/>
              <w:right w:val="nil"/>
            </w:tcBorders>
            <w:shd w:val="clear" w:color="000000" w:fill="F2F2F2"/>
            <w:vAlign w:val="center"/>
            <w:hideMark/>
          </w:tcPr>
          <w:p w14:paraId="5574FBC5" w14:textId="77777777" w:rsidR="00E12B4A" w:rsidRPr="0067680C" w:rsidRDefault="00E12B4A" w:rsidP="00E12B4A">
            <w:pPr>
              <w:spacing w:after="0" w:line="240" w:lineRule="auto"/>
              <w:jc w:val="left"/>
              <w:rPr>
                <w:rFonts w:eastAsia="Times New Roman" w:cstheme="minorHAnsi"/>
                <w:sz w:val="22"/>
                <w:lang w:val="en-US"/>
              </w:rPr>
            </w:pPr>
            <w:r w:rsidRPr="0067680C">
              <w:rPr>
                <w:rFonts w:eastAsia="Times New Roman" w:cstheme="minorHAnsi"/>
                <w:sz w:val="22"/>
                <w:lang w:val="en-US"/>
              </w:rPr>
              <w:t>Exports of goods and services</w:t>
            </w:r>
          </w:p>
        </w:tc>
        <w:tc>
          <w:tcPr>
            <w:tcW w:w="960" w:type="dxa"/>
            <w:tcBorders>
              <w:top w:val="nil"/>
              <w:left w:val="nil"/>
              <w:bottom w:val="single" w:sz="4" w:space="0" w:color="FFFFFF"/>
              <w:right w:val="nil"/>
            </w:tcBorders>
            <w:shd w:val="clear" w:color="000000" w:fill="F2F2F2"/>
            <w:vAlign w:val="center"/>
            <w:hideMark/>
          </w:tcPr>
          <w:p w14:paraId="03EB91DB"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1.0</w:t>
            </w:r>
          </w:p>
        </w:tc>
        <w:tc>
          <w:tcPr>
            <w:tcW w:w="960" w:type="dxa"/>
            <w:tcBorders>
              <w:top w:val="nil"/>
              <w:left w:val="nil"/>
              <w:bottom w:val="single" w:sz="4" w:space="0" w:color="FFFFFF"/>
              <w:right w:val="nil"/>
            </w:tcBorders>
            <w:shd w:val="clear" w:color="000000" w:fill="F2F2F2"/>
            <w:vAlign w:val="center"/>
            <w:hideMark/>
          </w:tcPr>
          <w:p w14:paraId="7F473780"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2.2</w:t>
            </w:r>
          </w:p>
        </w:tc>
        <w:tc>
          <w:tcPr>
            <w:tcW w:w="960" w:type="dxa"/>
            <w:tcBorders>
              <w:top w:val="nil"/>
              <w:left w:val="nil"/>
              <w:bottom w:val="single" w:sz="4" w:space="0" w:color="FFFFFF"/>
              <w:right w:val="nil"/>
            </w:tcBorders>
            <w:shd w:val="clear" w:color="000000" w:fill="F2F2F2"/>
            <w:vAlign w:val="center"/>
            <w:hideMark/>
          </w:tcPr>
          <w:p w14:paraId="6A292B80"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4.5</w:t>
            </w:r>
          </w:p>
        </w:tc>
      </w:tr>
      <w:tr w:rsidR="00E12B4A" w:rsidRPr="0067680C" w14:paraId="6896A183" w14:textId="77777777" w:rsidTr="00E12B4A">
        <w:trPr>
          <w:trHeight w:val="300"/>
        </w:trPr>
        <w:tc>
          <w:tcPr>
            <w:tcW w:w="5954" w:type="dxa"/>
            <w:tcBorders>
              <w:top w:val="nil"/>
              <w:left w:val="nil"/>
              <w:bottom w:val="single" w:sz="4" w:space="0" w:color="FFFFFF"/>
              <w:right w:val="nil"/>
            </w:tcBorders>
            <w:shd w:val="clear" w:color="000000" w:fill="D9D9D9"/>
            <w:vAlign w:val="center"/>
            <w:hideMark/>
          </w:tcPr>
          <w:p w14:paraId="0BD8FC74" w14:textId="77777777" w:rsidR="00E12B4A" w:rsidRPr="0067680C" w:rsidRDefault="00E12B4A" w:rsidP="00E12B4A">
            <w:pPr>
              <w:spacing w:after="0" w:line="240" w:lineRule="auto"/>
              <w:jc w:val="left"/>
              <w:rPr>
                <w:rFonts w:eastAsia="Times New Roman" w:cstheme="minorHAnsi"/>
                <w:sz w:val="22"/>
                <w:lang w:val="en-US"/>
              </w:rPr>
            </w:pPr>
            <w:r w:rsidRPr="0067680C">
              <w:rPr>
                <w:rFonts w:eastAsia="Times New Roman" w:cstheme="minorHAnsi"/>
                <w:sz w:val="22"/>
                <w:lang w:val="en-US"/>
              </w:rPr>
              <w:t>Imports of goods and services</w:t>
            </w:r>
          </w:p>
        </w:tc>
        <w:tc>
          <w:tcPr>
            <w:tcW w:w="960" w:type="dxa"/>
            <w:tcBorders>
              <w:top w:val="nil"/>
              <w:left w:val="nil"/>
              <w:bottom w:val="single" w:sz="4" w:space="0" w:color="FFFFFF"/>
              <w:right w:val="nil"/>
            </w:tcBorders>
            <w:shd w:val="clear" w:color="000000" w:fill="D9D9D9"/>
            <w:vAlign w:val="center"/>
            <w:hideMark/>
          </w:tcPr>
          <w:p w14:paraId="1E599AE0"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5.5</w:t>
            </w:r>
          </w:p>
        </w:tc>
        <w:tc>
          <w:tcPr>
            <w:tcW w:w="960" w:type="dxa"/>
            <w:tcBorders>
              <w:top w:val="nil"/>
              <w:left w:val="nil"/>
              <w:bottom w:val="single" w:sz="4" w:space="0" w:color="FFFFFF"/>
              <w:right w:val="nil"/>
            </w:tcBorders>
            <w:shd w:val="clear" w:color="000000" w:fill="D9D9D9"/>
            <w:vAlign w:val="center"/>
            <w:hideMark/>
          </w:tcPr>
          <w:p w14:paraId="6E9747B5"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0.9</w:t>
            </w:r>
          </w:p>
        </w:tc>
        <w:tc>
          <w:tcPr>
            <w:tcW w:w="960" w:type="dxa"/>
            <w:tcBorders>
              <w:top w:val="nil"/>
              <w:left w:val="nil"/>
              <w:bottom w:val="single" w:sz="4" w:space="0" w:color="FFFFFF"/>
              <w:right w:val="nil"/>
            </w:tcBorders>
            <w:shd w:val="clear" w:color="000000" w:fill="D9D9D9"/>
            <w:vAlign w:val="center"/>
            <w:hideMark/>
          </w:tcPr>
          <w:p w14:paraId="3CA6DDC5"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4.6</w:t>
            </w:r>
          </w:p>
        </w:tc>
      </w:tr>
      <w:tr w:rsidR="00E12B4A" w:rsidRPr="0067680C" w14:paraId="1CB89BC9" w14:textId="77777777" w:rsidTr="00E12B4A">
        <w:trPr>
          <w:trHeight w:val="300"/>
        </w:trPr>
        <w:tc>
          <w:tcPr>
            <w:tcW w:w="5954" w:type="dxa"/>
            <w:tcBorders>
              <w:top w:val="nil"/>
              <w:left w:val="nil"/>
              <w:bottom w:val="single" w:sz="4" w:space="0" w:color="FFFFFF"/>
              <w:right w:val="nil"/>
            </w:tcBorders>
            <w:shd w:val="clear" w:color="000000" w:fill="F2F2F2"/>
            <w:vAlign w:val="center"/>
            <w:hideMark/>
          </w:tcPr>
          <w:p w14:paraId="75BEFB59"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GDP deflator</w:t>
            </w:r>
          </w:p>
        </w:tc>
        <w:tc>
          <w:tcPr>
            <w:tcW w:w="960" w:type="dxa"/>
            <w:tcBorders>
              <w:top w:val="nil"/>
              <w:left w:val="nil"/>
              <w:bottom w:val="single" w:sz="4" w:space="0" w:color="FFFFFF"/>
              <w:right w:val="nil"/>
            </w:tcBorders>
            <w:shd w:val="clear" w:color="000000" w:fill="F2F2F2"/>
            <w:vAlign w:val="center"/>
            <w:hideMark/>
          </w:tcPr>
          <w:p w14:paraId="3ABD8097"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3.2</w:t>
            </w:r>
          </w:p>
        </w:tc>
        <w:tc>
          <w:tcPr>
            <w:tcW w:w="960" w:type="dxa"/>
            <w:tcBorders>
              <w:top w:val="nil"/>
              <w:left w:val="nil"/>
              <w:bottom w:val="single" w:sz="4" w:space="0" w:color="FFFFFF"/>
              <w:right w:val="nil"/>
            </w:tcBorders>
            <w:shd w:val="clear" w:color="000000" w:fill="F2F2F2"/>
            <w:vAlign w:val="center"/>
            <w:hideMark/>
          </w:tcPr>
          <w:p w14:paraId="12FAF30E"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2.8</w:t>
            </w:r>
          </w:p>
        </w:tc>
        <w:tc>
          <w:tcPr>
            <w:tcW w:w="960" w:type="dxa"/>
            <w:tcBorders>
              <w:top w:val="nil"/>
              <w:left w:val="nil"/>
              <w:bottom w:val="single" w:sz="4" w:space="0" w:color="FFFFFF"/>
              <w:right w:val="nil"/>
            </w:tcBorders>
            <w:shd w:val="clear" w:color="000000" w:fill="F2F2F2"/>
            <w:vAlign w:val="center"/>
            <w:hideMark/>
          </w:tcPr>
          <w:p w14:paraId="404B1D87"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2.1</w:t>
            </w:r>
          </w:p>
        </w:tc>
      </w:tr>
      <w:tr w:rsidR="00E12B4A" w:rsidRPr="0067680C" w14:paraId="3CEB2FBE" w14:textId="77777777" w:rsidTr="00E12B4A">
        <w:trPr>
          <w:trHeight w:val="300"/>
        </w:trPr>
        <w:tc>
          <w:tcPr>
            <w:tcW w:w="5954" w:type="dxa"/>
            <w:tcBorders>
              <w:top w:val="nil"/>
              <w:left w:val="nil"/>
              <w:bottom w:val="single" w:sz="4" w:space="0" w:color="FFFFFF"/>
              <w:right w:val="nil"/>
            </w:tcBorders>
            <w:shd w:val="clear" w:color="000000" w:fill="D9D9D9"/>
            <w:vAlign w:val="center"/>
            <w:hideMark/>
          </w:tcPr>
          <w:p w14:paraId="713D3C64"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 xml:space="preserve">HICP </w:t>
            </w:r>
          </w:p>
        </w:tc>
        <w:tc>
          <w:tcPr>
            <w:tcW w:w="960" w:type="dxa"/>
            <w:tcBorders>
              <w:top w:val="nil"/>
              <w:left w:val="nil"/>
              <w:bottom w:val="single" w:sz="4" w:space="0" w:color="FFFFFF"/>
              <w:right w:val="nil"/>
            </w:tcBorders>
            <w:shd w:val="clear" w:color="000000" w:fill="D9D9D9"/>
            <w:vAlign w:val="center"/>
            <w:hideMark/>
          </w:tcPr>
          <w:p w14:paraId="5542C861"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3.0</w:t>
            </w:r>
          </w:p>
        </w:tc>
        <w:tc>
          <w:tcPr>
            <w:tcW w:w="960" w:type="dxa"/>
            <w:tcBorders>
              <w:top w:val="nil"/>
              <w:left w:val="nil"/>
              <w:bottom w:val="single" w:sz="4" w:space="0" w:color="FFFFFF"/>
              <w:right w:val="nil"/>
            </w:tcBorders>
            <w:shd w:val="clear" w:color="000000" w:fill="D9D9D9"/>
            <w:vAlign w:val="center"/>
            <w:hideMark/>
          </w:tcPr>
          <w:p w14:paraId="7E0E1B69"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3.0</w:t>
            </w:r>
          </w:p>
        </w:tc>
        <w:tc>
          <w:tcPr>
            <w:tcW w:w="960" w:type="dxa"/>
            <w:tcBorders>
              <w:top w:val="nil"/>
              <w:left w:val="nil"/>
              <w:bottom w:val="single" w:sz="4" w:space="0" w:color="FFFFFF"/>
              <w:right w:val="nil"/>
            </w:tcBorders>
            <w:shd w:val="clear" w:color="000000" w:fill="D9D9D9"/>
            <w:vAlign w:val="center"/>
            <w:hideMark/>
          </w:tcPr>
          <w:p w14:paraId="7E3E73BE"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2.2</w:t>
            </w:r>
          </w:p>
        </w:tc>
      </w:tr>
      <w:tr w:rsidR="00E12B4A" w:rsidRPr="0067680C" w14:paraId="367C5AA7" w14:textId="77777777" w:rsidTr="00E12B4A">
        <w:trPr>
          <w:trHeight w:val="300"/>
        </w:trPr>
        <w:tc>
          <w:tcPr>
            <w:tcW w:w="5954" w:type="dxa"/>
            <w:tcBorders>
              <w:top w:val="nil"/>
              <w:left w:val="nil"/>
              <w:bottom w:val="single" w:sz="4" w:space="0" w:color="FFFFFF"/>
              <w:right w:val="nil"/>
            </w:tcBorders>
            <w:shd w:val="clear" w:color="000000" w:fill="F2F2F2"/>
            <w:vAlign w:val="center"/>
            <w:hideMark/>
          </w:tcPr>
          <w:p w14:paraId="25935F45"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National CPI</w:t>
            </w:r>
          </w:p>
        </w:tc>
        <w:tc>
          <w:tcPr>
            <w:tcW w:w="960" w:type="dxa"/>
            <w:tcBorders>
              <w:top w:val="nil"/>
              <w:left w:val="nil"/>
              <w:bottom w:val="single" w:sz="4" w:space="0" w:color="FFFFFF"/>
              <w:right w:val="nil"/>
            </w:tcBorders>
            <w:shd w:val="clear" w:color="000000" w:fill="F2F2F2"/>
            <w:vAlign w:val="center"/>
            <w:hideMark/>
          </w:tcPr>
          <w:p w14:paraId="21BAAC57"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2.7</w:t>
            </w:r>
          </w:p>
        </w:tc>
        <w:tc>
          <w:tcPr>
            <w:tcW w:w="960" w:type="dxa"/>
            <w:tcBorders>
              <w:top w:val="nil"/>
              <w:left w:val="nil"/>
              <w:bottom w:val="single" w:sz="4" w:space="0" w:color="FFFFFF"/>
              <w:right w:val="nil"/>
            </w:tcBorders>
            <w:shd w:val="clear" w:color="000000" w:fill="F2F2F2"/>
            <w:vAlign w:val="center"/>
            <w:hideMark/>
          </w:tcPr>
          <w:p w14:paraId="11724A05"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2.6</w:t>
            </w:r>
          </w:p>
        </w:tc>
        <w:tc>
          <w:tcPr>
            <w:tcW w:w="960" w:type="dxa"/>
            <w:tcBorders>
              <w:top w:val="nil"/>
              <w:left w:val="nil"/>
              <w:bottom w:val="single" w:sz="4" w:space="0" w:color="FFFFFF"/>
              <w:right w:val="nil"/>
            </w:tcBorders>
            <w:shd w:val="clear" w:color="000000" w:fill="F2F2F2"/>
            <w:vAlign w:val="center"/>
            <w:hideMark/>
          </w:tcPr>
          <w:p w14:paraId="688E4F12"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2.2</w:t>
            </w:r>
          </w:p>
        </w:tc>
      </w:tr>
      <w:tr w:rsidR="00E12B4A" w:rsidRPr="0067680C" w14:paraId="3342FFD3" w14:textId="77777777" w:rsidTr="00E12B4A">
        <w:trPr>
          <w:trHeight w:val="300"/>
        </w:trPr>
        <w:tc>
          <w:tcPr>
            <w:tcW w:w="5954" w:type="dxa"/>
            <w:tcBorders>
              <w:top w:val="nil"/>
              <w:left w:val="nil"/>
              <w:bottom w:val="single" w:sz="4" w:space="0" w:color="FFFFFF"/>
              <w:right w:val="nil"/>
            </w:tcBorders>
            <w:shd w:val="clear" w:color="000000" w:fill="D9D9D9"/>
            <w:vAlign w:val="center"/>
            <w:hideMark/>
          </w:tcPr>
          <w:p w14:paraId="5BAE8ED6"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Employment</w:t>
            </w:r>
            <w:r w:rsidRPr="0067680C">
              <w:rPr>
                <w:rFonts w:eastAsia="Times New Roman" w:cstheme="minorHAnsi"/>
                <w:color w:val="000000"/>
                <w:sz w:val="22"/>
                <w:vertAlign w:val="superscript"/>
                <w:lang w:val="en-US"/>
              </w:rPr>
              <w:t>*</w:t>
            </w:r>
          </w:p>
        </w:tc>
        <w:tc>
          <w:tcPr>
            <w:tcW w:w="960" w:type="dxa"/>
            <w:tcBorders>
              <w:top w:val="nil"/>
              <w:left w:val="nil"/>
              <w:bottom w:val="single" w:sz="4" w:space="0" w:color="FFFFFF"/>
              <w:right w:val="nil"/>
            </w:tcBorders>
            <w:shd w:val="clear" w:color="000000" w:fill="D9D9D9"/>
            <w:vAlign w:val="center"/>
            <w:hideMark/>
          </w:tcPr>
          <w:p w14:paraId="52AA7D3C"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1.2</w:t>
            </w:r>
          </w:p>
        </w:tc>
        <w:tc>
          <w:tcPr>
            <w:tcW w:w="960" w:type="dxa"/>
            <w:tcBorders>
              <w:top w:val="nil"/>
              <w:left w:val="nil"/>
              <w:bottom w:val="single" w:sz="4" w:space="0" w:color="FFFFFF"/>
              <w:right w:val="nil"/>
            </w:tcBorders>
            <w:shd w:val="clear" w:color="000000" w:fill="D9D9D9"/>
            <w:vAlign w:val="center"/>
            <w:hideMark/>
          </w:tcPr>
          <w:p w14:paraId="71934A4D"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0.7</w:t>
            </w:r>
          </w:p>
        </w:tc>
        <w:tc>
          <w:tcPr>
            <w:tcW w:w="960" w:type="dxa"/>
            <w:tcBorders>
              <w:top w:val="nil"/>
              <w:left w:val="nil"/>
              <w:bottom w:val="single" w:sz="4" w:space="0" w:color="FFFFFF"/>
              <w:right w:val="nil"/>
            </w:tcBorders>
            <w:shd w:val="clear" w:color="000000" w:fill="D9D9D9"/>
            <w:vAlign w:val="center"/>
            <w:hideMark/>
          </w:tcPr>
          <w:p w14:paraId="3A964E34"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0.4</w:t>
            </w:r>
          </w:p>
        </w:tc>
      </w:tr>
      <w:tr w:rsidR="00E12B4A" w:rsidRPr="0067680C" w14:paraId="23C32DD7" w14:textId="77777777" w:rsidTr="00E12B4A">
        <w:trPr>
          <w:trHeight w:val="300"/>
        </w:trPr>
        <w:tc>
          <w:tcPr>
            <w:tcW w:w="5954" w:type="dxa"/>
            <w:tcBorders>
              <w:top w:val="nil"/>
              <w:left w:val="nil"/>
              <w:bottom w:val="single" w:sz="4" w:space="0" w:color="FFFFFF"/>
              <w:right w:val="nil"/>
            </w:tcBorders>
            <w:shd w:val="clear" w:color="000000" w:fill="F2F2F2"/>
            <w:vAlign w:val="center"/>
            <w:hideMark/>
          </w:tcPr>
          <w:p w14:paraId="2C5D20D0" w14:textId="77777777" w:rsidR="00E12B4A" w:rsidRPr="0067680C" w:rsidRDefault="00E12B4A" w:rsidP="00E12B4A">
            <w:pPr>
              <w:spacing w:after="0" w:line="240" w:lineRule="auto"/>
              <w:jc w:val="left"/>
              <w:rPr>
                <w:rFonts w:eastAsia="Times New Roman" w:cstheme="minorHAnsi"/>
                <w:sz w:val="22"/>
              </w:rPr>
            </w:pPr>
            <w:r w:rsidRPr="0067680C">
              <w:rPr>
                <w:rFonts w:eastAsia="Times New Roman" w:cstheme="minorHAnsi"/>
                <w:sz w:val="22"/>
                <w:lang w:val="en-US"/>
              </w:rPr>
              <w:t>Unemployment rate</w:t>
            </w:r>
            <w:r w:rsidRPr="0067680C">
              <w:rPr>
                <w:rFonts w:eastAsia="Times New Roman" w:cstheme="minorHAnsi"/>
                <w:color w:val="000000"/>
                <w:sz w:val="22"/>
                <w:vertAlign w:val="superscript"/>
                <w:lang w:val="en-US"/>
              </w:rPr>
              <w:t>*</w:t>
            </w:r>
          </w:p>
        </w:tc>
        <w:tc>
          <w:tcPr>
            <w:tcW w:w="960" w:type="dxa"/>
            <w:tcBorders>
              <w:top w:val="nil"/>
              <w:left w:val="nil"/>
              <w:bottom w:val="single" w:sz="4" w:space="0" w:color="FFFFFF"/>
              <w:right w:val="nil"/>
            </w:tcBorders>
            <w:shd w:val="clear" w:color="000000" w:fill="F2F2F2"/>
            <w:vAlign w:val="center"/>
            <w:hideMark/>
          </w:tcPr>
          <w:p w14:paraId="0BC09944"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8.6</w:t>
            </w:r>
          </w:p>
        </w:tc>
        <w:tc>
          <w:tcPr>
            <w:tcW w:w="960" w:type="dxa"/>
            <w:tcBorders>
              <w:top w:val="nil"/>
              <w:left w:val="nil"/>
              <w:bottom w:val="single" w:sz="4" w:space="0" w:color="FFFFFF"/>
              <w:right w:val="nil"/>
            </w:tcBorders>
            <w:shd w:val="clear" w:color="000000" w:fill="F2F2F2"/>
            <w:vAlign w:val="center"/>
            <w:hideMark/>
          </w:tcPr>
          <w:p w14:paraId="76C4870A"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7.8</w:t>
            </w:r>
          </w:p>
        </w:tc>
        <w:tc>
          <w:tcPr>
            <w:tcW w:w="960" w:type="dxa"/>
            <w:tcBorders>
              <w:top w:val="nil"/>
              <w:left w:val="nil"/>
              <w:bottom w:val="single" w:sz="4" w:space="0" w:color="FFFFFF"/>
              <w:right w:val="nil"/>
            </w:tcBorders>
            <w:shd w:val="clear" w:color="000000" w:fill="F2F2F2"/>
            <w:vAlign w:val="center"/>
            <w:hideMark/>
          </w:tcPr>
          <w:p w14:paraId="6C7D7375"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7.4</w:t>
            </w:r>
          </w:p>
        </w:tc>
      </w:tr>
      <w:tr w:rsidR="00E12B4A" w:rsidRPr="0067680C" w14:paraId="3BCE613B" w14:textId="77777777" w:rsidTr="00E12B4A">
        <w:trPr>
          <w:trHeight w:val="300"/>
        </w:trPr>
        <w:tc>
          <w:tcPr>
            <w:tcW w:w="5954" w:type="dxa"/>
            <w:tcBorders>
              <w:top w:val="single" w:sz="4" w:space="0" w:color="FFFFFF"/>
              <w:left w:val="nil"/>
              <w:bottom w:val="single" w:sz="18" w:space="0" w:color="4F81BD" w:themeColor="accent1"/>
              <w:right w:val="nil"/>
            </w:tcBorders>
            <w:shd w:val="clear" w:color="000000" w:fill="D9D9D9"/>
            <w:vAlign w:val="center"/>
            <w:hideMark/>
          </w:tcPr>
          <w:p w14:paraId="11C25EF6" w14:textId="77777777" w:rsidR="00E12B4A" w:rsidRPr="0067680C" w:rsidRDefault="00E12B4A" w:rsidP="00E12B4A">
            <w:pPr>
              <w:spacing w:after="0" w:line="240" w:lineRule="auto"/>
              <w:jc w:val="left"/>
              <w:rPr>
                <w:rFonts w:eastAsia="Times New Roman" w:cstheme="minorHAnsi"/>
                <w:sz w:val="22"/>
                <w:lang w:val="en-US"/>
              </w:rPr>
            </w:pPr>
            <w:r w:rsidRPr="0067680C">
              <w:rPr>
                <w:rFonts w:eastAsia="Times New Roman" w:cstheme="minorHAnsi"/>
                <w:sz w:val="22"/>
                <w:lang w:val="en-US"/>
              </w:rPr>
              <w:t>Unemployment rate (Labour Force Survey)</w:t>
            </w:r>
          </w:p>
        </w:tc>
        <w:tc>
          <w:tcPr>
            <w:tcW w:w="960" w:type="dxa"/>
            <w:tcBorders>
              <w:top w:val="single" w:sz="4" w:space="0" w:color="FFFFFF"/>
              <w:left w:val="nil"/>
              <w:bottom w:val="single" w:sz="18" w:space="0" w:color="4F81BD" w:themeColor="accent1"/>
              <w:right w:val="nil"/>
            </w:tcBorders>
            <w:shd w:val="clear" w:color="000000" w:fill="D9D9D9"/>
            <w:vAlign w:val="center"/>
            <w:hideMark/>
          </w:tcPr>
          <w:p w14:paraId="68C1AC47"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10.1</w:t>
            </w:r>
          </w:p>
        </w:tc>
        <w:tc>
          <w:tcPr>
            <w:tcW w:w="960" w:type="dxa"/>
            <w:tcBorders>
              <w:top w:val="single" w:sz="4" w:space="0" w:color="FFFFFF"/>
              <w:left w:val="nil"/>
              <w:bottom w:val="single" w:sz="18" w:space="0" w:color="4F81BD" w:themeColor="accent1"/>
              <w:right w:val="nil"/>
            </w:tcBorders>
            <w:shd w:val="clear" w:color="000000" w:fill="D9D9D9"/>
            <w:vAlign w:val="center"/>
            <w:hideMark/>
          </w:tcPr>
          <w:p w14:paraId="68FB0060"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9.1</w:t>
            </w:r>
          </w:p>
        </w:tc>
        <w:tc>
          <w:tcPr>
            <w:tcW w:w="960" w:type="dxa"/>
            <w:tcBorders>
              <w:top w:val="single" w:sz="4" w:space="0" w:color="FFFFFF"/>
              <w:left w:val="nil"/>
              <w:bottom w:val="single" w:sz="18" w:space="0" w:color="4F81BD" w:themeColor="accent1"/>
              <w:right w:val="nil"/>
            </w:tcBorders>
            <w:shd w:val="clear" w:color="000000" w:fill="D9D9D9"/>
            <w:vAlign w:val="center"/>
            <w:hideMark/>
          </w:tcPr>
          <w:p w14:paraId="004A41E3" w14:textId="77777777" w:rsidR="00E12B4A" w:rsidRPr="0067680C" w:rsidRDefault="00E12B4A" w:rsidP="00E12B4A">
            <w:pPr>
              <w:spacing w:after="0" w:line="240" w:lineRule="auto"/>
              <w:jc w:val="center"/>
              <w:rPr>
                <w:rFonts w:eastAsia="Times New Roman" w:cstheme="minorHAnsi"/>
                <w:sz w:val="22"/>
              </w:rPr>
            </w:pPr>
            <w:r w:rsidRPr="0067680C">
              <w:rPr>
                <w:rFonts w:eastAsia="Times New Roman" w:cstheme="minorHAnsi"/>
                <w:sz w:val="22"/>
              </w:rPr>
              <w:t>8.6</w:t>
            </w:r>
          </w:p>
        </w:tc>
      </w:tr>
    </w:tbl>
    <w:p w14:paraId="7774DE03" w14:textId="77777777" w:rsidR="00E12B4A" w:rsidRPr="00E12B4A" w:rsidRDefault="00E12B4A" w:rsidP="00E12B4A">
      <w:pPr>
        <w:pStyle w:val="Source"/>
        <w:spacing w:after="0"/>
        <w:rPr>
          <w:i w:val="0"/>
          <w:sz w:val="20"/>
        </w:rPr>
      </w:pPr>
      <w:r w:rsidRPr="00E12B4A">
        <w:rPr>
          <w:i w:val="0"/>
          <w:sz w:val="20"/>
        </w:rPr>
        <w:t>* On a national accounts basis</w:t>
      </w:r>
    </w:p>
    <w:p w14:paraId="59760F8D" w14:textId="77777777" w:rsidR="00E12B4A" w:rsidRPr="00E12B4A" w:rsidRDefault="00E12B4A" w:rsidP="00E12B4A">
      <w:pPr>
        <w:pStyle w:val="Source"/>
        <w:spacing w:after="0"/>
        <w:rPr>
          <w:i w:val="0"/>
          <w:sz w:val="20"/>
        </w:rPr>
      </w:pPr>
      <w:r w:rsidRPr="00E12B4A">
        <w:rPr>
          <w:i w:val="0"/>
          <w:sz w:val="20"/>
        </w:rPr>
        <w:t xml:space="preserve">** Estimates/ projections </w:t>
      </w:r>
    </w:p>
    <w:p w14:paraId="213F74CF" w14:textId="77777777" w:rsidR="00E12B4A" w:rsidRPr="00DD61B7" w:rsidRDefault="00E12B4A" w:rsidP="00644D70">
      <w:pPr>
        <w:pStyle w:val="Source"/>
        <w:spacing w:after="600"/>
        <w:rPr>
          <w:bCs/>
          <w:sz w:val="19"/>
          <w:szCs w:val="19"/>
        </w:rPr>
      </w:pPr>
      <w:r w:rsidRPr="00DD61B7">
        <w:rPr>
          <w:rStyle w:val="SourceChar"/>
          <w:sz w:val="19"/>
          <w:szCs w:val="19"/>
        </w:rPr>
        <w:t>Source: Annual National Accounts (Hellenic Statistical Authority), estimates/projections of the</w:t>
      </w:r>
      <w:r w:rsidRPr="00DD61B7">
        <w:rPr>
          <w:bCs/>
          <w:sz w:val="19"/>
          <w:szCs w:val="19"/>
        </w:rPr>
        <w:t xml:space="preserve"> </w:t>
      </w:r>
      <w:r w:rsidR="00540C3A" w:rsidRPr="00DD61B7">
        <w:rPr>
          <w:bCs/>
          <w:i w:val="0"/>
          <w:sz w:val="19"/>
          <w:szCs w:val="19"/>
        </w:rPr>
        <w:t>Hellenic Ministry of Economy and Finance</w:t>
      </w:r>
    </w:p>
    <w:p w14:paraId="1A70E1D9" w14:textId="77777777" w:rsidR="00FA3A75" w:rsidRDefault="00FA3A75" w:rsidP="00E12B4A">
      <w:pPr>
        <w:rPr>
          <w:rFonts w:eastAsia="Times New Roman" w:cs="Times New Roman"/>
          <w:szCs w:val="24"/>
          <w:lang w:val="en-US"/>
        </w:rPr>
      </w:pPr>
      <w:r w:rsidRPr="00001878">
        <w:rPr>
          <w:lang w:val="en-US"/>
        </w:rPr>
        <w:t xml:space="preserve">The main short-term risks to the </w:t>
      </w:r>
      <w:r>
        <w:rPr>
          <w:lang w:val="en-US"/>
        </w:rPr>
        <w:t>economic</w:t>
      </w:r>
      <w:r w:rsidRPr="00001878">
        <w:rPr>
          <w:lang w:val="en-US"/>
        </w:rPr>
        <w:t xml:space="preserve"> outlook for 2025 and 2026 </w:t>
      </w:r>
      <w:r>
        <w:rPr>
          <w:lang w:val="en-US"/>
        </w:rPr>
        <w:t>relate to</w:t>
      </w:r>
      <w:r w:rsidRPr="00001878">
        <w:rPr>
          <w:lang w:val="en-US"/>
        </w:rPr>
        <w:t xml:space="preserve"> a</w:t>
      </w:r>
      <w:r>
        <w:rPr>
          <w:lang w:val="en-US"/>
        </w:rPr>
        <w:t xml:space="preserve">n escalation </w:t>
      </w:r>
      <w:r w:rsidRPr="00001878">
        <w:rPr>
          <w:lang w:val="en-US"/>
        </w:rPr>
        <w:t>of geopolitical tensions, a possible deviation from the US-EU tariff agreement (or other destabilisation of international trade conditions), a larger-than-expected impact of tariffs on the global and European economies, more pronounced manifestations of climate change, and delays in the implementation of planned investments.</w:t>
      </w:r>
      <w:r>
        <w:rPr>
          <w:lang w:val="en-US"/>
        </w:rPr>
        <w:t xml:space="preserve"> </w:t>
      </w:r>
      <w:r w:rsidRPr="00001878">
        <w:rPr>
          <w:lang w:val="en-US"/>
        </w:rPr>
        <w:t xml:space="preserve">At the same time, </w:t>
      </w:r>
      <w:r>
        <w:rPr>
          <w:lang w:val="en-US"/>
        </w:rPr>
        <w:t>the</w:t>
      </w:r>
      <w:r w:rsidRPr="00001878">
        <w:rPr>
          <w:lang w:val="en-US"/>
        </w:rPr>
        <w:t xml:space="preserve"> appreciation of the euro poses risks for the external balance and competitiveness </w:t>
      </w:r>
      <w:r>
        <w:rPr>
          <w:lang w:val="en-US"/>
        </w:rPr>
        <w:t>in</w:t>
      </w:r>
      <w:r w:rsidRPr="00001878">
        <w:rPr>
          <w:lang w:val="en-US"/>
        </w:rPr>
        <w:t xml:space="preserve"> the euro area, while the implementation of contractionary fiscal policies in major EU economies </w:t>
      </w:r>
      <w:r w:rsidRPr="00602010">
        <w:rPr>
          <w:rFonts w:eastAsia="Times New Roman" w:cs="Times New Roman"/>
          <w:szCs w:val="24"/>
          <w:lang w:val="en-US"/>
        </w:rPr>
        <w:t>could weigh on external demand.</w:t>
      </w:r>
    </w:p>
    <w:p w14:paraId="77950198" w14:textId="77777777" w:rsidR="00FA3A75" w:rsidRPr="0090345A" w:rsidRDefault="00FA3A75" w:rsidP="00E12B4A">
      <w:pPr>
        <w:rPr>
          <w:lang w:val="en-US"/>
        </w:rPr>
      </w:pPr>
      <w:r w:rsidRPr="007351AF">
        <w:rPr>
          <w:lang w:val="en-US"/>
        </w:rPr>
        <w:t xml:space="preserve">On the upside, the output growth of the Greek economy could be further supported by an even stronger momentum in external tourism and shipping, a faster-than-expected easing of inflation, partly reflecting international developments in the energy sector, as well as a higher-than-anticipated investment and </w:t>
      </w:r>
      <w:r>
        <w:rPr>
          <w:lang w:val="en-US"/>
        </w:rPr>
        <w:t>output</w:t>
      </w:r>
      <w:r w:rsidRPr="007351AF">
        <w:rPr>
          <w:lang w:val="en-US"/>
        </w:rPr>
        <w:t xml:space="preserve"> growth impetus</w:t>
      </w:r>
      <w:r>
        <w:rPr>
          <w:lang w:val="en-US"/>
        </w:rPr>
        <w:t xml:space="preserve"> that could stem </w:t>
      </w:r>
      <w:r w:rsidRPr="007351AF">
        <w:rPr>
          <w:lang w:val="en-US"/>
        </w:rPr>
        <w:t>from synergies generated by the ongoing structural reforms.</w:t>
      </w:r>
    </w:p>
    <w:p w14:paraId="68F1511E" w14:textId="77777777" w:rsidR="0084303B" w:rsidRDefault="0084303B">
      <w:pPr>
        <w:spacing w:line="276" w:lineRule="auto"/>
        <w:jc w:val="left"/>
        <w:rPr>
          <w:lang w:val="en-US"/>
        </w:rPr>
      </w:pPr>
      <w:r>
        <w:rPr>
          <w:lang w:val="en-US"/>
        </w:rPr>
        <w:br w:type="page"/>
      </w:r>
    </w:p>
    <w:p w14:paraId="0CC1DF24" w14:textId="2AC5CAD8" w:rsidR="0084303B" w:rsidRDefault="0084303B" w:rsidP="002D2C29">
      <w:pPr>
        <w:pStyle w:val="1"/>
        <w:numPr>
          <w:ilvl w:val="0"/>
          <w:numId w:val="2"/>
        </w:numPr>
        <w:spacing w:after="1200"/>
        <w:ind w:hanging="720"/>
        <w:rPr>
          <w:lang w:val="en-US"/>
        </w:rPr>
      </w:pPr>
      <w:bookmarkStart w:id="32" w:name="_Toc196737845"/>
      <w:bookmarkStart w:id="33" w:name="_Toc211418437"/>
      <w:bookmarkEnd w:id="32"/>
      <w:r>
        <w:rPr>
          <w:lang w:val="en-US"/>
        </w:rPr>
        <w:lastRenderedPageBreak/>
        <w:t xml:space="preserve">Budgetary </w:t>
      </w:r>
      <w:r w:rsidR="009B6626">
        <w:rPr>
          <w:lang w:val="en-US"/>
        </w:rPr>
        <w:t>targets</w:t>
      </w:r>
      <w:bookmarkEnd w:id="33"/>
    </w:p>
    <w:p w14:paraId="008081C7" w14:textId="77777777" w:rsidR="00D129CD" w:rsidRDefault="00D129CD" w:rsidP="002D2C29">
      <w:pPr>
        <w:pStyle w:val="2"/>
        <w:numPr>
          <w:ilvl w:val="1"/>
          <w:numId w:val="2"/>
        </w:numPr>
        <w:spacing w:before="600" w:after="240"/>
        <w:ind w:left="567" w:hanging="567"/>
        <w:rPr>
          <w:lang w:val="en-US"/>
        </w:rPr>
      </w:pPr>
      <w:bookmarkStart w:id="34" w:name="_Toc211249665"/>
      <w:bookmarkStart w:id="35" w:name="_Toc211418438"/>
      <w:r w:rsidRPr="0084303B">
        <w:rPr>
          <w:lang w:val="en-US"/>
        </w:rPr>
        <w:t xml:space="preserve">Fiscal </w:t>
      </w:r>
      <w:r>
        <w:rPr>
          <w:lang w:val="en-US"/>
        </w:rPr>
        <w:t>outlook</w:t>
      </w:r>
      <w:r w:rsidRPr="0084303B">
        <w:rPr>
          <w:lang w:val="en-US"/>
        </w:rPr>
        <w:t xml:space="preserve"> 202</w:t>
      </w:r>
      <w:r>
        <w:rPr>
          <w:lang w:val="en-US"/>
        </w:rPr>
        <w:t>5</w:t>
      </w:r>
      <w:bookmarkEnd w:id="34"/>
      <w:bookmarkEnd w:id="35"/>
    </w:p>
    <w:p w14:paraId="5CFF69A9" w14:textId="77777777" w:rsidR="00D129CD" w:rsidRPr="00EA4942" w:rsidRDefault="00D129CD" w:rsidP="00D129CD">
      <w:pPr>
        <w:rPr>
          <w:lang w:val="en-US"/>
        </w:rPr>
      </w:pPr>
      <w:r w:rsidRPr="00EA4942">
        <w:rPr>
          <w:lang w:val="en-US"/>
        </w:rPr>
        <w:t xml:space="preserve">For 2025, a primary surplus of +3.6% of GDP is expected to be achieved, while the headline budget balance is estimated to record a surplus of +0.6% of GDP, remaining significantly above the -3% of GDP Treaty reference value. </w:t>
      </w:r>
    </w:p>
    <w:p w14:paraId="4D856557" w14:textId="77777777" w:rsidR="00D129CD" w:rsidRPr="00EA4942" w:rsidRDefault="00D129CD" w:rsidP="00D129CD">
      <w:pPr>
        <w:rPr>
          <w:lang w:val="en-US"/>
        </w:rPr>
      </w:pPr>
      <w:r w:rsidRPr="00EA4942">
        <w:rPr>
          <w:lang w:val="en-US"/>
        </w:rPr>
        <w:t>The decrease of the estimated budget surplus compared to the previous year (</w:t>
      </w:r>
      <w:r>
        <w:rPr>
          <w:lang w:val="en-US"/>
        </w:rPr>
        <w:t xml:space="preserve">by </w:t>
      </w:r>
      <w:r w:rsidRPr="00EA4942">
        <w:rPr>
          <w:lang w:val="en-US"/>
        </w:rPr>
        <w:t>-0.7</w:t>
      </w:r>
      <w:r>
        <w:rPr>
          <w:lang w:val="en-US"/>
        </w:rPr>
        <w:t xml:space="preserve"> pp</w:t>
      </w:r>
      <w:r w:rsidRPr="00EA4942">
        <w:rPr>
          <w:lang w:val="en-US"/>
        </w:rPr>
        <w:t xml:space="preserve"> of GDP) mainly reflects the impact of the several measures taken, both </w:t>
      </w:r>
      <w:r>
        <w:rPr>
          <w:lang w:val="en-US"/>
        </w:rPr>
        <w:t>o</w:t>
      </w:r>
      <w:r w:rsidRPr="00EA4942">
        <w:rPr>
          <w:lang w:val="en-US"/>
        </w:rPr>
        <w:t xml:space="preserve">n the side of revenues and expenditure in a number of key policy areas, targeted to support disposable income, promote investment and employment and aid vulnerable social groups. A detailed description of these measures can be found in </w:t>
      </w:r>
      <w:r>
        <w:rPr>
          <w:lang w:val="en-US"/>
        </w:rPr>
        <w:t>Chapter 4</w:t>
      </w:r>
      <w:r w:rsidRPr="00EA4942">
        <w:rPr>
          <w:lang w:val="en-US"/>
        </w:rPr>
        <w:t>. The fiscal effect of these measures, along with the regular increase of general government expenditure, is partly counterbalanced by the strong performance of tax and social security contributions revenues</w:t>
      </w:r>
      <w:r>
        <w:rPr>
          <w:lang w:val="en-US"/>
        </w:rPr>
        <w:t>,</w:t>
      </w:r>
      <w:r w:rsidRPr="00EA4942">
        <w:rPr>
          <w:lang w:val="en-US"/>
        </w:rPr>
        <w:t xml:space="preserve"> due to the favourable economic growth, the measures taken to enforce tax compliance and the positive developments in the labour market and wages.</w:t>
      </w:r>
    </w:p>
    <w:p w14:paraId="118DA3F5" w14:textId="77777777" w:rsidR="00D129CD" w:rsidRPr="00A45F4B" w:rsidRDefault="00D129CD" w:rsidP="00D129CD">
      <w:pPr>
        <w:rPr>
          <w:lang w:val="en-US"/>
        </w:rPr>
      </w:pPr>
      <w:r w:rsidRPr="00EA4942">
        <w:rPr>
          <w:lang w:val="en-US"/>
        </w:rPr>
        <w:t xml:space="preserve">Compared to April estimations (Annual Progress Report 2025), the primary balance of 2025 is revised upward by 0.4 pp of GDP, driven </w:t>
      </w:r>
      <w:r>
        <w:rPr>
          <w:lang w:val="en-US"/>
        </w:rPr>
        <w:t xml:space="preserve">mainly </w:t>
      </w:r>
      <w:r w:rsidRPr="00EA4942">
        <w:rPr>
          <w:lang w:val="en-US"/>
        </w:rPr>
        <w:t xml:space="preserve">by the overperformance of tax </w:t>
      </w:r>
      <w:r>
        <w:rPr>
          <w:lang w:val="en-US"/>
        </w:rPr>
        <w:t>and social security contributions’ revenues</w:t>
      </w:r>
      <w:r w:rsidRPr="00EA4942">
        <w:rPr>
          <w:lang w:val="en-US"/>
        </w:rPr>
        <w:t>.</w:t>
      </w:r>
    </w:p>
    <w:p w14:paraId="01D7B052" w14:textId="4E74F61D" w:rsidR="00D129CD" w:rsidRDefault="00D129CD" w:rsidP="00D129CD">
      <w:pPr>
        <w:pStyle w:val="ae"/>
        <w:rPr>
          <w:highlight w:val="yellow"/>
        </w:rPr>
      </w:pPr>
      <w:bookmarkStart w:id="36" w:name="_Toc211249700"/>
      <w:bookmarkStart w:id="37" w:name="_Toc211355203"/>
      <w:r>
        <w:rPr>
          <w:noProof/>
        </w:rPr>
        <w:drawing>
          <wp:anchor distT="0" distB="0" distL="114300" distR="114300" simplePos="0" relativeHeight="251682816" behindDoc="0" locked="0" layoutInCell="1" allowOverlap="1" wp14:anchorId="283A85A6" wp14:editId="6825EE5E">
            <wp:simplePos x="0" y="0"/>
            <wp:positionH relativeFrom="column">
              <wp:posOffset>-256540</wp:posOffset>
            </wp:positionH>
            <wp:positionV relativeFrom="paragraph">
              <wp:posOffset>282575</wp:posOffset>
            </wp:positionV>
            <wp:extent cx="6067425" cy="3387725"/>
            <wp:effectExtent l="0" t="0" r="9525"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7425" cy="3387725"/>
                    </a:xfrm>
                    <a:prstGeom prst="rect">
                      <a:avLst/>
                    </a:prstGeom>
                    <a:noFill/>
                  </pic:spPr>
                </pic:pic>
              </a:graphicData>
            </a:graphic>
          </wp:anchor>
        </w:drawing>
      </w:r>
      <w:r>
        <w:t xml:space="preserve">Figure </w:t>
      </w:r>
      <w:r>
        <w:fldChar w:fldCharType="begin"/>
      </w:r>
      <w:r>
        <w:instrText xml:space="preserve"> SEQ Figure \* ARABIC </w:instrText>
      </w:r>
      <w:r>
        <w:fldChar w:fldCharType="separate"/>
      </w:r>
      <w:r w:rsidR="00AF0E6B">
        <w:rPr>
          <w:noProof/>
        </w:rPr>
        <w:t>10</w:t>
      </w:r>
      <w:r>
        <w:fldChar w:fldCharType="end"/>
      </w:r>
      <w:r>
        <w:t xml:space="preserve"> | General Government primary balance </w:t>
      </w:r>
      <w:r w:rsidRPr="00B8711E">
        <w:rPr>
          <w:b w:val="0"/>
        </w:rPr>
        <w:t>(% of GDP</w:t>
      </w:r>
      <w:r>
        <w:rPr>
          <w:b w:val="0"/>
        </w:rPr>
        <w:t>)</w:t>
      </w:r>
      <w:bookmarkEnd w:id="36"/>
      <w:bookmarkEnd w:id="37"/>
    </w:p>
    <w:p w14:paraId="4A93E3C0" w14:textId="77777777" w:rsidR="00D129CD" w:rsidRPr="00D33DD7" w:rsidRDefault="00D129CD" w:rsidP="00D129CD">
      <w:pPr>
        <w:pBdr>
          <w:top w:val="single" w:sz="18" w:space="1" w:color="4F81BD" w:themeColor="accent1"/>
        </w:pBdr>
        <w:spacing w:line="276" w:lineRule="auto"/>
        <w:jc w:val="left"/>
        <w:rPr>
          <w:rFonts w:ascii="Calibri Light" w:eastAsiaTheme="majorEastAsia" w:hAnsi="Calibri Light" w:cstheme="majorBidi"/>
          <w:b/>
          <w:color w:val="4F81BD" w:themeColor="accent1"/>
          <w:sz w:val="28"/>
          <w:szCs w:val="26"/>
          <w:lang w:val="en-US"/>
        </w:rPr>
      </w:pPr>
      <w:r w:rsidRPr="00D33DD7">
        <w:rPr>
          <w:sz w:val="20"/>
          <w:lang w:val="en-US"/>
        </w:rPr>
        <w:t>*  Projections</w:t>
      </w:r>
      <w:r w:rsidRPr="00D33DD7">
        <w:rPr>
          <w:rFonts w:ascii="Calibri Light" w:eastAsiaTheme="majorEastAsia" w:hAnsi="Calibri Light" w:cstheme="majorBidi"/>
          <w:b/>
          <w:color w:val="4F81BD" w:themeColor="accent1"/>
          <w:sz w:val="28"/>
          <w:szCs w:val="26"/>
          <w:lang w:val="en-US"/>
        </w:rPr>
        <w:br w:type="page"/>
      </w:r>
    </w:p>
    <w:p w14:paraId="26950BCE" w14:textId="77777777" w:rsidR="00D129CD" w:rsidRDefault="00D129CD" w:rsidP="00D129CD">
      <w:pPr>
        <w:pStyle w:val="2"/>
        <w:numPr>
          <w:ilvl w:val="1"/>
          <w:numId w:val="2"/>
        </w:numPr>
        <w:spacing w:before="600" w:after="120"/>
        <w:ind w:left="567" w:hanging="567"/>
        <w:rPr>
          <w:lang w:val="en-US"/>
        </w:rPr>
      </w:pPr>
      <w:bookmarkStart w:id="38" w:name="_Toc211249666"/>
      <w:bookmarkStart w:id="39" w:name="_Toc211418439"/>
      <w:r>
        <w:rPr>
          <w:lang w:val="en-US"/>
        </w:rPr>
        <w:lastRenderedPageBreak/>
        <w:t>Fiscal outlook 2026</w:t>
      </w:r>
      <w:bookmarkEnd w:id="38"/>
      <w:bookmarkEnd w:id="39"/>
    </w:p>
    <w:p w14:paraId="3EF29A27" w14:textId="77777777" w:rsidR="00D129CD" w:rsidRPr="00746686" w:rsidRDefault="00D129CD" w:rsidP="00D129CD">
      <w:pPr>
        <w:rPr>
          <w:lang w:val="en-US"/>
        </w:rPr>
      </w:pPr>
      <w:r w:rsidRPr="00746686">
        <w:rPr>
          <w:lang w:val="en-US"/>
        </w:rPr>
        <w:t xml:space="preserve">For 2026, a sustainable primary surplus of +2.8% of GDP is expected to be achieved, based on the solid growth path of the economy. The headline budget is estimated to be almost balanced, at -0.1% of GDP, remaining significantly above the -3% of GDP Treaty reference value. </w:t>
      </w:r>
    </w:p>
    <w:p w14:paraId="7C10AC78" w14:textId="77777777" w:rsidR="00D129CD" w:rsidRPr="00746686" w:rsidRDefault="00D129CD" w:rsidP="00D129CD">
      <w:pPr>
        <w:rPr>
          <w:lang w:val="en-US"/>
        </w:rPr>
      </w:pPr>
      <w:r w:rsidRPr="00746686">
        <w:rPr>
          <w:lang w:val="en-US"/>
        </w:rPr>
        <w:t xml:space="preserve">The decrease of the estimated general government balance compared to the previous year is mainly attributed to the inclusion of new, growth enhancive and supporting policy measures, that amount to 0.7% of GDP and were announced by the Prime Minister </w:t>
      </w:r>
      <w:r>
        <w:rPr>
          <w:lang w:val="en-US"/>
        </w:rPr>
        <w:t>during</w:t>
      </w:r>
      <w:r w:rsidRPr="00746686">
        <w:rPr>
          <w:lang w:val="en-US"/>
        </w:rPr>
        <w:t xml:space="preserve"> the Thessaloniki International Fair. Their adoption was enabled by the prudent fiscal policy followed and the effective tax evasion policies. They stand within the fiscal boundaries and targets of the new fiscal framework and are presented in detail in the following section.</w:t>
      </w:r>
    </w:p>
    <w:p w14:paraId="26B583C9" w14:textId="77777777" w:rsidR="00D129CD" w:rsidRPr="00746686" w:rsidRDefault="00D129CD" w:rsidP="00D129CD">
      <w:pPr>
        <w:rPr>
          <w:lang w:val="en-US"/>
        </w:rPr>
      </w:pPr>
      <w:r w:rsidRPr="00746686">
        <w:rPr>
          <w:lang w:val="en-US"/>
        </w:rPr>
        <w:t>The tax and social security contribution revenues continue to have a positive carry over effect and grow further in 2026, due to the robust growth of the economy. The additional revenues are expected to cover the typical annual increases of operational expenditure following the inflation, the yearly increase of pensions and public sector wages and other emerging needs. In addition, Greece is implementing a comprehensive military investment programme addressing current geopolitical needs, increasing the military deliveries by 0.2</w:t>
      </w:r>
      <w:r>
        <w:rPr>
          <w:lang w:val="en-US"/>
        </w:rPr>
        <w:t xml:space="preserve"> pp</w:t>
      </w:r>
      <w:r w:rsidRPr="00746686">
        <w:rPr>
          <w:lang w:val="en-US"/>
        </w:rPr>
        <w:t xml:space="preserve"> of GDP, compared to the previous year</w:t>
      </w:r>
      <w:r>
        <w:rPr>
          <w:lang w:val="en-US"/>
        </w:rPr>
        <w:t>.</w:t>
      </w:r>
    </w:p>
    <w:p w14:paraId="1C8D8A2B" w14:textId="44FA687A" w:rsidR="00D129CD" w:rsidRDefault="00D129CD" w:rsidP="00D129CD">
      <w:pPr>
        <w:pStyle w:val="ae"/>
      </w:pPr>
      <w:bookmarkStart w:id="40" w:name="_Toc211249680"/>
      <w:bookmarkStart w:id="41" w:name="_Toc211355097"/>
      <w:r>
        <w:t xml:space="preserve">Table </w:t>
      </w:r>
      <w:r>
        <w:fldChar w:fldCharType="begin"/>
      </w:r>
      <w:r>
        <w:instrText xml:space="preserve"> SEQ Table \* ARABIC </w:instrText>
      </w:r>
      <w:r>
        <w:fldChar w:fldCharType="separate"/>
      </w:r>
      <w:r w:rsidR="00AF0E6B">
        <w:rPr>
          <w:noProof/>
        </w:rPr>
        <w:t>3</w:t>
      </w:r>
      <w:r>
        <w:fldChar w:fldCharType="end"/>
      </w:r>
      <w:r>
        <w:t xml:space="preserve"> | </w:t>
      </w:r>
      <w:r w:rsidRPr="0046371D">
        <w:t xml:space="preserve">Main variables </w:t>
      </w:r>
      <w:r w:rsidRPr="0046371D">
        <w:rPr>
          <w:b w:val="0"/>
        </w:rPr>
        <w:t>(% GDP)</w:t>
      </w:r>
      <w:bookmarkEnd w:id="40"/>
      <w:bookmarkEnd w:id="41"/>
    </w:p>
    <w:tbl>
      <w:tblPr>
        <w:tblW w:w="8883" w:type="dxa"/>
        <w:jc w:val="center"/>
        <w:tblLook w:val="04A0" w:firstRow="1" w:lastRow="0" w:firstColumn="1" w:lastColumn="0" w:noHBand="0" w:noVBand="1"/>
      </w:tblPr>
      <w:tblGrid>
        <w:gridCol w:w="5103"/>
        <w:gridCol w:w="1260"/>
        <w:gridCol w:w="1260"/>
        <w:gridCol w:w="1260"/>
      </w:tblGrid>
      <w:tr w:rsidR="00D129CD" w:rsidRPr="00B50871" w14:paraId="558240AD" w14:textId="77777777" w:rsidTr="002D2C29">
        <w:trPr>
          <w:trHeight w:val="300"/>
          <w:jc w:val="center"/>
        </w:trPr>
        <w:tc>
          <w:tcPr>
            <w:tcW w:w="5103" w:type="dxa"/>
            <w:tcBorders>
              <w:top w:val="nil"/>
              <w:left w:val="nil"/>
              <w:bottom w:val="nil"/>
              <w:right w:val="nil"/>
            </w:tcBorders>
            <w:shd w:val="clear" w:color="000000" w:fill="BFBFBF"/>
            <w:vAlign w:val="center"/>
            <w:hideMark/>
          </w:tcPr>
          <w:p w14:paraId="7CFA466B" w14:textId="77777777" w:rsidR="00D129CD" w:rsidRPr="00B50871" w:rsidRDefault="00D129CD" w:rsidP="002D2C29">
            <w:pPr>
              <w:pStyle w:val="Tabletext"/>
              <w:rPr>
                <w:b/>
                <w:sz w:val="24"/>
              </w:rPr>
            </w:pPr>
            <w:r w:rsidRPr="00B50871">
              <w:rPr>
                <w:b/>
                <w:sz w:val="24"/>
              </w:rPr>
              <w:t> </w:t>
            </w:r>
          </w:p>
        </w:tc>
        <w:tc>
          <w:tcPr>
            <w:tcW w:w="1260" w:type="dxa"/>
            <w:tcBorders>
              <w:top w:val="nil"/>
              <w:left w:val="nil"/>
              <w:bottom w:val="nil"/>
              <w:right w:val="nil"/>
            </w:tcBorders>
            <w:shd w:val="clear" w:color="000000" w:fill="BFBFBF"/>
            <w:vAlign w:val="center"/>
            <w:hideMark/>
          </w:tcPr>
          <w:p w14:paraId="286C7CEB" w14:textId="77777777" w:rsidR="00D129CD" w:rsidRPr="00B50871" w:rsidRDefault="00D129CD" w:rsidP="002D2C29">
            <w:pPr>
              <w:pStyle w:val="Tabletext"/>
              <w:jc w:val="center"/>
              <w:rPr>
                <w:b/>
                <w:sz w:val="24"/>
              </w:rPr>
            </w:pPr>
            <w:r w:rsidRPr="00B50871">
              <w:rPr>
                <w:b/>
                <w:sz w:val="24"/>
              </w:rPr>
              <w:t>2024</w:t>
            </w:r>
          </w:p>
        </w:tc>
        <w:tc>
          <w:tcPr>
            <w:tcW w:w="1260" w:type="dxa"/>
            <w:tcBorders>
              <w:top w:val="nil"/>
              <w:left w:val="nil"/>
              <w:bottom w:val="nil"/>
              <w:right w:val="nil"/>
            </w:tcBorders>
            <w:shd w:val="clear" w:color="000000" w:fill="BFBFBF"/>
            <w:vAlign w:val="center"/>
            <w:hideMark/>
          </w:tcPr>
          <w:p w14:paraId="65011B8F" w14:textId="77777777" w:rsidR="00D129CD" w:rsidRPr="00B50871" w:rsidRDefault="00D129CD" w:rsidP="002D2C29">
            <w:pPr>
              <w:pStyle w:val="Tabletext"/>
              <w:jc w:val="center"/>
              <w:rPr>
                <w:b/>
                <w:sz w:val="24"/>
              </w:rPr>
            </w:pPr>
            <w:r w:rsidRPr="00B50871">
              <w:rPr>
                <w:b/>
                <w:sz w:val="24"/>
              </w:rPr>
              <w:t>2025</w:t>
            </w:r>
          </w:p>
        </w:tc>
        <w:tc>
          <w:tcPr>
            <w:tcW w:w="1260" w:type="dxa"/>
            <w:tcBorders>
              <w:top w:val="nil"/>
              <w:left w:val="nil"/>
              <w:bottom w:val="nil"/>
              <w:right w:val="nil"/>
            </w:tcBorders>
            <w:shd w:val="clear" w:color="000000" w:fill="BFBFBF"/>
            <w:vAlign w:val="center"/>
            <w:hideMark/>
          </w:tcPr>
          <w:p w14:paraId="768B3522" w14:textId="77777777" w:rsidR="00D129CD" w:rsidRPr="00B50871" w:rsidRDefault="00D129CD" w:rsidP="002D2C29">
            <w:pPr>
              <w:pStyle w:val="Tabletext"/>
              <w:jc w:val="center"/>
              <w:rPr>
                <w:b/>
                <w:sz w:val="24"/>
              </w:rPr>
            </w:pPr>
            <w:r w:rsidRPr="00B50871">
              <w:rPr>
                <w:b/>
                <w:sz w:val="24"/>
              </w:rPr>
              <w:t>2026</w:t>
            </w:r>
          </w:p>
        </w:tc>
      </w:tr>
      <w:tr w:rsidR="00D129CD" w:rsidRPr="0067680C" w14:paraId="510B042F" w14:textId="77777777" w:rsidTr="002D2C29">
        <w:trPr>
          <w:trHeight w:val="300"/>
          <w:jc w:val="center"/>
        </w:trPr>
        <w:tc>
          <w:tcPr>
            <w:tcW w:w="5103" w:type="dxa"/>
            <w:tcBorders>
              <w:top w:val="nil"/>
              <w:left w:val="nil"/>
              <w:bottom w:val="single" w:sz="4" w:space="0" w:color="FFFFFF"/>
              <w:right w:val="nil"/>
            </w:tcBorders>
            <w:shd w:val="clear" w:color="000000" w:fill="F2F2F2"/>
            <w:vAlign w:val="center"/>
            <w:hideMark/>
          </w:tcPr>
          <w:p w14:paraId="00F81946" w14:textId="77777777" w:rsidR="00D129CD" w:rsidRPr="0067680C" w:rsidRDefault="00D129CD" w:rsidP="002D2C29">
            <w:pPr>
              <w:pStyle w:val="Tabletext"/>
            </w:pPr>
            <w:r w:rsidRPr="0067680C">
              <w:t>1. Net lending/borrowing</w:t>
            </w:r>
          </w:p>
        </w:tc>
        <w:tc>
          <w:tcPr>
            <w:tcW w:w="1260" w:type="dxa"/>
            <w:tcBorders>
              <w:top w:val="nil"/>
              <w:left w:val="nil"/>
              <w:bottom w:val="single" w:sz="4" w:space="0" w:color="FFFFFF"/>
              <w:right w:val="nil"/>
            </w:tcBorders>
            <w:shd w:val="clear" w:color="000000" w:fill="F2F2F2"/>
            <w:vAlign w:val="center"/>
            <w:hideMark/>
          </w:tcPr>
          <w:p w14:paraId="48EE3F89" w14:textId="77777777" w:rsidR="00D129CD" w:rsidRPr="0067680C" w:rsidRDefault="00D129CD" w:rsidP="002D2C29">
            <w:pPr>
              <w:pStyle w:val="Tabletext"/>
              <w:jc w:val="center"/>
            </w:pPr>
            <w:r w:rsidRPr="0067680C">
              <w:t>1.3</w:t>
            </w:r>
          </w:p>
        </w:tc>
        <w:tc>
          <w:tcPr>
            <w:tcW w:w="1260" w:type="dxa"/>
            <w:tcBorders>
              <w:top w:val="nil"/>
              <w:left w:val="nil"/>
              <w:bottom w:val="single" w:sz="4" w:space="0" w:color="FFFFFF"/>
              <w:right w:val="nil"/>
            </w:tcBorders>
            <w:shd w:val="clear" w:color="000000" w:fill="F2F2F2"/>
            <w:vAlign w:val="center"/>
            <w:hideMark/>
          </w:tcPr>
          <w:p w14:paraId="770851F2" w14:textId="77777777" w:rsidR="00D129CD" w:rsidRPr="0067680C" w:rsidRDefault="00D129CD" w:rsidP="002D2C29">
            <w:pPr>
              <w:pStyle w:val="Tabletext"/>
              <w:jc w:val="center"/>
            </w:pPr>
            <w:r w:rsidRPr="0067680C">
              <w:t>0.6</w:t>
            </w:r>
          </w:p>
        </w:tc>
        <w:tc>
          <w:tcPr>
            <w:tcW w:w="1260" w:type="dxa"/>
            <w:tcBorders>
              <w:top w:val="nil"/>
              <w:left w:val="nil"/>
              <w:bottom w:val="single" w:sz="4" w:space="0" w:color="FFFFFF"/>
              <w:right w:val="nil"/>
            </w:tcBorders>
            <w:shd w:val="clear" w:color="000000" w:fill="F2F2F2"/>
            <w:vAlign w:val="center"/>
            <w:hideMark/>
          </w:tcPr>
          <w:p w14:paraId="153C9ACA" w14:textId="77777777" w:rsidR="00D129CD" w:rsidRPr="0067680C" w:rsidRDefault="00D129CD" w:rsidP="002D2C29">
            <w:pPr>
              <w:pStyle w:val="Tabletext"/>
              <w:jc w:val="center"/>
            </w:pPr>
            <w:r w:rsidRPr="0067680C">
              <w:t>-0.1</w:t>
            </w:r>
          </w:p>
        </w:tc>
      </w:tr>
      <w:tr w:rsidR="00D129CD" w:rsidRPr="0067680C" w14:paraId="7D7D490D" w14:textId="77777777" w:rsidTr="002D2C29">
        <w:trPr>
          <w:trHeight w:val="300"/>
          <w:jc w:val="center"/>
        </w:trPr>
        <w:tc>
          <w:tcPr>
            <w:tcW w:w="5103" w:type="dxa"/>
            <w:tcBorders>
              <w:top w:val="nil"/>
              <w:left w:val="nil"/>
              <w:bottom w:val="single" w:sz="4" w:space="0" w:color="FFFFFF"/>
              <w:right w:val="nil"/>
            </w:tcBorders>
            <w:shd w:val="clear" w:color="000000" w:fill="D9D9D9"/>
            <w:vAlign w:val="center"/>
            <w:hideMark/>
          </w:tcPr>
          <w:p w14:paraId="2EAC5FE2" w14:textId="77777777" w:rsidR="00D129CD" w:rsidRPr="0067680C" w:rsidRDefault="00D129CD" w:rsidP="002D2C29">
            <w:pPr>
              <w:pStyle w:val="Tabletext"/>
            </w:pPr>
            <w:r w:rsidRPr="0067680C">
              <w:t>2. Primary balance</w:t>
            </w:r>
          </w:p>
        </w:tc>
        <w:tc>
          <w:tcPr>
            <w:tcW w:w="1260" w:type="dxa"/>
            <w:tcBorders>
              <w:top w:val="nil"/>
              <w:left w:val="nil"/>
              <w:bottom w:val="single" w:sz="4" w:space="0" w:color="FFFFFF"/>
              <w:right w:val="nil"/>
            </w:tcBorders>
            <w:shd w:val="clear" w:color="000000" w:fill="D9D9D9"/>
            <w:vAlign w:val="center"/>
            <w:hideMark/>
          </w:tcPr>
          <w:p w14:paraId="25E72EA7" w14:textId="77777777" w:rsidR="00D129CD" w:rsidRPr="0067680C" w:rsidRDefault="00D129CD" w:rsidP="002D2C29">
            <w:pPr>
              <w:pStyle w:val="Tabletext"/>
              <w:jc w:val="center"/>
            </w:pPr>
            <w:r w:rsidRPr="0067680C">
              <w:t>4.8</w:t>
            </w:r>
          </w:p>
        </w:tc>
        <w:tc>
          <w:tcPr>
            <w:tcW w:w="1260" w:type="dxa"/>
            <w:tcBorders>
              <w:top w:val="nil"/>
              <w:left w:val="nil"/>
              <w:bottom w:val="single" w:sz="4" w:space="0" w:color="FFFFFF"/>
              <w:right w:val="nil"/>
            </w:tcBorders>
            <w:shd w:val="clear" w:color="000000" w:fill="D9D9D9"/>
            <w:vAlign w:val="center"/>
            <w:hideMark/>
          </w:tcPr>
          <w:p w14:paraId="30F5966F" w14:textId="77777777" w:rsidR="00D129CD" w:rsidRPr="0067680C" w:rsidRDefault="00D129CD" w:rsidP="002D2C29">
            <w:pPr>
              <w:pStyle w:val="Tabletext"/>
              <w:jc w:val="center"/>
            </w:pPr>
            <w:r w:rsidRPr="0067680C">
              <w:t>3.6</w:t>
            </w:r>
          </w:p>
        </w:tc>
        <w:tc>
          <w:tcPr>
            <w:tcW w:w="1260" w:type="dxa"/>
            <w:tcBorders>
              <w:top w:val="nil"/>
              <w:left w:val="nil"/>
              <w:bottom w:val="single" w:sz="4" w:space="0" w:color="FFFFFF"/>
              <w:right w:val="nil"/>
            </w:tcBorders>
            <w:shd w:val="clear" w:color="000000" w:fill="D9D9D9"/>
            <w:vAlign w:val="center"/>
            <w:hideMark/>
          </w:tcPr>
          <w:p w14:paraId="5898EB07" w14:textId="77777777" w:rsidR="00D129CD" w:rsidRPr="0067680C" w:rsidRDefault="00D129CD" w:rsidP="002D2C29">
            <w:pPr>
              <w:pStyle w:val="Tabletext"/>
              <w:jc w:val="center"/>
            </w:pPr>
            <w:r w:rsidRPr="0067680C">
              <w:t>2.8</w:t>
            </w:r>
          </w:p>
        </w:tc>
      </w:tr>
      <w:tr w:rsidR="00D129CD" w:rsidRPr="0067680C" w14:paraId="72C44759" w14:textId="77777777" w:rsidTr="002D2C29">
        <w:trPr>
          <w:trHeight w:val="300"/>
          <w:jc w:val="center"/>
        </w:trPr>
        <w:tc>
          <w:tcPr>
            <w:tcW w:w="5103" w:type="dxa"/>
            <w:tcBorders>
              <w:top w:val="nil"/>
              <w:left w:val="nil"/>
              <w:bottom w:val="single" w:sz="4" w:space="0" w:color="FFFFFF"/>
              <w:right w:val="nil"/>
            </w:tcBorders>
            <w:shd w:val="clear" w:color="000000" w:fill="F2F2F2"/>
            <w:vAlign w:val="center"/>
            <w:hideMark/>
          </w:tcPr>
          <w:p w14:paraId="4A686BF0" w14:textId="77777777" w:rsidR="00D129CD" w:rsidRPr="0067680C" w:rsidRDefault="00D129CD" w:rsidP="002D2C29">
            <w:pPr>
              <w:pStyle w:val="Tabletext"/>
            </w:pPr>
            <w:r w:rsidRPr="0067680C">
              <w:t>3. Structural balance</w:t>
            </w:r>
          </w:p>
        </w:tc>
        <w:tc>
          <w:tcPr>
            <w:tcW w:w="1260" w:type="dxa"/>
            <w:tcBorders>
              <w:top w:val="nil"/>
              <w:left w:val="nil"/>
              <w:bottom w:val="single" w:sz="4" w:space="0" w:color="FFFFFF"/>
              <w:right w:val="nil"/>
            </w:tcBorders>
            <w:shd w:val="clear" w:color="000000" w:fill="F2F2F2"/>
            <w:vAlign w:val="center"/>
            <w:hideMark/>
          </w:tcPr>
          <w:p w14:paraId="2301A58A" w14:textId="77777777" w:rsidR="00D129CD" w:rsidRPr="0067680C" w:rsidRDefault="00D129CD" w:rsidP="002D2C29">
            <w:pPr>
              <w:pStyle w:val="Tabletext"/>
              <w:jc w:val="center"/>
            </w:pPr>
            <w:r w:rsidRPr="0067680C">
              <w:t>0.6</w:t>
            </w:r>
          </w:p>
        </w:tc>
        <w:tc>
          <w:tcPr>
            <w:tcW w:w="1260" w:type="dxa"/>
            <w:tcBorders>
              <w:top w:val="nil"/>
              <w:left w:val="nil"/>
              <w:bottom w:val="single" w:sz="4" w:space="0" w:color="FFFFFF"/>
              <w:right w:val="nil"/>
            </w:tcBorders>
            <w:shd w:val="clear" w:color="000000" w:fill="F2F2F2"/>
            <w:vAlign w:val="center"/>
            <w:hideMark/>
          </w:tcPr>
          <w:p w14:paraId="11386053" w14:textId="77777777" w:rsidR="00D129CD" w:rsidRPr="0067680C" w:rsidRDefault="00D129CD" w:rsidP="002D2C29">
            <w:pPr>
              <w:pStyle w:val="Tabletext"/>
              <w:jc w:val="center"/>
            </w:pPr>
            <w:r w:rsidRPr="0067680C">
              <w:t>0.0</w:t>
            </w:r>
          </w:p>
        </w:tc>
        <w:tc>
          <w:tcPr>
            <w:tcW w:w="1260" w:type="dxa"/>
            <w:tcBorders>
              <w:top w:val="nil"/>
              <w:left w:val="nil"/>
              <w:bottom w:val="single" w:sz="4" w:space="0" w:color="FFFFFF"/>
              <w:right w:val="nil"/>
            </w:tcBorders>
            <w:shd w:val="clear" w:color="000000" w:fill="F2F2F2"/>
            <w:vAlign w:val="center"/>
            <w:hideMark/>
          </w:tcPr>
          <w:p w14:paraId="3AD404AD" w14:textId="77777777" w:rsidR="00D129CD" w:rsidRPr="0067680C" w:rsidRDefault="00D129CD" w:rsidP="002D2C29">
            <w:pPr>
              <w:pStyle w:val="Tabletext"/>
              <w:jc w:val="center"/>
            </w:pPr>
            <w:r w:rsidRPr="0067680C">
              <w:t>-0.9</w:t>
            </w:r>
          </w:p>
        </w:tc>
      </w:tr>
      <w:tr w:rsidR="00D129CD" w:rsidRPr="0067680C" w14:paraId="08D46F3A" w14:textId="77777777" w:rsidTr="002D2C29">
        <w:trPr>
          <w:trHeight w:val="300"/>
          <w:jc w:val="center"/>
        </w:trPr>
        <w:tc>
          <w:tcPr>
            <w:tcW w:w="5103" w:type="dxa"/>
            <w:tcBorders>
              <w:top w:val="nil"/>
              <w:left w:val="nil"/>
              <w:bottom w:val="single" w:sz="4" w:space="0" w:color="FFFFFF"/>
              <w:right w:val="nil"/>
            </w:tcBorders>
            <w:shd w:val="clear" w:color="000000" w:fill="D9D9D9"/>
            <w:vAlign w:val="center"/>
            <w:hideMark/>
          </w:tcPr>
          <w:p w14:paraId="6EF20DC0" w14:textId="77777777" w:rsidR="00D129CD" w:rsidRPr="0067680C" w:rsidRDefault="00D129CD" w:rsidP="002D2C29">
            <w:pPr>
              <w:pStyle w:val="Tabletext"/>
            </w:pPr>
            <w:r w:rsidRPr="0067680C">
              <w:t>4. Structural primary balance</w:t>
            </w:r>
          </w:p>
        </w:tc>
        <w:tc>
          <w:tcPr>
            <w:tcW w:w="1260" w:type="dxa"/>
            <w:tcBorders>
              <w:top w:val="nil"/>
              <w:left w:val="nil"/>
              <w:bottom w:val="single" w:sz="4" w:space="0" w:color="FFFFFF"/>
              <w:right w:val="nil"/>
            </w:tcBorders>
            <w:shd w:val="clear" w:color="000000" w:fill="D9D9D9"/>
            <w:vAlign w:val="center"/>
            <w:hideMark/>
          </w:tcPr>
          <w:p w14:paraId="570678A8" w14:textId="77777777" w:rsidR="00D129CD" w:rsidRPr="0067680C" w:rsidRDefault="00D129CD" w:rsidP="002D2C29">
            <w:pPr>
              <w:pStyle w:val="Tabletext"/>
              <w:jc w:val="center"/>
            </w:pPr>
            <w:r w:rsidRPr="0067680C">
              <w:t>4.0</w:t>
            </w:r>
          </w:p>
        </w:tc>
        <w:tc>
          <w:tcPr>
            <w:tcW w:w="1260" w:type="dxa"/>
            <w:tcBorders>
              <w:top w:val="nil"/>
              <w:left w:val="nil"/>
              <w:bottom w:val="single" w:sz="4" w:space="0" w:color="FFFFFF"/>
              <w:right w:val="nil"/>
            </w:tcBorders>
            <w:shd w:val="clear" w:color="000000" w:fill="D9D9D9"/>
            <w:vAlign w:val="center"/>
            <w:hideMark/>
          </w:tcPr>
          <w:p w14:paraId="2E4FB341" w14:textId="77777777" w:rsidR="00D129CD" w:rsidRPr="0067680C" w:rsidRDefault="00D129CD" w:rsidP="002D2C29">
            <w:pPr>
              <w:pStyle w:val="Tabletext"/>
              <w:jc w:val="center"/>
            </w:pPr>
            <w:r w:rsidRPr="0067680C">
              <w:t>3.0</w:t>
            </w:r>
          </w:p>
        </w:tc>
        <w:tc>
          <w:tcPr>
            <w:tcW w:w="1260" w:type="dxa"/>
            <w:tcBorders>
              <w:top w:val="nil"/>
              <w:left w:val="nil"/>
              <w:bottom w:val="single" w:sz="4" w:space="0" w:color="FFFFFF"/>
              <w:right w:val="nil"/>
            </w:tcBorders>
            <w:shd w:val="clear" w:color="000000" w:fill="D9D9D9"/>
            <w:vAlign w:val="center"/>
            <w:hideMark/>
          </w:tcPr>
          <w:p w14:paraId="429C7F82" w14:textId="77777777" w:rsidR="00D129CD" w:rsidRPr="0067680C" w:rsidRDefault="00D129CD" w:rsidP="002D2C29">
            <w:pPr>
              <w:pStyle w:val="Tabletext"/>
              <w:jc w:val="center"/>
            </w:pPr>
            <w:r w:rsidRPr="0067680C">
              <w:t>2.0</w:t>
            </w:r>
          </w:p>
        </w:tc>
      </w:tr>
      <w:tr w:rsidR="00D129CD" w:rsidRPr="0067680C" w14:paraId="1FA6C1C9" w14:textId="77777777" w:rsidTr="002D2C29">
        <w:trPr>
          <w:trHeight w:val="300"/>
          <w:jc w:val="center"/>
        </w:trPr>
        <w:tc>
          <w:tcPr>
            <w:tcW w:w="5103" w:type="dxa"/>
            <w:tcBorders>
              <w:top w:val="nil"/>
              <w:left w:val="nil"/>
              <w:bottom w:val="single" w:sz="4" w:space="0" w:color="FFFFFF"/>
              <w:right w:val="nil"/>
            </w:tcBorders>
            <w:shd w:val="clear" w:color="000000" w:fill="F2F2F2"/>
            <w:vAlign w:val="center"/>
            <w:hideMark/>
          </w:tcPr>
          <w:p w14:paraId="58BBC51B" w14:textId="77777777" w:rsidR="00D129CD" w:rsidRPr="0067680C" w:rsidRDefault="00D129CD" w:rsidP="002D2C29">
            <w:pPr>
              <w:pStyle w:val="Tabletext"/>
            </w:pPr>
            <w:r w:rsidRPr="0067680C">
              <w:t>5. Gross debt</w:t>
            </w:r>
          </w:p>
        </w:tc>
        <w:tc>
          <w:tcPr>
            <w:tcW w:w="1260" w:type="dxa"/>
            <w:tcBorders>
              <w:top w:val="nil"/>
              <w:left w:val="nil"/>
              <w:bottom w:val="single" w:sz="4" w:space="0" w:color="FFFFFF"/>
              <w:right w:val="nil"/>
            </w:tcBorders>
            <w:shd w:val="clear" w:color="000000" w:fill="F2F2F2"/>
            <w:vAlign w:val="center"/>
            <w:hideMark/>
          </w:tcPr>
          <w:p w14:paraId="36859020" w14:textId="77777777" w:rsidR="00D129CD" w:rsidRPr="0067680C" w:rsidRDefault="00D129CD" w:rsidP="002D2C29">
            <w:pPr>
              <w:pStyle w:val="Tabletext"/>
              <w:jc w:val="center"/>
            </w:pPr>
            <w:r w:rsidRPr="0067680C">
              <w:t>153.6</w:t>
            </w:r>
          </w:p>
        </w:tc>
        <w:tc>
          <w:tcPr>
            <w:tcW w:w="1260" w:type="dxa"/>
            <w:tcBorders>
              <w:top w:val="nil"/>
              <w:left w:val="nil"/>
              <w:bottom w:val="single" w:sz="4" w:space="0" w:color="FFFFFF"/>
              <w:right w:val="nil"/>
            </w:tcBorders>
            <w:shd w:val="clear" w:color="000000" w:fill="F2F2F2"/>
            <w:vAlign w:val="center"/>
            <w:hideMark/>
          </w:tcPr>
          <w:p w14:paraId="3CF6E402" w14:textId="77777777" w:rsidR="00D129CD" w:rsidRPr="0067680C" w:rsidRDefault="00D129CD" w:rsidP="002D2C29">
            <w:pPr>
              <w:pStyle w:val="Tabletext"/>
              <w:jc w:val="center"/>
            </w:pPr>
            <w:r w:rsidRPr="0067680C">
              <w:t>145.4</w:t>
            </w:r>
          </w:p>
        </w:tc>
        <w:tc>
          <w:tcPr>
            <w:tcW w:w="1260" w:type="dxa"/>
            <w:tcBorders>
              <w:top w:val="nil"/>
              <w:left w:val="nil"/>
              <w:bottom w:val="single" w:sz="4" w:space="0" w:color="FFFFFF"/>
              <w:right w:val="nil"/>
            </w:tcBorders>
            <w:shd w:val="clear" w:color="000000" w:fill="F2F2F2"/>
            <w:vAlign w:val="center"/>
            <w:hideMark/>
          </w:tcPr>
          <w:p w14:paraId="6695E609" w14:textId="77777777" w:rsidR="00D129CD" w:rsidRPr="0067680C" w:rsidRDefault="00D129CD" w:rsidP="002D2C29">
            <w:pPr>
              <w:pStyle w:val="Tabletext"/>
              <w:jc w:val="center"/>
            </w:pPr>
            <w:r w:rsidRPr="0067680C">
              <w:t>137.6</w:t>
            </w:r>
          </w:p>
        </w:tc>
      </w:tr>
      <w:tr w:rsidR="00D129CD" w:rsidRPr="0067680C" w14:paraId="092DA617" w14:textId="77777777" w:rsidTr="002D2C29">
        <w:trPr>
          <w:trHeight w:val="300"/>
          <w:jc w:val="center"/>
        </w:trPr>
        <w:tc>
          <w:tcPr>
            <w:tcW w:w="5103" w:type="dxa"/>
            <w:tcBorders>
              <w:top w:val="single" w:sz="4" w:space="0" w:color="FFFFFF"/>
              <w:left w:val="nil"/>
              <w:bottom w:val="single" w:sz="18" w:space="0" w:color="4F81BD" w:themeColor="accent1"/>
              <w:right w:val="nil"/>
            </w:tcBorders>
            <w:shd w:val="clear" w:color="000000" w:fill="D9D9D9"/>
            <w:vAlign w:val="center"/>
            <w:hideMark/>
          </w:tcPr>
          <w:p w14:paraId="5B64FFAE" w14:textId="77777777" w:rsidR="00D129CD" w:rsidRPr="0067680C" w:rsidRDefault="00D129CD" w:rsidP="002D2C29">
            <w:pPr>
              <w:pStyle w:val="Tabletext"/>
            </w:pPr>
            <w:r w:rsidRPr="0067680C">
              <w:t>6. Change in gross debt</w:t>
            </w:r>
          </w:p>
        </w:tc>
        <w:tc>
          <w:tcPr>
            <w:tcW w:w="1260" w:type="dxa"/>
            <w:tcBorders>
              <w:top w:val="single" w:sz="4" w:space="0" w:color="FFFFFF"/>
              <w:left w:val="nil"/>
              <w:bottom w:val="single" w:sz="18" w:space="0" w:color="4F81BD" w:themeColor="accent1"/>
              <w:right w:val="nil"/>
            </w:tcBorders>
            <w:shd w:val="clear" w:color="000000" w:fill="D9D9D9"/>
            <w:vAlign w:val="center"/>
            <w:hideMark/>
          </w:tcPr>
          <w:p w14:paraId="4CB190E0" w14:textId="77777777" w:rsidR="00D129CD" w:rsidRPr="0067680C" w:rsidRDefault="00D129CD" w:rsidP="002D2C29">
            <w:pPr>
              <w:pStyle w:val="Tabletext"/>
              <w:jc w:val="center"/>
            </w:pPr>
            <w:r w:rsidRPr="0067680C">
              <w:t>-10.3</w:t>
            </w:r>
          </w:p>
        </w:tc>
        <w:tc>
          <w:tcPr>
            <w:tcW w:w="1260" w:type="dxa"/>
            <w:tcBorders>
              <w:top w:val="single" w:sz="4" w:space="0" w:color="FFFFFF"/>
              <w:left w:val="nil"/>
              <w:bottom w:val="single" w:sz="18" w:space="0" w:color="4F81BD" w:themeColor="accent1"/>
              <w:right w:val="nil"/>
            </w:tcBorders>
            <w:shd w:val="clear" w:color="000000" w:fill="D9D9D9"/>
            <w:vAlign w:val="center"/>
            <w:hideMark/>
          </w:tcPr>
          <w:p w14:paraId="530FB2F9" w14:textId="77777777" w:rsidR="00D129CD" w:rsidRPr="0067680C" w:rsidRDefault="00D129CD" w:rsidP="002D2C29">
            <w:pPr>
              <w:pStyle w:val="Tabletext"/>
              <w:jc w:val="center"/>
            </w:pPr>
            <w:r w:rsidRPr="0067680C">
              <w:t>-8.2</w:t>
            </w:r>
          </w:p>
        </w:tc>
        <w:tc>
          <w:tcPr>
            <w:tcW w:w="1260" w:type="dxa"/>
            <w:tcBorders>
              <w:top w:val="single" w:sz="4" w:space="0" w:color="FFFFFF"/>
              <w:left w:val="nil"/>
              <w:bottom w:val="single" w:sz="18" w:space="0" w:color="4F81BD" w:themeColor="accent1"/>
              <w:right w:val="nil"/>
            </w:tcBorders>
            <w:shd w:val="clear" w:color="000000" w:fill="D9D9D9"/>
            <w:vAlign w:val="center"/>
            <w:hideMark/>
          </w:tcPr>
          <w:p w14:paraId="1C51CCE1" w14:textId="77777777" w:rsidR="00D129CD" w:rsidRPr="0067680C" w:rsidRDefault="00D129CD" w:rsidP="002D2C29">
            <w:pPr>
              <w:pStyle w:val="Tabletext"/>
              <w:jc w:val="center"/>
            </w:pPr>
            <w:r w:rsidRPr="0067680C">
              <w:t>-7.8</w:t>
            </w:r>
          </w:p>
        </w:tc>
      </w:tr>
    </w:tbl>
    <w:p w14:paraId="3749655F" w14:textId="77777777" w:rsidR="00D129CD" w:rsidRDefault="00D129CD" w:rsidP="00D129CD">
      <w:pPr>
        <w:pStyle w:val="2"/>
        <w:numPr>
          <w:ilvl w:val="1"/>
          <w:numId w:val="2"/>
        </w:numPr>
        <w:spacing w:before="720" w:after="240"/>
        <w:ind w:left="567" w:hanging="567"/>
        <w:rPr>
          <w:lang w:val="en-US"/>
        </w:rPr>
      </w:pPr>
      <w:bookmarkStart w:id="42" w:name="_Toc211249667"/>
      <w:bookmarkStart w:id="43" w:name="_Toc211418440"/>
      <w:r>
        <w:rPr>
          <w:lang w:val="en-US"/>
        </w:rPr>
        <w:t>Net expenditure growth</w:t>
      </w:r>
      <w:bookmarkEnd w:id="42"/>
      <w:bookmarkEnd w:id="43"/>
    </w:p>
    <w:p w14:paraId="15C2BD03" w14:textId="77777777" w:rsidR="00D129CD" w:rsidRPr="00B50871" w:rsidRDefault="00D129CD" w:rsidP="00D129CD">
      <w:pPr>
        <w:rPr>
          <w:lang w:val="en-US"/>
        </w:rPr>
      </w:pPr>
      <w:r w:rsidRPr="00B50871">
        <w:rPr>
          <w:lang w:val="en-US"/>
        </w:rPr>
        <w:t>The reformed European economic governance framework entered into force in April 2024. In July 2025, Greece completed the transposition of the relevant Directive into its national law. In the new framework, the net expenditure indicator plays a central role, as it has become the single operational reference for fiscal surveillance, anchored in debt sustainability.</w:t>
      </w:r>
    </w:p>
    <w:p w14:paraId="6AD9EB36" w14:textId="77777777" w:rsidR="00D129CD" w:rsidRDefault="00D129CD" w:rsidP="00D129CD">
      <w:pPr>
        <w:rPr>
          <w:lang w:val="en-US"/>
        </w:rPr>
      </w:pPr>
      <w:r w:rsidRPr="00B50871">
        <w:rPr>
          <w:lang w:val="en-US"/>
        </w:rPr>
        <w:t>It should be noted that</w:t>
      </w:r>
      <w:r>
        <w:rPr>
          <w:lang w:val="en-US"/>
        </w:rPr>
        <w:t>,</w:t>
      </w:r>
      <w:r w:rsidRPr="00B50871">
        <w:rPr>
          <w:lang w:val="en-US"/>
        </w:rPr>
        <w:t xml:space="preserve"> after the relevant Council recommendation</w:t>
      </w:r>
      <w:r>
        <w:rPr>
          <w:lang w:val="en-US"/>
        </w:rPr>
        <w:t>,</w:t>
      </w:r>
      <w:r w:rsidRPr="00B50871">
        <w:rPr>
          <w:lang w:val="en-US"/>
        </w:rPr>
        <w:t xml:space="preserve"> Greece activated the national escape clause that allows the deviation from the maximum growth rates of net expenditure set, to the extent of the increase of defence expenditure compared to the relevant expenditure of 2024</w:t>
      </w:r>
      <w:r>
        <w:rPr>
          <w:lang w:val="en-US"/>
        </w:rPr>
        <w:t>, as percentage of GDP</w:t>
      </w:r>
      <w:r w:rsidRPr="00B50871">
        <w:rPr>
          <w:lang w:val="en-US"/>
        </w:rPr>
        <w:t>.</w:t>
      </w:r>
    </w:p>
    <w:p w14:paraId="45216FA0" w14:textId="77777777" w:rsidR="00D129CD" w:rsidRDefault="00D129CD" w:rsidP="00D129CD">
      <w:pPr>
        <w:rPr>
          <w:lang w:val="en-US"/>
        </w:rPr>
      </w:pPr>
      <w:r w:rsidRPr="00B50871">
        <w:rPr>
          <w:lang w:val="en-US"/>
        </w:rPr>
        <w:t xml:space="preserve">For 2024, the net expenditure </w:t>
      </w:r>
      <w:r>
        <w:rPr>
          <w:lang w:val="en-US"/>
        </w:rPr>
        <w:t>change</w:t>
      </w:r>
      <w:r w:rsidRPr="00B50871">
        <w:rPr>
          <w:lang w:val="en-US"/>
        </w:rPr>
        <w:t xml:space="preserve"> is estimated at -0.4%, while the maximum growth rate recommended by the Council was +2.6%. The 2024 net expenditure level was affected by both the lower than anticipated general government spending and the inclusion of discretionary </w:t>
      </w:r>
      <w:r w:rsidRPr="00B50871">
        <w:rPr>
          <w:lang w:val="en-US"/>
        </w:rPr>
        <w:lastRenderedPageBreak/>
        <w:t xml:space="preserve">revenue measures that significantly increased tax compliance, such as the interconnection of POS with </w:t>
      </w:r>
      <w:r>
        <w:rPr>
          <w:lang w:val="en-US"/>
        </w:rPr>
        <w:t>cash register</w:t>
      </w:r>
      <w:r w:rsidRPr="00B50871">
        <w:rPr>
          <w:lang w:val="en-US"/>
        </w:rPr>
        <w:t xml:space="preserve"> machines and tax authorities, the full application of the “myDATA” platform and electronic invoices</w:t>
      </w:r>
      <w:r>
        <w:rPr>
          <w:lang w:val="en-US"/>
        </w:rPr>
        <w:t>, the digital labour card</w:t>
      </w:r>
      <w:r w:rsidRPr="00B50871">
        <w:rPr>
          <w:lang w:val="en-US"/>
        </w:rPr>
        <w:t xml:space="preserve"> and others.</w:t>
      </w:r>
    </w:p>
    <w:p w14:paraId="2EC43474" w14:textId="73E57BEA" w:rsidR="00D129CD" w:rsidRDefault="00D129CD" w:rsidP="00D129CD">
      <w:pPr>
        <w:pStyle w:val="ae"/>
      </w:pPr>
      <w:bookmarkStart w:id="44" w:name="_Toc211249681"/>
      <w:bookmarkStart w:id="45" w:name="_Toc211355098"/>
      <w:r>
        <w:t xml:space="preserve">Table </w:t>
      </w:r>
      <w:r>
        <w:fldChar w:fldCharType="begin"/>
      </w:r>
      <w:r>
        <w:instrText xml:space="preserve"> SEQ Table \* ARABIC </w:instrText>
      </w:r>
      <w:r>
        <w:fldChar w:fldCharType="separate"/>
      </w:r>
      <w:r w:rsidR="00AF0E6B">
        <w:rPr>
          <w:noProof/>
        </w:rPr>
        <w:t>4</w:t>
      </w:r>
      <w:r>
        <w:fldChar w:fldCharType="end"/>
      </w:r>
      <w:r>
        <w:rPr>
          <w:lang w:val="el-GR"/>
        </w:rPr>
        <w:t xml:space="preserve"> | </w:t>
      </w:r>
      <w:r w:rsidRPr="00752241">
        <w:t>Fiscal commitments</w:t>
      </w:r>
      <w:bookmarkEnd w:id="44"/>
      <w:bookmarkEnd w:id="45"/>
    </w:p>
    <w:tbl>
      <w:tblPr>
        <w:tblW w:w="8930" w:type="dxa"/>
        <w:jc w:val="center"/>
        <w:tblLook w:val="04A0" w:firstRow="1" w:lastRow="0" w:firstColumn="1" w:lastColumn="0" w:noHBand="0" w:noVBand="1"/>
      </w:tblPr>
      <w:tblGrid>
        <w:gridCol w:w="5812"/>
        <w:gridCol w:w="992"/>
        <w:gridCol w:w="1134"/>
        <w:gridCol w:w="992"/>
      </w:tblGrid>
      <w:tr w:rsidR="00D129CD" w:rsidRPr="00B50871" w14:paraId="505A76D5" w14:textId="77777777" w:rsidTr="002D2C29">
        <w:trPr>
          <w:trHeight w:val="284"/>
          <w:jc w:val="center"/>
        </w:trPr>
        <w:tc>
          <w:tcPr>
            <w:tcW w:w="5812" w:type="dxa"/>
            <w:tcBorders>
              <w:top w:val="nil"/>
              <w:left w:val="nil"/>
              <w:bottom w:val="nil"/>
              <w:right w:val="nil"/>
            </w:tcBorders>
            <w:shd w:val="clear" w:color="000000" w:fill="BFBFBF"/>
            <w:vAlign w:val="center"/>
            <w:hideMark/>
          </w:tcPr>
          <w:p w14:paraId="381D0C20" w14:textId="77777777" w:rsidR="00D129CD" w:rsidRPr="00B50871" w:rsidRDefault="00D129CD" w:rsidP="002D2C29">
            <w:pPr>
              <w:pStyle w:val="Tabletext"/>
              <w:rPr>
                <w:b/>
                <w:sz w:val="24"/>
              </w:rPr>
            </w:pPr>
            <w:r w:rsidRPr="00B50871">
              <w:rPr>
                <w:b/>
                <w:sz w:val="24"/>
              </w:rPr>
              <w:t> </w:t>
            </w:r>
          </w:p>
        </w:tc>
        <w:tc>
          <w:tcPr>
            <w:tcW w:w="992" w:type="dxa"/>
            <w:tcBorders>
              <w:top w:val="nil"/>
              <w:left w:val="nil"/>
              <w:bottom w:val="nil"/>
              <w:right w:val="nil"/>
            </w:tcBorders>
            <w:shd w:val="clear" w:color="000000" w:fill="BFBFBF"/>
            <w:vAlign w:val="center"/>
            <w:hideMark/>
          </w:tcPr>
          <w:p w14:paraId="4D66F420" w14:textId="77777777" w:rsidR="00D129CD" w:rsidRPr="00B50871" w:rsidRDefault="00D129CD" w:rsidP="002D2C29">
            <w:pPr>
              <w:pStyle w:val="Tabletext"/>
              <w:jc w:val="center"/>
              <w:rPr>
                <w:b/>
                <w:sz w:val="24"/>
              </w:rPr>
            </w:pPr>
            <w:r w:rsidRPr="00B50871">
              <w:rPr>
                <w:b/>
                <w:sz w:val="24"/>
              </w:rPr>
              <w:t>2024</w:t>
            </w:r>
          </w:p>
        </w:tc>
        <w:tc>
          <w:tcPr>
            <w:tcW w:w="1134" w:type="dxa"/>
            <w:tcBorders>
              <w:top w:val="nil"/>
              <w:left w:val="nil"/>
              <w:bottom w:val="nil"/>
              <w:right w:val="nil"/>
            </w:tcBorders>
            <w:shd w:val="clear" w:color="000000" w:fill="BFBFBF"/>
            <w:vAlign w:val="center"/>
            <w:hideMark/>
          </w:tcPr>
          <w:p w14:paraId="01B05AED" w14:textId="77777777" w:rsidR="00D129CD" w:rsidRPr="00B50871" w:rsidRDefault="00D129CD" w:rsidP="002D2C29">
            <w:pPr>
              <w:pStyle w:val="Tabletext"/>
              <w:jc w:val="center"/>
              <w:rPr>
                <w:b/>
                <w:sz w:val="24"/>
              </w:rPr>
            </w:pPr>
            <w:r w:rsidRPr="00B50871">
              <w:rPr>
                <w:b/>
                <w:sz w:val="24"/>
              </w:rPr>
              <w:t>2025</w:t>
            </w:r>
          </w:p>
        </w:tc>
        <w:tc>
          <w:tcPr>
            <w:tcW w:w="992" w:type="dxa"/>
            <w:tcBorders>
              <w:top w:val="nil"/>
              <w:left w:val="nil"/>
              <w:bottom w:val="nil"/>
              <w:right w:val="nil"/>
            </w:tcBorders>
            <w:shd w:val="clear" w:color="000000" w:fill="BFBFBF"/>
            <w:vAlign w:val="center"/>
            <w:hideMark/>
          </w:tcPr>
          <w:p w14:paraId="659CEDC4" w14:textId="77777777" w:rsidR="00D129CD" w:rsidRPr="00B50871" w:rsidRDefault="00D129CD" w:rsidP="002D2C29">
            <w:pPr>
              <w:pStyle w:val="Tabletext"/>
              <w:jc w:val="center"/>
              <w:rPr>
                <w:b/>
                <w:sz w:val="24"/>
              </w:rPr>
            </w:pPr>
            <w:r w:rsidRPr="00B50871">
              <w:rPr>
                <w:b/>
                <w:sz w:val="24"/>
              </w:rPr>
              <w:t>2026</w:t>
            </w:r>
          </w:p>
        </w:tc>
      </w:tr>
      <w:tr w:rsidR="00D129CD" w:rsidRPr="00B50871" w14:paraId="72B89688" w14:textId="77777777" w:rsidTr="002D2C29">
        <w:trPr>
          <w:trHeight w:val="284"/>
          <w:jc w:val="center"/>
        </w:trPr>
        <w:tc>
          <w:tcPr>
            <w:tcW w:w="5812" w:type="dxa"/>
            <w:tcBorders>
              <w:top w:val="nil"/>
              <w:left w:val="nil"/>
              <w:bottom w:val="nil"/>
              <w:right w:val="nil"/>
            </w:tcBorders>
            <w:shd w:val="clear" w:color="000000" w:fill="BFBFBF"/>
            <w:vAlign w:val="center"/>
            <w:hideMark/>
          </w:tcPr>
          <w:p w14:paraId="398DB92C" w14:textId="77777777" w:rsidR="00D129CD" w:rsidRPr="00B50871" w:rsidRDefault="00D129CD" w:rsidP="002D2C29">
            <w:pPr>
              <w:pStyle w:val="Tabletext"/>
              <w:rPr>
                <w:b/>
                <w:sz w:val="24"/>
              </w:rPr>
            </w:pPr>
            <w:r w:rsidRPr="00B50871">
              <w:rPr>
                <w:b/>
                <w:sz w:val="24"/>
              </w:rPr>
              <w:t>Council recommendation</w:t>
            </w:r>
          </w:p>
        </w:tc>
        <w:tc>
          <w:tcPr>
            <w:tcW w:w="992" w:type="dxa"/>
            <w:tcBorders>
              <w:top w:val="nil"/>
              <w:left w:val="nil"/>
              <w:bottom w:val="nil"/>
              <w:right w:val="nil"/>
            </w:tcBorders>
            <w:shd w:val="clear" w:color="000000" w:fill="C0C0C0"/>
            <w:noWrap/>
            <w:vAlign w:val="center"/>
            <w:hideMark/>
          </w:tcPr>
          <w:p w14:paraId="0D05A720" w14:textId="77777777" w:rsidR="00D129CD" w:rsidRPr="00B50871" w:rsidRDefault="00D129CD" w:rsidP="002D2C29">
            <w:pPr>
              <w:pStyle w:val="Tabletext"/>
              <w:jc w:val="center"/>
              <w:rPr>
                <w:b/>
                <w:sz w:val="24"/>
              </w:rPr>
            </w:pPr>
          </w:p>
        </w:tc>
        <w:tc>
          <w:tcPr>
            <w:tcW w:w="1134" w:type="dxa"/>
            <w:tcBorders>
              <w:top w:val="nil"/>
              <w:left w:val="nil"/>
              <w:bottom w:val="nil"/>
              <w:right w:val="nil"/>
            </w:tcBorders>
            <w:shd w:val="clear" w:color="000000" w:fill="C0C0C0"/>
            <w:noWrap/>
            <w:vAlign w:val="center"/>
            <w:hideMark/>
          </w:tcPr>
          <w:p w14:paraId="2CE93DCF" w14:textId="77777777" w:rsidR="00D129CD" w:rsidRPr="00B50871" w:rsidRDefault="00D129CD" w:rsidP="002D2C29">
            <w:pPr>
              <w:pStyle w:val="Tabletext"/>
              <w:jc w:val="center"/>
              <w:rPr>
                <w:b/>
                <w:sz w:val="24"/>
              </w:rPr>
            </w:pPr>
          </w:p>
        </w:tc>
        <w:tc>
          <w:tcPr>
            <w:tcW w:w="992" w:type="dxa"/>
            <w:tcBorders>
              <w:top w:val="nil"/>
              <w:left w:val="nil"/>
              <w:bottom w:val="nil"/>
              <w:right w:val="nil"/>
            </w:tcBorders>
            <w:shd w:val="clear" w:color="000000" w:fill="C0C0C0"/>
            <w:noWrap/>
            <w:vAlign w:val="center"/>
            <w:hideMark/>
          </w:tcPr>
          <w:p w14:paraId="0AF4F71C" w14:textId="77777777" w:rsidR="00D129CD" w:rsidRPr="00B50871" w:rsidRDefault="00D129CD" w:rsidP="002D2C29">
            <w:pPr>
              <w:pStyle w:val="Tabletext"/>
              <w:jc w:val="center"/>
              <w:rPr>
                <w:b/>
                <w:sz w:val="24"/>
              </w:rPr>
            </w:pPr>
          </w:p>
        </w:tc>
      </w:tr>
      <w:tr w:rsidR="00D129CD" w:rsidRPr="0067680C" w14:paraId="54759E84" w14:textId="77777777" w:rsidTr="002D2C29">
        <w:trPr>
          <w:trHeight w:val="284"/>
          <w:jc w:val="center"/>
        </w:trPr>
        <w:tc>
          <w:tcPr>
            <w:tcW w:w="5812" w:type="dxa"/>
            <w:tcBorders>
              <w:top w:val="nil"/>
              <w:left w:val="nil"/>
              <w:bottom w:val="single" w:sz="4" w:space="0" w:color="FFFFFF"/>
              <w:right w:val="nil"/>
            </w:tcBorders>
            <w:shd w:val="clear" w:color="000000" w:fill="F2F2F2"/>
            <w:vAlign w:val="center"/>
            <w:hideMark/>
          </w:tcPr>
          <w:p w14:paraId="2E73C370" w14:textId="77777777" w:rsidR="00D129CD" w:rsidRPr="0067680C" w:rsidRDefault="00D129CD" w:rsidP="002D2C29">
            <w:pPr>
              <w:pStyle w:val="Tabletext"/>
            </w:pPr>
            <w:r w:rsidRPr="0067680C">
              <w:t xml:space="preserve">1a. Net nationally financed primary expenditure </w:t>
            </w:r>
            <w:r w:rsidRPr="0067680C">
              <w:br/>
              <w:t>(annual growth rate)</w:t>
            </w:r>
          </w:p>
        </w:tc>
        <w:tc>
          <w:tcPr>
            <w:tcW w:w="992" w:type="dxa"/>
            <w:tcBorders>
              <w:top w:val="nil"/>
              <w:left w:val="nil"/>
              <w:bottom w:val="single" w:sz="4" w:space="0" w:color="FFFFFF"/>
              <w:right w:val="nil"/>
            </w:tcBorders>
            <w:shd w:val="clear" w:color="000000" w:fill="F2F2F2"/>
            <w:vAlign w:val="center"/>
            <w:hideMark/>
          </w:tcPr>
          <w:p w14:paraId="2A1D660C" w14:textId="77777777" w:rsidR="00D129CD" w:rsidRPr="0067680C" w:rsidRDefault="00D129CD" w:rsidP="002D2C29">
            <w:pPr>
              <w:pStyle w:val="Tabletext"/>
              <w:jc w:val="center"/>
            </w:pPr>
            <w:r w:rsidRPr="0067680C">
              <w:t>2.6</w:t>
            </w:r>
          </w:p>
        </w:tc>
        <w:tc>
          <w:tcPr>
            <w:tcW w:w="1134" w:type="dxa"/>
            <w:tcBorders>
              <w:top w:val="nil"/>
              <w:left w:val="nil"/>
              <w:bottom w:val="single" w:sz="4" w:space="0" w:color="FFFFFF"/>
              <w:right w:val="nil"/>
            </w:tcBorders>
            <w:shd w:val="clear" w:color="000000" w:fill="F2F2F2"/>
            <w:vAlign w:val="center"/>
            <w:hideMark/>
          </w:tcPr>
          <w:p w14:paraId="44E0A357" w14:textId="77777777" w:rsidR="00D129CD" w:rsidRPr="0067680C" w:rsidRDefault="00D129CD" w:rsidP="002D2C29">
            <w:pPr>
              <w:pStyle w:val="Tabletext"/>
              <w:jc w:val="center"/>
            </w:pPr>
            <w:r w:rsidRPr="0067680C">
              <w:t>3.7</w:t>
            </w:r>
          </w:p>
        </w:tc>
        <w:tc>
          <w:tcPr>
            <w:tcW w:w="992" w:type="dxa"/>
            <w:tcBorders>
              <w:top w:val="nil"/>
              <w:left w:val="nil"/>
              <w:bottom w:val="single" w:sz="4" w:space="0" w:color="FFFFFF"/>
              <w:right w:val="nil"/>
            </w:tcBorders>
            <w:shd w:val="clear" w:color="000000" w:fill="F2F2F2"/>
            <w:vAlign w:val="center"/>
            <w:hideMark/>
          </w:tcPr>
          <w:p w14:paraId="78E7174B" w14:textId="77777777" w:rsidR="00D129CD" w:rsidRPr="0067680C" w:rsidRDefault="00D129CD" w:rsidP="002D2C29">
            <w:pPr>
              <w:pStyle w:val="Tabletext"/>
              <w:jc w:val="center"/>
            </w:pPr>
            <w:r w:rsidRPr="0067680C">
              <w:t>3.6</w:t>
            </w:r>
          </w:p>
        </w:tc>
      </w:tr>
      <w:tr w:rsidR="00D129CD" w:rsidRPr="00B50871" w14:paraId="23B3B6E5" w14:textId="77777777" w:rsidTr="002D2C29">
        <w:trPr>
          <w:trHeight w:val="284"/>
          <w:jc w:val="center"/>
        </w:trPr>
        <w:tc>
          <w:tcPr>
            <w:tcW w:w="5812" w:type="dxa"/>
            <w:tcBorders>
              <w:top w:val="nil"/>
              <w:left w:val="nil"/>
              <w:bottom w:val="nil"/>
              <w:right w:val="nil"/>
            </w:tcBorders>
            <w:shd w:val="clear" w:color="000000" w:fill="BFBFBF"/>
            <w:vAlign w:val="center"/>
            <w:hideMark/>
          </w:tcPr>
          <w:p w14:paraId="3F4F1AF9" w14:textId="77777777" w:rsidR="00D129CD" w:rsidRPr="00B50871" w:rsidRDefault="00D129CD" w:rsidP="002D2C29">
            <w:pPr>
              <w:pStyle w:val="Tabletext"/>
              <w:rPr>
                <w:b/>
                <w:sz w:val="24"/>
              </w:rPr>
            </w:pPr>
            <w:r w:rsidRPr="00B50871">
              <w:rPr>
                <w:b/>
                <w:sz w:val="24"/>
              </w:rPr>
              <w:t>Outturn / projection</w:t>
            </w:r>
          </w:p>
        </w:tc>
        <w:tc>
          <w:tcPr>
            <w:tcW w:w="992" w:type="dxa"/>
            <w:tcBorders>
              <w:top w:val="nil"/>
              <w:left w:val="nil"/>
              <w:bottom w:val="nil"/>
              <w:right w:val="nil"/>
            </w:tcBorders>
            <w:shd w:val="clear" w:color="000000" w:fill="C0C0C0"/>
            <w:noWrap/>
            <w:vAlign w:val="center"/>
            <w:hideMark/>
          </w:tcPr>
          <w:p w14:paraId="58CAA74F" w14:textId="77777777" w:rsidR="00D129CD" w:rsidRPr="00B50871" w:rsidRDefault="00D129CD" w:rsidP="002D2C29">
            <w:pPr>
              <w:pStyle w:val="Tabletext"/>
              <w:jc w:val="center"/>
              <w:rPr>
                <w:b/>
                <w:sz w:val="24"/>
              </w:rPr>
            </w:pPr>
          </w:p>
        </w:tc>
        <w:tc>
          <w:tcPr>
            <w:tcW w:w="1134" w:type="dxa"/>
            <w:tcBorders>
              <w:top w:val="nil"/>
              <w:left w:val="nil"/>
              <w:bottom w:val="nil"/>
              <w:right w:val="nil"/>
            </w:tcBorders>
            <w:shd w:val="clear" w:color="000000" w:fill="C0C0C0"/>
            <w:noWrap/>
            <w:vAlign w:val="center"/>
            <w:hideMark/>
          </w:tcPr>
          <w:p w14:paraId="71816E45" w14:textId="77777777" w:rsidR="00D129CD" w:rsidRPr="00B50871" w:rsidRDefault="00D129CD" w:rsidP="002D2C29">
            <w:pPr>
              <w:pStyle w:val="Tabletext"/>
              <w:jc w:val="center"/>
              <w:rPr>
                <w:b/>
                <w:sz w:val="24"/>
              </w:rPr>
            </w:pPr>
          </w:p>
        </w:tc>
        <w:tc>
          <w:tcPr>
            <w:tcW w:w="992" w:type="dxa"/>
            <w:tcBorders>
              <w:top w:val="nil"/>
              <w:left w:val="nil"/>
              <w:bottom w:val="nil"/>
              <w:right w:val="nil"/>
            </w:tcBorders>
            <w:shd w:val="clear" w:color="000000" w:fill="C0C0C0"/>
            <w:noWrap/>
            <w:vAlign w:val="center"/>
            <w:hideMark/>
          </w:tcPr>
          <w:p w14:paraId="0D702E7A" w14:textId="77777777" w:rsidR="00D129CD" w:rsidRPr="00B50871" w:rsidRDefault="00D129CD" w:rsidP="002D2C29">
            <w:pPr>
              <w:pStyle w:val="Tabletext"/>
              <w:jc w:val="center"/>
              <w:rPr>
                <w:b/>
                <w:sz w:val="24"/>
              </w:rPr>
            </w:pPr>
          </w:p>
        </w:tc>
      </w:tr>
      <w:tr w:rsidR="00D129CD" w:rsidRPr="0067680C" w14:paraId="411B2481" w14:textId="77777777" w:rsidTr="002D2C29">
        <w:trPr>
          <w:trHeight w:val="284"/>
          <w:jc w:val="center"/>
        </w:trPr>
        <w:tc>
          <w:tcPr>
            <w:tcW w:w="5812" w:type="dxa"/>
            <w:tcBorders>
              <w:top w:val="nil"/>
              <w:left w:val="nil"/>
              <w:bottom w:val="single" w:sz="4" w:space="0" w:color="FFFFFF"/>
              <w:right w:val="nil"/>
            </w:tcBorders>
            <w:shd w:val="clear" w:color="000000" w:fill="F2F2F2"/>
            <w:vAlign w:val="center"/>
            <w:hideMark/>
          </w:tcPr>
          <w:p w14:paraId="407C27FD" w14:textId="77777777" w:rsidR="00D129CD" w:rsidRPr="0067680C" w:rsidRDefault="00D129CD" w:rsidP="002D2C29">
            <w:pPr>
              <w:pStyle w:val="Tabletext"/>
            </w:pPr>
            <w:r w:rsidRPr="0067680C">
              <w:t xml:space="preserve">1b. Net nationally financed primary expenditure </w:t>
            </w:r>
            <w:r w:rsidRPr="0067680C">
              <w:br/>
              <w:t>(annual growth rate)</w:t>
            </w:r>
          </w:p>
        </w:tc>
        <w:tc>
          <w:tcPr>
            <w:tcW w:w="992" w:type="dxa"/>
            <w:tcBorders>
              <w:top w:val="nil"/>
              <w:left w:val="nil"/>
              <w:bottom w:val="single" w:sz="4" w:space="0" w:color="FFFFFF"/>
              <w:right w:val="nil"/>
            </w:tcBorders>
            <w:shd w:val="clear" w:color="000000" w:fill="F2F2F2"/>
            <w:vAlign w:val="center"/>
            <w:hideMark/>
          </w:tcPr>
          <w:p w14:paraId="7616E29C" w14:textId="77777777" w:rsidR="00D129CD" w:rsidRPr="0067680C" w:rsidRDefault="00D129CD" w:rsidP="002D2C29">
            <w:pPr>
              <w:pStyle w:val="Tabletext"/>
              <w:jc w:val="center"/>
            </w:pPr>
            <w:r w:rsidRPr="0067680C">
              <w:t>-0.4</w:t>
            </w:r>
          </w:p>
        </w:tc>
        <w:tc>
          <w:tcPr>
            <w:tcW w:w="1134" w:type="dxa"/>
            <w:tcBorders>
              <w:top w:val="nil"/>
              <w:left w:val="nil"/>
              <w:bottom w:val="single" w:sz="4" w:space="0" w:color="FFFFFF"/>
              <w:right w:val="nil"/>
            </w:tcBorders>
            <w:shd w:val="clear" w:color="000000" w:fill="F2F2F2"/>
            <w:vAlign w:val="center"/>
            <w:hideMark/>
          </w:tcPr>
          <w:p w14:paraId="6700625F" w14:textId="77777777" w:rsidR="00D129CD" w:rsidRPr="0067680C" w:rsidRDefault="00D129CD" w:rsidP="002D2C29">
            <w:pPr>
              <w:pStyle w:val="Tabletext"/>
              <w:jc w:val="center"/>
            </w:pPr>
            <w:r w:rsidRPr="0067680C">
              <w:t>4.4</w:t>
            </w:r>
          </w:p>
        </w:tc>
        <w:tc>
          <w:tcPr>
            <w:tcW w:w="992" w:type="dxa"/>
            <w:tcBorders>
              <w:top w:val="nil"/>
              <w:left w:val="nil"/>
              <w:bottom w:val="single" w:sz="4" w:space="0" w:color="FFFFFF"/>
              <w:right w:val="nil"/>
            </w:tcBorders>
            <w:shd w:val="clear" w:color="000000" w:fill="F2F2F2"/>
            <w:vAlign w:val="center"/>
            <w:hideMark/>
          </w:tcPr>
          <w:p w14:paraId="14CABF57" w14:textId="77777777" w:rsidR="00D129CD" w:rsidRPr="0067680C" w:rsidRDefault="00D129CD" w:rsidP="002D2C29">
            <w:pPr>
              <w:pStyle w:val="Tabletext"/>
              <w:jc w:val="center"/>
            </w:pPr>
            <w:r w:rsidRPr="0067680C">
              <w:t>5.8</w:t>
            </w:r>
          </w:p>
        </w:tc>
      </w:tr>
      <w:tr w:rsidR="00D129CD" w:rsidRPr="00B50871" w14:paraId="61DF8013" w14:textId="77777777" w:rsidTr="002D2C29">
        <w:trPr>
          <w:trHeight w:val="284"/>
          <w:jc w:val="center"/>
        </w:trPr>
        <w:tc>
          <w:tcPr>
            <w:tcW w:w="5812" w:type="dxa"/>
            <w:tcBorders>
              <w:top w:val="nil"/>
              <w:left w:val="nil"/>
              <w:bottom w:val="nil"/>
              <w:right w:val="nil"/>
            </w:tcBorders>
            <w:shd w:val="clear" w:color="000000" w:fill="BFBFBF"/>
            <w:vAlign w:val="center"/>
            <w:hideMark/>
          </w:tcPr>
          <w:p w14:paraId="49542FAC" w14:textId="77777777" w:rsidR="00D129CD" w:rsidRPr="00B50871" w:rsidRDefault="00D129CD" w:rsidP="002D2C29">
            <w:pPr>
              <w:pStyle w:val="Tabletext"/>
              <w:rPr>
                <w:b/>
                <w:sz w:val="24"/>
              </w:rPr>
            </w:pPr>
            <w:r w:rsidRPr="00B50871">
              <w:rPr>
                <w:b/>
                <w:sz w:val="24"/>
              </w:rPr>
              <w:t>Control account</w:t>
            </w:r>
          </w:p>
        </w:tc>
        <w:tc>
          <w:tcPr>
            <w:tcW w:w="992" w:type="dxa"/>
            <w:tcBorders>
              <w:top w:val="nil"/>
              <w:left w:val="nil"/>
              <w:bottom w:val="nil"/>
              <w:right w:val="nil"/>
            </w:tcBorders>
            <w:shd w:val="clear" w:color="000000" w:fill="C0C0C0"/>
            <w:noWrap/>
            <w:vAlign w:val="center"/>
            <w:hideMark/>
          </w:tcPr>
          <w:p w14:paraId="3DB5A5E9" w14:textId="77777777" w:rsidR="00D129CD" w:rsidRPr="00B50871" w:rsidRDefault="00D129CD" w:rsidP="002D2C29">
            <w:pPr>
              <w:pStyle w:val="Tabletext"/>
              <w:jc w:val="center"/>
              <w:rPr>
                <w:b/>
                <w:sz w:val="24"/>
              </w:rPr>
            </w:pPr>
          </w:p>
        </w:tc>
        <w:tc>
          <w:tcPr>
            <w:tcW w:w="1134" w:type="dxa"/>
            <w:tcBorders>
              <w:top w:val="nil"/>
              <w:left w:val="nil"/>
              <w:bottom w:val="nil"/>
              <w:right w:val="nil"/>
            </w:tcBorders>
            <w:shd w:val="clear" w:color="000000" w:fill="C0C0C0"/>
            <w:noWrap/>
            <w:vAlign w:val="center"/>
            <w:hideMark/>
          </w:tcPr>
          <w:p w14:paraId="7CAABFF8" w14:textId="77777777" w:rsidR="00D129CD" w:rsidRPr="00B50871" w:rsidRDefault="00D129CD" w:rsidP="002D2C29">
            <w:pPr>
              <w:pStyle w:val="Tabletext"/>
              <w:jc w:val="center"/>
              <w:rPr>
                <w:b/>
                <w:sz w:val="24"/>
              </w:rPr>
            </w:pPr>
          </w:p>
        </w:tc>
        <w:tc>
          <w:tcPr>
            <w:tcW w:w="992" w:type="dxa"/>
            <w:tcBorders>
              <w:top w:val="nil"/>
              <w:left w:val="nil"/>
              <w:bottom w:val="nil"/>
              <w:right w:val="nil"/>
            </w:tcBorders>
            <w:shd w:val="clear" w:color="000000" w:fill="C0C0C0"/>
            <w:noWrap/>
            <w:vAlign w:val="center"/>
            <w:hideMark/>
          </w:tcPr>
          <w:p w14:paraId="3D93959D" w14:textId="77777777" w:rsidR="00D129CD" w:rsidRPr="00B50871" w:rsidRDefault="00D129CD" w:rsidP="002D2C29">
            <w:pPr>
              <w:pStyle w:val="Tabletext"/>
              <w:jc w:val="center"/>
              <w:rPr>
                <w:b/>
                <w:sz w:val="24"/>
              </w:rPr>
            </w:pPr>
          </w:p>
        </w:tc>
      </w:tr>
      <w:tr w:rsidR="00D129CD" w:rsidRPr="0067680C" w14:paraId="79516B9F" w14:textId="77777777" w:rsidTr="002D2C29">
        <w:trPr>
          <w:trHeight w:val="284"/>
          <w:jc w:val="center"/>
        </w:trPr>
        <w:tc>
          <w:tcPr>
            <w:tcW w:w="5812" w:type="dxa"/>
            <w:tcBorders>
              <w:top w:val="nil"/>
              <w:left w:val="nil"/>
              <w:bottom w:val="single" w:sz="4" w:space="0" w:color="FFFFFF"/>
              <w:right w:val="nil"/>
            </w:tcBorders>
            <w:shd w:val="clear" w:color="000000" w:fill="F2F2F2"/>
            <w:vAlign w:val="center"/>
            <w:hideMark/>
          </w:tcPr>
          <w:p w14:paraId="56414326" w14:textId="77777777" w:rsidR="00D129CD" w:rsidRPr="0067680C" w:rsidRDefault="00D129CD" w:rsidP="002D2C29">
            <w:pPr>
              <w:pStyle w:val="Tabletext"/>
            </w:pPr>
            <w:r w:rsidRPr="0067680C">
              <w:t>Cumulated balance of the control account (GDP %)</w:t>
            </w:r>
          </w:p>
        </w:tc>
        <w:tc>
          <w:tcPr>
            <w:tcW w:w="992" w:type="dxa"/>
            <w:tcBorders>
              <w:top w:val="nil"/>
              <w:left w:val="nil"/>
              <w:bottom w:val="single" w:sz="4" w:space="0" w:color="FFFFFF"/>
              <w:right w:val="nil"/>
            </w:tcBorders>
            <w:shd w:val="clear" w:color="000000" w:fill="F2F2F2"/>
            <w:vAlign w:val="center"/>
            <w:hideMark/>
          </w:tcPr>
          <w:p w14:paraId="20B9F860" w14:textId="77777777" w:rsidR="00D129CD" w:rsidRPr="0067680C" w:rsidRDefault="00D129CD" w:rsidP="002D2C29">
            <w:pPr>
              <w:pStyle w:val="Tabletext"/>
              <w:jc w:val="center"/>
            </w:pPr>
            <w:r w:rsidRPr="0067680C">
              <w:t>-1.2</w:t>
            </w:r>
          </w:p>
        </w:tc>
        <w:tc>
          <w:tcPr>
            <w:tcW w:w="1134" w:type="dxa"/>
            <w:tcBorders>
              <w:top w:val="nil"/>
              <w:left w:val="nil"/>
              <w:bottom w:val="single" w:sz="4" w:space="0" w:color="FFFFFF"/>
              <w:right w:val="nil"/>
            </w:tcBorders>
            <w:shd w:val="clear" w:color="000000" w:fill="F2F2F2"/>
            <w:vAlign w:val="center"/>
            <w:hideMark/>
          </w:tcPr>
          <w:p w14:paraId="197A401D" w14:textId="77777777" w:rsidR="00D129CD" w:rsidRPr="0067680C" w:rsidRDefault="00D129CD" w:rsidP="002D2C29">
            <w:pPr>
              <w:pStyle w:val="Tabletext"/>
              <w:jc w:val="center"/>
            </w:pPr>
            <w:r w:rsidRPr="0067680C">
              <w:t>-0.9</w:t>
            </w:r>
          </w:p>
        </w:tc>
        <w:tc>
          <w:tcPr>
            <w:tcW w:w="992" w:type="dxa"/>
            <w:tcBorders>
              <w:top w:val="nil"/>
              <w:left w:val="nil"/>
              <w:bottom w:val="single" w:sz="4" w:space="0" w:color="FFFFFF"/>
              <w:right w:val="nil"/>
            </w:tcBorders>
            <w:shd w:val="clear" w:color="000000" w:fill="F2F2F2"/>
            <w:vAlign w:val="center"/>
            <w:hideMark/>
          </w:tcPr>
          <w:p w14:paraId="01FA45B9" w14:textId="77777777" w:rsidR="00D129CD" w:rsidRPr="0067680C" w:rsidRDefault="00D129CD" w:rsidP="002D2C29">
            <w:pPr>
              <w:pStyle w:val="Tabletext"/>
              <w:jc w:val="center"/>
            </w:pPr>
            <w:r w:rsidRPr="0067680C">
              <w:t>0.0</w:t>
            </w:r>
          </w:p>
        </w:tc>
      </w:tr>
      <w:tr w:rsidR="00D129CD" w:rsidRPr="0067680C" w14:paraId="2E4B05D1" w14:textId="77777777" w:rsidTr="002D2C29">
        <w:trPr>
          <w:trHeight w:val="284"/>
          <w:jc w:val="center"/>
        </w:trPr>
        <w:tc>
          <w:tcPr>
            <w:tcW w:w="5812" w:type="dxa"/>
            <w:tcBorders>
              <w:top w:val="single" w:sz="4" w:space="0" w:color="FFFFFF"/>
              <w:left w:val="nil"/>
              <w:bottom w:val="single" w:sz="18" w:space="0" w:color="4F81BD" w:themeColor="accent1"/>
              <w:right w:val="nil"/>
            </w:tcBorders>
            <w:shd w:val="clear" w:color="000000" w:fill="D9D9D9"/>
            <w:vAlign w:val="center"/>
            <w:hideMark/>
          </w:tcPr>
          <w:p w14:paraId="439AB36B" w14:textId="77777777" w:rsidR="00D129CD" w:rsidRPr="0067680C" w:rsidRDefault="00D129CD" w:rsidP="002D2C29">
            <w:pPr>
              <w:pStyle w:val="Tabletext"/>
            </w:pPr>
            <w:r w:rsidRPr="0067680C">
              <w:t>Cumulated balance after flexibility from increases in defence expenditure (GDP %)</w:t>
            </w:r>
          </w:p>
        </w:tc>
        <w:tc>
          <w:tcPr>
            <w:tcW w:w="992" w:type="dxa"/>
            <w:tcBorders>
              <w:top w:val="single" w:sz="4" w:space="0" w:color="FFFFFF"/>
              <w:left w:val="nil"/>
              <w:bottom w:val="single" w:sz="18" w:space="0" w:color="4F81BD" w:themeColor="accent1"/>
              <w:right w:val="nil"/>
            </w:tcBorders>
            <w:shd w:val="clear" w:color="000000" w:fill="D9D9D9"/>
            <w:vAlign w:val="center"/>
            <w:hideMark/>
          </w:tcPr>
          <w:p w14:paraId="20E1D5A2" w14:textId="77777777" w:rsidR="00D129CD" w:rsidRPr="0067680C" w:rsidRDefault="00D129CD" w:rsidP="002D2C29">
            <w:pPr>
              <w:pStyle w:val="Tabletext"/>
              <w:jc w:val="center"/>
            </w:pPr>
          </w:p>
        </w:tc>
        <w:tc>
          <w:tcPr>
            <w:tcW w:w="1134" w:type="dxa"/>
            <w:tcBorders>
              <w:top w:val="single" w:sz="4" w:space="0" w:color="FFFFFF"/>
              <w:left w:val="nil"/>
              <w:bottom w:val="single" w:sz="18" w:space="0" w:color="4F81BD" w:themeColor="accent1"/>
              <w:right w:val="nil"/>
            </w:tcBorders>
            <w:shd w:val="clear" w:color="000000" w:fill="D9D9D9"/>
            <w:vAlign w:val="center"/>
            <w:hideMark/>
          </w:tcPr>
          <w:p w14:paraId="12CD5F74" w14:textId="77777777" w:rsidR="00D129CD" w:rsidRPr="0067680C" w:rsidRDefault="00D129CD" w:rsidP="002D2C29">
            <w:pPr>
              <w:pStyle w:val="Tabletext"/>
              <w:jc w:val="center"/>
            </w:pPr>
            <w:r w:rsidRPr="0067680C">
              <w:t>-1.0</w:t>
            </w:r>
          </w:p>
        </w:tc>
        <w:tc>
          <w:tcPr>
            <w:tcW w:w="992" w:type="dxa"/>
            <w:tcBorders>
              <w:top w:val="single" w:sz="4" w:space="0" w:color="FFFFFF"/>
              <w:left w:val="nil"/>
              <w:bottom w:val="single" w:sz="18" w:space="0" w:color="4F81BD" w:themeColor="accent1"/>
              <w:right w:val="nil"/>
            </w:tcBorders>
            <w:shd w:val="clear" w:color="000000" w:fill="D9D9D9"/>
            <w:vAlign w:val="center"/>
            <w:hideMark/>
          </w:tcPr>
          <w:p w14:paraId="6BD39012" w14:textId="77777777" w:rsidR="00D129CD" w:rsidRPr="0067680C" w:rsidRDefault="00D129CD" w:rsidP="002D2C29">
            <w:pPr>
              <w:pStyle w:val="Tabletext"/>
              <w:jc w:val="center"/>
            </w:pPr>
            <w:r w:rsidRPr="0067680C">
              <w:t>-0.3</w:t>
            </w:r>
          </w:p>
        </w:tc>
      </w:tr>
    </w:tbl>
    <w:p w14:paraId="0F2ADF65" w14:textId="77777777" w:rsidR="00D129CD" w:rsidRDefault="00D129CD" w:rsidP="00D129CD">
      <w:pPr>
        <w:spacing w:before="240"/>
        <w:rPr>
          <w:lang w:val="en-US"/>
        </w:rPr>
      </w:pPr>
      <w:r w:rsidRPr="00B50871">
        <w:rPr>
          <w:lang w:val="en-US"/>
        </w:rPr>
        <w:t xml:space="preserve">The net expenditure for 2025 and 2026 is estimated to grow by 4.4% and 5.8% on </w:t>
      </w:r>
      <w:r>
        <w:rPr>
          <w:lang w:val="en-US"/>
        </w:rPr>
        <w:t xml:space="preserve">an </w:t>
      </w:r>
      <w:r w:rsidRPr="00B50871">
        <w:rPr>
          <w:lang w:val="en-US"/>
        </w:rPr>
        <w:t>annual basis, respectively. The cumulative growth in the years 2024-2026 taken together, does not exceed the relevant Council recommendation</w:t>
      </w:r>
      <w:r>
        <w:rPr>
          <w:lang w:val="en-US"/>
        </w:rPr>
        <w:t>. Moreover the cumulative balance taking into account the flexibility provided by the escape clause for higher defense expenditure, continues to be negative,  standing</w:t>
      </w:r>
      <w:r w:rsidRPr="00B50871">
        <w:rPr>
          <w:lang w:val="en-US"/>
        </w:rPr>
        <w:t xml:space="preserve"> 0.3% of GDP below the maximum </w:t>
      </w:r>
      <w:r>
        <w:rPr>
          <w:lang w:val="en-US"/>
        </w:rPr>
        <w:t>threshold</w:t>
      </w:r>
      <w:r w:rsidRPr="00B50871">
        <w:rPr>
          <w:lang w:val="en-US"/>
        </w:rPr>
        <w:t xml:space="preserve">. The estimated increase in total defence expenditure as a ratio to GDP from 2024 to 2026 </w:t>
      </w:r>
      <w:r>
        <w:rPr>
          <w:lang w:val="en-US"/>
        </w:rPr>
        <w:t xml:space="preserve">is estimated to </w:t>
      </w:r>
      <w:r w:rsidRPr="00B50871">
        <w:rPr>
          <w:lang w:val="en-US"/>
        </w:rPr>
        <w:t>reach 0.3 pp.</w:t>
      </w:r>
    </w:p>
    <w:p w14:paraId="7AC8EF91" w14:textId="77777777" w:rsidR="00D129CD" w:rsidRPr="000816F9" w:rsidRDefault="00D129CD" w:rsidP="00D129CD">
      <w:pPr>
        <w:pStyle w:val="2"/>
        <w:numPr>
          <w:ilvl w:val="1"/>
          <w:numId w:val="2"/>
        </w:numPr>
        <w:spacing w:before="600" w:after="360"/>
        <w:ind w:left="567" w:hanging="567"/>
        <w:rPr>
          <w:lang w:val="en-US"/>
        </w:rPr>
      </w:pPr>
      <w:bookmarkStart w:id="46" w:name="_Toc211249668"/>
      <w:bookmarkStart w:id="47" w:name="_Toc211418441"/>
      <w:r w:rsidRPr="000816F9">
        <w:rPr>
          <w:lang w:val="en-US"/>
        </w:rPr>
        <w:t>Debt developments</w:t>
      </w:r>
      <w:bookmarkEnd w:id="46"/>
      <w:bookmarkEnd w:id="47"/>
    </w:p>
    <w:p w14:paraId="099B91A1" w14:textId="77777777" w:rsidR="00D129CD" w:rsidRDefault="00D129CD" w:rsidP="00D129CD">
      <w:pPr>
        <w:rPr>
          <w:lang w:val="en-US"/>
        </w:rPr>
      </w:pPr>
      <w:r>
        <w:rPr>
          <w:lang w:val="en-US"/>
        </w:rPr>
        <w:t xml:space="preserve">The general government debt is estimated at 145.4% of GDP at the end of 2025, vs 153.6% of GDP in 2024. For the end of 2026, the general government debt is forecasted at 137.6% of GDP, i.e. reduced by 7.8 pp compared to 2025. </w:t>
      </w:r>
    </w:p>
    <w:p w14:paraId="302E7C05" w14:textId="77777777" w:rsidR="00D129CD" w:rsidRPr="00E97218" w:rsidRDefault="00D129CD" w:rsidP="00D129CD">
      <w:pPr>
        <w:rPr>
          <w:lang w:val="en-US"/>
        </w:rPr>
      </w:pPr>
      <w:r w:rsidRPr="00E97218">
        <w:rPr>
          <w:lang w:val="en-US"/>
        </w:rPr>
        <w:t xml:space="preserve">The Hellenic Republic continued its issuance activity smoothly, covering its low financing needs for the current year, mainly with syndicated issuances of 10-year, 15-year and 30-year bonds, which had high coverage ratios in their offer book and were allocated </w:t>
      </w:r>
      <w:r>
        <w:rPr>
          <w:lang w:val="en-US"/>
        </w:rPr>
        <w:t>on a priority basis</w:t>
      </w:r>
      <w:r w:rsidRPr="00E97218">
        <w:rPr>
          <w:lang w:val="en-US"/>
        </w:rPr>
        <w:t xml:space="preserve"> to end-investors. Significant contribution to the annual refinancing is made by the bond re-openings via auctions which are carried out </w:t>
      </w:r>
      <w:r>
        <w:rPr>
          <w:lang w:val="en-US"/>
        </w:rPr>
        <w:t>on</w:t>
      </w:r>
      <w:r w:rsidRPr="00E97218">
        <w:rPr>
          <w:lang w:val="en-US"/>
        </w:rPr>
        <w:t xml:space="preserve"> regular dates according to the already announced program. The total cash reserves of the Hellenic Republic remain at the high levels of recent years, continuing to enhance the flexibility of debt management. At the same time, part of the cash buffer reserves is already used, since 2024, for the early repayment of the GLF loans.</w:t>
      </w:r>
    </w:p>
    <w:p w14:paraId="02589DF1" w14:textId="77777777" w:rsidR="00D129CD" w:rsidRDefault="00D129CD" w:rsidP="00D129CD">
      <w:pPr>
        <w:rPr>
          <w:lang w:val="en-US"/>
        </w:rPr>
      </w:pPr>
      <w:r w:rsidRPr="00E97218">
        <w:rPr>
          <w:lang w:val="en-US"/>
        </w:rPr>
        <w:t>More specifically, by the end of this year, the early repayment of part of the GLF's European loans is expected to be continued with the pro-rata early repayment of loans maturing within the years 2033-2041, for an amount of €5,290 million. Early repayments of the above-mentioned loans have already</w:t>
      </w:r>
      <w:r>
        <w:rPr>
          <w:lang w:val="en-US"/>
        </w:rPr>
        <w:t xml:space="preserve"> been carried out</w:t>
      </w:r>
      <w:r w:rsidRPr="00E97218">
        <w:rPr>
          <w:lang w:val="en-US"/>
        </w:rPr>
        <w:t xml:space="preserve"> in December 2024 for an amount of €7,935 million, in December 2023 for €5,290 million and in December 2022 for €2,645 million</w:t>
      </w:r>
      <w:r>
        <w:rPr>
          <w:lang w:val="en-US"/>
        </w:rPr>
        <w:t>.</w:t>
      </w:r>
    </w:p>
    <w:p w14:paraId="1CAFDD07" w14:textId="77777777" w:rsidR="00D129CD" w:rsidRDefault="00D129CD" w:rsidP="00D129CD">
      <w:pPr>
        <w:rPr>
          <w:lang w:val="en-US"/>
        </w:rPr>
      </w:pPr>
      <w:r>
        <w:rPr>
          <w:lang w:val="en-US"/>
        </w:rPr>
        <w:lastRenderedPageBreak/>
        <w:t xml:space="preserve">Following the upgrade of the Hellenic Republic in 2023 to investment grade status (BBB-) by the rating agencies DBRS Morningstar, Standard &amp; Poor's, Fitch, R&amp;I and Scope Ratings,  </w:t>
      </w:r>
      <w:r w:rsidRPr="00E97218">
        <w:rPr>
          <w:lang w:val="en-US"/>
        </w:rPr>
        <w:t>further upgrades followed, by one notch, to status BBB with a stable outlook, by Scope Ratings in December 2024 and by DBRS Morningstar and Standard &amp; Poor’s in March and April 2025, respectively. In addition, Moody’s upgraded the Hellenic Republic’s creditworthiness to investment grade Baa3, with a stable outlook, in March 2025, while Fitch upgraded the outlook of the Greek economy, from stable to positive, in May 2025.</w:t>
      </w:r>
    </w:p>
    <w:p w14:paraId="21BF0B0C" w14:textId="77777777" w:rsidR="00D129CD" w:rsidRPr="00E97218" w:rsidRDefault="00D129CD" w:rsidP="00D129CD">
      <w:pPr>
        <w:rPr>
          <w:lang w:val="en-US"/>
        </w:rPr>
      </w:pPr>
      <w:r>
        <w:rPr>
          <w:lang w:val="en-US"/>
        </w:rPr>
        <w:t xml:space="preserve">At the end of August </w:t>
      </w:r>
      <w:r w:rsidRPr="00E97218">
        <w:rPr>
          <w:lang w:val="en-US"/>
        </w:rPr>
        <w:t>202</w:t>
      </w:r>
      <w:r>
        <w:rPr>
          <w:lang w:val="en-US"/>
        </w:rPr>
        <w:t>5</w:t>
      </w:r>
      <w:r w:rsidRPr="00E97218">
        <w:rPr>
          <w:lang w:val="en-US"/>
        </w:rPr>
        <w:t>, the total loans granted by the Support Mechanism amounted to €216,708.</w:t>
      </w:r>
      <w:r>
        <w:rPr>
          <w:lang w:val="en-US"/>
        </w:rPr>
        <w:t>7</w:t>
      </w:r>
      <w:r w:rsidRPr="00E97218">
        <w:rPr>
          <w:lang w:val="en-US"/>
        </w:rPr>
        <w:t xml:space="preserve"> million, which consist exclusively of loans from European Organizations (i.e. EFSF, ESM) </w:t>
      </w:r>
      <w:r>
        <w:rPr>
          <w:lang w:val="en-US"/>
        </w:rPr>
        <w:t xml:space="preserve">and </w:t>
      </w:r>
      <w:r w:rsidRPr="00E97218">
        <w:rPr>
          <w:lang w:val="en-US"/>
        </w:rPr>
        <w:t>the Eurozone member states.</w:t>
      </w:r>
    </w:p>
    <w:p w14:paraId="39178A00" w14:textId="77777777" w:rsidR="00D129CD" w:rsidRPr="00E97218" w:rsidRDefault="00D129CD" w:rsidP="00D129CD">
      <w:pPr>
        <w:rPr>
          <w:lang w:val="en-US"/>
        </w:rPr>
      </w:pPr>
      <w:r w:rsidRPr="00E97218">
        <w:rPr>
          <w:lang w:val="en-US"/>
        </w:rPr>
        <w:t xml:space="preserve">Given the high level of cash reserves of the Hellenic Republic, as well as the relatively limited financing needs for the year 2026, due inter alia to the aforementioned early repayments, the </w:t>
      </w:r>
      <w:r>
        <w:rPr>
          <w:lang w:val="en-US"/>
        </w:rPr>
        <w:t>funding</w:t>
      </w:r>
      <w:r w:rsidRPr="00E97218">
        <w:rPr>
          <w:lang w:val="en-US"/>
        </w:rPr>
        <w:t xml:space="preserve"> strategy for the following year is expected to be limited again.</w:t>
      </w:r>
    </w:p>
    <w:p w14:paraId="5715F625" w14:textId="77777777" w:rsidR="00D129CD" w:rsidRPr="00E97218" w:rsidRDefault="00D129CD" w:rsidP="00D129CD">
      <w:pPr>
        <w:rPr>
          <w:lang w:val="en-US"/>
        </w:rPr>
      </w:pPr>
    </w:p>
    <w:p w14:paraId="0090C29C" w14:textId="6F1585D9" w:rsidR="00D129CD" w:rsidRDefault="00D129CD" w:rsidP="00D129CD">
      <w:pPr>
        <w:pStyle w:val="ae"/>
      </w:pPr>
      <w:bookmarkStart w:id="48" w:name="_Toc211249701"/>
      <w:bookmarkStart w:id="49" w:name="_Toc211355204"/>
      <w:r>
        <w:rPr>
          <w:noProof/>
        </w:rPr>
        <w:drawing>
          <wp:anchor distT="0" distB="0" distL="114300" distR="114300" simplePos="0" relativeHeight="251681792" behindDoc="0" locked="0" layoutInCell="1" allowOverlap="1" wp14:anchorId="12368DC7" wp14:editId="2CCC6C8C">
            <wp:simplePos x="0" y="0"/>
            <wp:positionH relativeFrom="column">
              <wp:posOffset>-139700</wp:posOffset>
            </wp:positionH>
            <wp:positionV relativeFrom="paragraph">
              <wp:posOffset>365760</wp:posOffset>
            </wp:positionV>
            <wp:extent cx="6036945" cy="396621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36945" cy="3966210"/>
                    </a:xfrm>
                    <a:prstGeom prst="rect">
                      <a:avLst/>
                    </a:prstGeom>
                    <a:noFill/>
                  </pic:spPr>
                </pic:pic>
              </a:graphicData>
            </a:graphic>
            <wp14:sizeRelH relativeFrom="margin">
              <wp14:pctWidth>0</wp14:pctWidth>
            </wp14:sizeRelH>
            <wp14:sizeRelV relativeFrom="margin">
              <wp14:pctHeight>0</wp14:pctHeight>
            </wp14:sizeRelV>
          </wp:anchor>
        </w:drawing>
      </w:r>
      <w:r>
        <w:t xml:space="preserve">Figure </w:t>
      </w:r>
      <w:r>
        <w:fldChar w:fldCharType="begin"/>
      </w:r>
      <w:r>
        <w:instrText xml:space="preserve"> SEQ Figure \* ARABIC </w:instrText>
      </w:r>
      <w:r>
        <w:fldChar w:fldCharType="separate"/>
      </w:r>
      <w:r w:rsidR="00AF0E6B">
        <w:rPr>
          <w:noProof/>
        </w:rPr>
        <w:t>11</w:t>
      </w:r>
      <w:r>
        <w:fldChar w:fldCharType="end"/>
      </w:r>
      <w:r>
        <w:t xml:space="preserve"> | General Government debt</w:t>
      </w:r>
      <w:bookmarkEnd w:id="48"/>
      <w:bookmarkEnd w:id="49"/>
    </w:p>
    <w:p w14:paraId="4C8693FE" w14:textId="77777777" w:rsidR="00D129CD" w:rsidRPr="00E97218" w:rsidRDefault="00D129CD" w:rsidP="00D129CD">
      <w:pPr>
        <w:jc w:val="center"/>
        <w:rPr>
          <w:lang w:val="en-US"/>
        </w:rPr>
      </w:pPr>
    </w:p>
    <w:p w14:paraId="01038302" w14:textId="61E84F63" w:rsidR="00D129CD" w:rsidRPr="00D129CD" w:rsidRDefault="00D129CD" w:rsidP="002D2C29">
      <w:pPr>
        <w:pBdr>
          <w:top w:val="single" w:sz="18" w:space="1" w:color="4F81BD" w:themeColor="accent1"/>
        </w:pBdr>
        <w:rPr>
          <w:lang w:val="en-US"/>
        </w:rPr>
      </w:pPr>
      <w:r w:rsidRPr="00D33DD7">
        <w:rPr>
          <w:sz w:val="20"/>
          <w:lang w:val="en-US"/>
        </w:rPr>
        <w:t>*  Projections</w:t>
      </w:r>
    </w:p>
    <w:p w14:paraId="21167EA8" w14:textId="7705B62A" w:rsidR="00D129CD" w:rsidRDefault="00D129CD">
      <w:pPr>
        <w:spacing w:after="200" w:line="276" w:lineRule="auto"/>
        <w:jc w:val="left"/>
        <w:rPr>
          <w:lang w:val="en-US"/>
        </w:rPr>
      </w:pPr>
      <w:r>
        <w:rPr>
          <w:lang w:val="en-US"/>
        </w:rPr>
        <w:br w:type="page"/>
      </w:r>
    </w:p>
    <w:p w14:paraId="1F4C7C38" w14:textId="2974EE63" w:rsidR="00726977" w:rsidRDefault="007B5D9B" w:rsidP="005B5A1A">
      <w:pPr>
        <w:pStyle w:val="1"/>
        <w:numPr>
          <w:ilvl w:val="0"/>
          <w:numId w:val="2"/>
        </w:numPr>
        <w:spacing w:after="480"/>
        <w:ind w:hanging="720"/>
        <w:rPr>
          <w:lang w:val="en-US"/>
        </w:rPr>
      </w:pPr>
      <w:bookmarkStart w:id="50" w:name="_Toc211418442"/>
      <w:r>
        <w:rPr>
          <w:lang w:val="en-US"/>
        </w:rPr>
        <w:lastRenderedPageBreak/>
        <w:t>Expenditure and revenue projections</w:t>
      </w:r>
      <w:bookmarkEnd w:id="50"/>
    </w:p>
    <w:p w14:paraId="6003C6E0" w14:textId="77777777" w:rsidR="00133DF3" w:rsidRDefault="00133DF3" w:rsidP="00133DF3">
      <w:pPr>
        <w:pStyle w:val="2"/>
        <w:numPr>
          <w:ilvl w:val="1"/>
          <w:numId w:val="2"/>
        </w:numPr>
        <w:spacing w:after="120"/>
        <w:ind w:left="567" w:hanging="567"/>
        <w:rPr>
          <w:lang w:val="en-US"/>
        </w:rPr>
      </w:pPr>
      <w:bookmarkStart w:id="51" w:name="_Toc211249670"/>
      <w:bookmarkStart w:id="52" w:name="_Toc211418443"/>
      <w:bookmarkStart w:id="53" w:name="_Toc196913141"/>
      <w:r>
        <w:rPr>
          <w:lang w:val="en-US"/>
        </w:rPr>
        <w:t>GG Revenue &amp; expenditure</w:t>
      </w:r>
      <w:bookmarkEnd w:id="51"/>
      <w:bookmarkEnd w:id="52"/>
    </w:p>
    <w:p w14:paraId="0BF16608" w14:textId="08880462" w:rsidR="00133DF3" w:rsidRPr="009B2283" w:rsidRDefault="00133DF3" w:rsidP="00133DF3">
      <w:pPr>
        <w:rPr>
          <w:lang w:val="en-US"/>
        </w:rPr>
      </w:pPr>
      <w:r>
        <w:fldChar w:fldCharType="begin"/>
      </w:r>
      <w:r w:rsidRPr="00385F38">
        <w:rPr>
          <w:lang w:val="en-US"/>
        </w:rPr>
        <w:instrText xml:space="preserve"> REF _Ref211085955 \h  \* MERGEFORMAT </w:instrText>
      </w:r>
      <w:r>
        <w:fldChar w:fldCharType="separate"/>
      </w:r>
      <w:r w:rsidR="00AF0E6B" w:rsidRPr="00AF0E6B">
        <w:rPr>
          <w:lang w:val="en-US"/>
        </w:rPr>
        <w:t>Table 5</w:t>
      </w:r>
      <w:r>
        <w:fldChar w:fldCharType="end"/>
      </w:r>
      <w:r w:rsidRPr="004D6E50">
        <w:rPr>
          <w:lang w:val="en-US"/>
        </w:rPr>
        <w:t xml:space="preserve"> below presents the outturn of 2024 and the current fiscal estimations for 2025 and 2026, broken down by main components of revenues and expenditures. The estimations incorporate the effect of all the fiscal interventions presented in the following sections. The general government revenue and expenditure projections at unchanged policies </w:t>
      </w:r>
      <w:r>
        <w:rPr>
          <w:lang w:val="en-US"/>
        </w:rPr>
        <w:t>not including</w:t>
      </w:r>
      <w:r w:rsidRPr="004D6E50">
        <w:rPr>
          <w:lang w:val="en-US"/>
        </w:rPr>
        <w:t xml:space="preserve"> the policy measures adopted or announced after the submission of the Annual Progress Report 2025 submitted in April 2025</w:t>
      </w:r>
      <w:r>
        <w:rPr>
          <w:lang w:val="en-US"/>
        </w:rPr>
        <w:t xml:space="preserve">, </w:t>
      </w:r>
      <w:r w:rsidRPr="004D6E50">
        <w:rPr>
          <w:lang w:val="en-US"/>
        </w:rPr>
        <w:t xml:space="preserve">are presented in </w:t>
      </w:r>
      <w:r>
        <w:fldChar w:fldCharType="begin"/>
      </w:r>
      <w:r w:rsidRPr="00385F38">
        <w:rPr>
          <w:lang w:val="en-US"/>
        </w:rPr>
        <w:instrText xml:space="preserve"> REF _Ref211086090 \h </w:instrText>
      </w:r>
      <w:r>
        <w:fldChar w:fldCharType="separate"/>
      </w:r>
      <w:r w:rsidR="00AF0E6B" w:rsidRPr="00AF0E6B">
        <w:rPr>
          <w:lang w:val="en-US"/>
        </w:rPr>
        <w:t xml:space="preserve">Table </w:t>
      </w:r>
      <w:r w:rsidR="00AF0E6B" w:rsidRPr="00AF0E6B">
        <w:rPr>
          <w:noProof/>
          <w:lang w:val="en-US"/>
        </w:rPr>
        <w:t>18</w:t>
      </w:r>
      <w:r>
        <w:fldChar w:fldCharType="end"/>
      </w:r>
      <w:r w:rsidRPr="004D6E50">
        <w:rPr>
          <w:lang w:val="en-US"/>
        </w:rPr>
        <w:t xml:space="preserve"> of Annex </w:t>
      </w:r>
      <w:r>
        <w:rPr>
          <w:lang w:val="en-US"/>
        </w:rPr>
        <w:t>I</w:t>
      </w:r>
      <w:r w:rsidRPr="004D6E50">
        <w:rPr>
          <w:lang w:val="en-US"/>
        </w:rPr>
        <w:t>I.</w:t>
      </w:r>
    </w:p>
    <w:p w14:paraId="46E3EE8A" w14:textId="54B1966F" w:rsidR="00133DF3" w:rsidRDefault="00133DF3" w:rsidP="00435CE7">
      <w:pPr>
        <w:pStyle w:val="ae"/>
        <w:spacing w:before="120"/>
      </w:pPr>
      <w:bookmarkStart w:id="54" w:name="_Ref211085955"/>
      <w:bookmarkStart w:id="55" w:name="_Toc211249682"/>
      <w:bookmarkStart w:id="56" w:name="_Toc211355099"/>
      <w:r>
        <w:t xml:space="preserve">Table </w:t>
      </w:r>
      <w:r>
        <w:fldChar w:fldCharType="begin"/>
      </w:r>
      <w:r>
        <w:instrText xml:space="preserve"> SEQ Table \* ARABIC </w:instrText>
      </w:r>
      <w:r>
        <w:fldChar w:fldCharType="separate"/>
      </w:r>
      <w:r w:rsidR="00AF0E6B">
        <w:rPr>
          <w:noProof/>
        </w:rPr>
        <w:t>5</w:t>
      </w:r>
      <w:r>
        <w:fldChar w:fldCharType="end"/>
      </w:r>
      <w:bookmarkEnd w:id="54"/>
      <w:r>
        <w:rPr>
          <w:lang w:val="el-GR"/>
        </w:rPr>
        <w:t xml:space="preserve"> | </w:t>
      </w:r>
      <w:r w:rsidRPr="00885107">
        <w:t>Budgetary projections</w:t>
      </w:r>
      <w:bookmarkEnd w:id="55"/>
      <w:bookmarkEnd w:id="56"/>
    </w:p>
    <w:tbl>
      <w:tblPr>
        <w:tblW w:w="8902" w:type="dxa"/>
        <w:jc w:val="center"/>
        <w:tblLook w:val="04A0" w:firstRow="1" w:lastRow="0" w:firstColumn="1" w:lastColumn="0" w:noHBand="0" w:noVBand="1"/>
      </w:tblPr>
      <w:tblGrid>
        <w:gridCol w:w="3701"/>
        <w:gridCol w:w="1868"/>
        <w:gridCol w:w="982"/>
        <w:gridCol w:w="718"/>
        <w:gridCol w:w="906"/>
        <w:gridCol w:w="727"/>
      </w:tblGrid>
      <w:tr w:rsidR="00133DF3" w:rsidRPr="00B50871" w14:paraId="0DDF67DA" w14:textId="77777777" w:rsidTr="008167F5">
        <w:trPr>
          <w:trHeight w:val="505"/>
          <w:jc w:val="center"/>
        </w:trPr>
        <w:tc>
          <w:tcPr>
            <w:tcW w:w="3701" w:type="dxa"/>
            <w:tcBorders>
              <w:top w:val="nil"/>
              <w:left w:val="single" w:sz="2" w:space="0" w:color="FFFFFF" w:themeColor="background1"/>
              <w:bottom w:val="nil"/>
              <w:right w:val="nil"/>
            </w:tcBorders>
            <w:shd w:val="clear" w:color="000000" w:fill="BFBFBF"/>
            <w:vAlign w:val="center"/>
            <w:hideMark/>
          </w:tcPr>
          <w:p w14:paraId="3142EF5D" w14:textId="77777777" w:rsidR="00133DF3" w:rsidRPr="00B50871" w:rsidRDefault="00133DF3" w:rsidP="00D50F04">
            <w:pPr>
              <w:pStyle w:val="Tabletext"/>
              <w:spacing w:line="220" w:lineRule="exact"/>
              <w:rPr>
                <w:b/>
                <w:sz w:val="24"/>
              </w:rPr>
            </w:pPr>
            <w:r w:rsidRPr="00B50871">
              <w:rPr>
                <w:b/>
                <w:sz w:val="24"/>
              </w:rPr>
              <w:t> </w:t>
            </w:r>
          </w:p>
        </w:tc>
        <w:tc>
          <w:tcPr>
            <w:tcW w:w="1868" w:type="dxa"/>
            <w:tcBorders>
              <w:top w:val="nil"/>
              <w:left w:val="nil"/>
              <w:bottom w:val="nil"/>
              <w:right w:val="single" w:sz="2" w:space="0" w:color="FFFFFF" w:themeColor="background1"/>
            </w:tcBorders>
            <w:shd w:val="clear" w:color="000000" w:fill="BFBFBF"/>
            <w:vAlign w:val="center"/>
            <w:hideMark/>
          </w:tcPr>
          <w:p w14:paraId="6FE58458" w14:textId="77777777" w:rsidR="00133DF3" w:rsidRPr="00B50871" w:rsidRDefault="00133DF3" w:rsidP="00D50F04">
            <w:pPr>
              <w:pStyle w:val="Tabletext"/>
              <w:spacing w:line="220" w:lineRule="exact"/>
              <w:rPr>
                <w:b/>
                <w:sz w:val="24"/>
              </w:rPr>
            </w:pPr>
            <w:r w:rsidRPr="00B50871">
              <w:rPr>
                <w:b/>
                <w:sz w:val="24"/>
              </w:rPr>
              <w:t>ESA Code</w:t>
            </w:r>
          </w:p>
        </w:tc>
        <w:tc>
          <w:tcPr>
            <w:tcW w:w="982" w:type="dxa"/>
            <w:tcBorders>
              <w:top w:val="nil"/>
              <w:left w:val="single" w:sz="2" w:space="0" w:color="FFFFFF" w:themeColor="background1"/>
              <w:bottom w:val="nil"/>
              <w:right w:val="single" w:sz="2" w:space="0" w:color="FFFFFF" w:themeColor="background1"/>
            </w:tcBorders>
            <w:shd w:val="clear" w:color="000000" w:fill="BFBFBF"/>
            <w:vAlign w:val="center"/>
            <w:hideMark/>
          </w:tcPr>
          <w:p w14:paraId="531321B3" w14:textId="77777777" w:rsidR="00133DF3" w:rsidRPr="00B50871" w:rsidRDefault="00133DF3" w:rsidP="00D50F04">
            <w:pPr>
              <w:pStyle w:val="Tabletext"/>
              <w:spacing w:line="220" w:lineRule="exact"/>
              <w:jc w:val="center"/>
              <w:rPr>
                <w:b/>
                <w:sz w:val="24"/>
              </w:rPr>
            </w:pPr>
            <w:r w:rsidRPr="00B50871">
              <w:rPr>
                <w:b/>
                <w:sz w:val="24"/>
              </w:rPr>
              <w:t>2024 (Levels)</w:t>
            </w:r>
          </w:p>
        </w:tc>
        <w:tc>
          <w:tcPr>
            <w:tcW w:w="718" w:type="dxa"/>
            <w:tcBorders>
              <w:top w:val="nil"/>
              <w:left w:val="single" w:sz="2" w:space="0" w:color="FFFFFF" w:themeColor="background1"/>
              <w:bottom w:val="nil"/>
              <w:right w:val="nil"/>
            </w:tcBorders>
            <w:shd w:val="clear" w:color="000000" w:fill="BFBFBF"/>
            <w:vAlign w:val="center"/>
            <w:hideMark/>
          </w:tcPr>
          <w:p w14:paraId="2000A213" w14:textId="77777777" w:rsidR="00133DF3" w:rsidRPr="00B50871" w:rsidRDefault="00133DF3" w:rsidP="00D50F04">
            <w:pPr>
              <w:pStyle w:val="Tabletext"/>
              <w:spacing w:line="220" w:lineRule="exact"/>
              <w:jc w:val="center"/>
              <w:rPr>
                <w:b/>
                <w:sz w:val="24"/>
              </w:rPr>
            </w:pPr>
            <w:r w:rsidRPr="00B50871">
              <w:rPr>
                <w:b/>
                <w:sz w:val="24"/>
              </w:rPr>
              <w:t>2024</w:t>
            </w:r>
          </w:p>
        </w:tc>
        <w:tc>
          <w:tcPr>
            <w:tcW w:w="906" w:type="dxa"/>
            <w:tcBorders>
              <w:top w:val="nil"/>
              <w:left w:val="nil"/>
              <w:bottom w:val="nil"/>
              <w:right w:val="nil"/>
            </w:tcBorders>
            <w:shd w:val="clear" w:color="000000" w:fill="BFBFBF"/>
            <w:vAlign w:val="center"/>
            <w:hideMark/>
          </w:tcPr>
          <w:p w14:paraId="535688C5" w14:textId="77777777" w:rsidR="00133DF3" w:rsidRPr="00B50871" w:rsidRDefault="00133DF3" w:rsidP="00D50F04">
            <w:pPr>
              <w:pStyle w:val="Tabletext"/>
              <w:spacing w:line="220" w:lineRule="exact"/>
              <w:jc w:val="center"/>
              <w:rPr>
                <w:b/>
                <w:sz w:val="24"/>
              </w:rPr>
            </w:pPr>
            <w:r w:rsidRPr="00B50871">
              <w:rPr>
                <w:b/>
                <w:sz w:val="24"/>
              </w:rPr>
              <w:t>2025</w:t>
            </w:r>
          </w:p>
        </w:tc>
        <w:tc>
          <w:tcPr>
            <w:tcW w:w="727" w:type="dxa"/>
            <w:tcBorders>
              <w:top w:val="nil"/>
              <w:left w:val="nil"/>
              <w:bottom w:val="nil"/>
              <w:right w:val="single" w:sz="2" w:space="0" w:color="FFFFFF" w:themeColor="background1"/>
            </w:tcBorders>
            <w:shd w:val="clear" w:color="000000" w:fill="BFBFBF"/>
            <w:vAlign w:val="center"/>
            <w:hideMark/>
          </w:tcPr>
          <w:p w14:paraId="39C9CD8D" w14:textId="77777777" w:rsidR="00133DF3" w:rsidRPr="00B50871" w:rsidRDefault="00133DF3" w:rsidP="00D50F04">
            <w:pPr>
              <w:pStyle w:val="Tabletext"/>
              <w:spacing w:line="220" w:lineRule="exact"/>
              <w:jc w:val="center"/>
              <w:rPr>
                <w:b/>
                <w:sz w:val="24"/>
              </w:rPr>
            </w:pPr>
            <w:r w:rsidRPr="00B50871">
              <w:rPr>
                <w:b/>
                <w:sz w:val="24"/>
              </w:rPr>
              <w:t>2026</w:t>
            </w:r>
          </w:p>
        </w:tc>
      </w:tr>
      <w:tr w:rsidR="00133DF3" w:rsidRPr="007F6489" w14:paraId="28398E12" w14:textId="77777777" w:rsidTr="008167F5">
        <w:trPr>
          <w:trHeight w:val="427"/>
          <w:jc w:val="center"/>
        </w:trPr>
        <w:tc>
          <w:tcPr>
            <w:tcW w:w="3701" w:type="dxa"/>
            <w:tcBorders>
              <w:top w:val="nil"/>
              <w:left w:val="single" w:sz="2" w:space="0" w:color="FFFFFF" w:themeColor="background1"/>
              <w:right w:val="nil"/>
            </w:tcBorders>
            <w:shd w:val="clear" w:color="000000" w:fill="C0C0C0"/>
            <w:vAlign w:val="center"/>
            <w:hideMark/>
          </w:tcPr>
          <w:p w14:paraId="4E9FD090" w14:textId="77777777" w:rsidR="00133DF3" w:rsidRPr="007F6489" w:rsidRDefault="00133DF3" w:rsidP="00D50F04">
            <w:pPr>
              <w:pStyle w:val="Tabletext"/>
              <w:spacing w:line="220" w:lineRule="exact"/>
            </w:pPr>
          </w:p>
        </w:tc>
        <w:tc>
          <w:tcPr>
            <w:tcW w:w="1868" w:type="dxa"/>
            <w:tcBorders>
              <w:top w:val="nil"/>
              <w:left w:val="nil"/>
              <w:right w:val="single" w:sz="2" w:space="0" w:color="FFFFFF" w:themeColor="background1"/>
            </w:tcBorders>
            <w:shd w:val="clear" w:color="000000" w:fill="C0C0C0"/>
            <w:vAlign w:val="center"/>
            <w:hideMark/>
          </w:tcPr>
          <w:p w14:paraId="64111142" w14:textId="77777777" w:rsidR="00133DF3" w:rsidRPr="007F6489" w:rsidRDefault="00133DF3" w:rsidP="00D50F04">
            <w:pPr>
              <w:pStyle w:val="Tabletext"/>
              <w:spacing w:line="220" w:lineRule="exact"/>
            </w:pPr>
          </w:p>
        </w:tc>
        <w:tc>
          <w:tcPr>
            <w:tcW w:w="982" w:type="dxa"/>
            <w:tcBorders>
              <w:top w:val="nil"/>
              <w:left w:val="single" w:sz="2" w:space="0" w:color="FFFFFF" w:themeColor="background1"/>
              <w:right w:val="single" w:sz="2" w:space="0" w:color="FFFFFF" w:themeColor="background1"/>
            </w:tcBorders>
            <w:shd w:val="clear" w:color="000000" w:fill="BFBFBF"/>
            <w:vAlign w:val="center"/>
            <w:hideMark/>
          </w:tcPr>
          <w:p w14:paraId="7DCFEEDC" w14:textId="77777777" w:rsidR="00133DF3" w:rsidRPr="007F6489" w:rsidRDefault="00133DF3" w:rsidP="00D50F04">
            <w:pPr>
              <w:pStyle w:val="Tabletext"/>
              <w:spacing w:line="220" w:lineRule="exact"/>
              <w:jc w:val="center"/>
            </w:pPr>
            <w:r w:rsidRPr="007F6489">
              <w:t>bn EUR</w:t>
            </w:r>
          </w:p>
        </w:tc>
        <w:tc>
          <w:tcPr>
            <w:tcW w:w="2351" w:type="dxa"/>
            <w:gridSpan w:val="3"/>
            <w:tcBorders>
              <w:top w:val="nil"/>
              <w:left w:val="single" w:sz="2" w:space="0" w:color="FFFFFF" w:themeColor="background1"/>
              <w:right w:val="single" w:sz="2" w:space="0" w:color="FFFFFF" w:themeColor="background1"/>
            </w:tcBorders>
            <w:shd w:val="clear" w:color="000000" w:fill="BFBFBF"/>
            <w:vAlign w:val="center"/>
            <w:hideMark/>
          </w:tcPr>
          <w:p w14:paraId="2D0B5E9E" w14:textId="77777777" w:rsidR="00133DF3" w:rsidRPr="007F6489" w:rsidRDefault="00133DF3" w:rsidP="00D50F04">
            <w:pPr>
              <w:pStyle w:val="Tabletext"/>
              <w:spacing w:line="220" w:lineRule="exact"/>
              <w:jc w:val="center"/>
            </w:pPr>
            <w:r w:rsidRPr="007F6489">
              <w:t>% GDP</w:t>
            </w:r>
          </w:p>
        </w:tc>
      </w:tr>
      <w:tr w:rsidR="00133DF3" w:rsidRPr="00B50871" w14:paraId="4B6EA04A" w14:textId="77777777" w:rsidTr="008167F5">
        <w:trPr>
          <w:trHeight w:val="192"/>
          <w:jc w:val="center"/>
        </w:trPr>
        <w:tc>
          <w:tcPr>
            <w:tcW w:w="3701" w:type="dxa"/>
            <w:tcBorders>
              <w:top w:val="nil"/>
              <w:left w:val="single" w:sz="2" w:space="0" w:color="FFFFFF" w:themeColor="background1"/>
            </w:tcBorders>
            <w:shd w:val="clear" w:color="000000" w:fill="BFBFBF"/>
            <w:vAlign w:val="center"/>
            <w:hideMark/>
          </w:tcPr>
          <w:p w14:paraId="430C04A2" w14:textId="77777777" w:rsidR="00133DF3" w:rsidRPr="00B50871" w:rsidRDefault="00133DF3" w:rsidP="00D50F04">
            <w:pPr>
              <w:pStyle w:val="Tabletext"/>
              <w:spacing w:line="220" w:lineRule="exact"/>
              <w:rPr>
                <w:b/>
                <w:sz w:val="24"/>
              </w:rPr>
            </w:pPr>
            <w:r w:rsidRPr="00B50871">
              <w:rPr>
                <w:b/>
                <w:sz w:val="24"/>
              </w:rPr>
              <w:t>Revenue</w:t>
            </w:r>
          </w:p>
        </w:tc>
        <w:tc>
          <w:tcPr>
            <w:tcW w:w="1868" w:type="dxa"/>
            <w:tcBorders>
              <w:top w:val="nil"/>
            </w:tcBorders>
            <w:shd w:val="clear" w:color="000000" w:fill="BFBFBF"/>
            <w:vAlign w:val="center"/>
            <w:hideMark/>
          </w:tcPr>
          <w:p w14:paraId="3F1A8841" w14:textId="77777777" w:rsidR="00133DF3" w:rsidRPr="00B50871" w:rsidRDefault="00133DF3" w:rsidP="00D50F04">
            <w:pPr>
              <w:pStyle w:val="Tabletext"/>
              <w:spacing w:line="220" w:lineRule="exact"/>
              <w:rPr>
                <w:b/>
                <w:sz w:val="24"/>
              </w:rPr>
            </w:pPr>
            <w:r w:rsidRPr="00B50871">
              <w:rPr>
                <w:b/>
                <w:sz w:val="24"/>
              </w:rPr>
              <w:t> </w:t>
            </w:r>
          </w:p>
        </w:tc>
        <w:tc>
          <w:tcPr>
            <w:tcW w:w="982" w:type="dxa"/>
            <w:tcBorders>
              <w:top w:val="nil"/>
            </w:tcBorders>
            <w:shd w:val="clear" w:color="000000" w:fill="BFBFBF"/>
            <w:vAlign w:val="center"/>
            <w:hideMark/>
          </w:tcPr>
          <w:p w14:paraId="77E9F170" w14:textId="77777777" w:rsidR="00133DF3" w:rsidRPr="00B50871" w:rsidRDefault="00133DF3" w:rsidP="00D50F04">
            <w:pPr>
              <w:pStyle w:val="Tabletext"/>
              <w:spacing w:line="220" w:lineRule="exact"/>
              <w:jc w:val="center"/>
              <w:rPr>
                <w:b/>
                <w:sz w:val="24"/>
              </w:rPr>
            </w:pPr>
          </w:p>
        </w:tc>
        <w:tc>
          <w:tcPr>
            <w:tcW w:w="718" w:type="dxa"/>
            <w:tcBorders>
              <w:top w:val="nil"/>
            </w:tcBorders>
            <w:shd w:val="clear" w:color="000000" w:fill="BFBFBF"/>
            <w:vAlign w:val="center"/>
            <w:hideMark/>
          </w:tcPr>
          <w:p w14:paraId="64E04EFF" w14:textId="77777777" w:rsidR="00133DF3" w:rsidRPr="00B50871" w:rsidRDefault="00133DF3" w:rsidP="00D50F04">
            <w:pPr>
              <w:pStyle w:val="Tabletext"/>
              <w:spacing w:line="220" w:lineRule="exact"/>
              <w:jc w:val="center"/>
              <w:rPr>
                <w:b/>
                <w:sz w:val="24"/>
              </w:rPr>
            </w:pPr>
          </w:p>
        </w:tc>
        <w:tc>
          <w:tcPr>
            <w:tcW w:w="906" w:type="dxa"/>
            <w:tcBorders>
              <w:top w:val="nil"/>
            </w:tcBorders>
            <w:shd w:val="clear" w:color="000000" w:fill="BFBFBF"/>
            <w:vAlign w:val="center"/>
            <w:hideMark/>
          </w:tcPr>
          <w:p w14:paraId="0C43697A" w14:textId="77777777" w:rsidR="00133DF3" w:rsidRPr="00B50871" w:rsidRDefault="00133DF3" w:rsidP="00D50F04">
            <w:pPr>
              <w:pStyle w:val="Tabletext"/>
              <w:spacing w:line="220" w:lineRule="exact"/>
              <w:jc w:val="center"/>
              <w:rPr>
                <w:b/>
                <w:sz w:val="24"/>
              </w:rPr>
            </w:pPr>
          </w:p>
        </w:tc>
        <w:tc>
          <w:tcPr>
            <w:tcW w:w="727" w:type="dxa"/>
            <w:tcBorders>
              <w:top w:val="nil"/>
              <w:right w:val="single" w:sz="2" w:space="0" w:color="FFFFFF" w:themeColor="background1"/>
            </w:tcBorders>
            <w:shd w:val="clear" w:color="000000" w:fill="BFBFBF"/>
            <w:vAlign w:val="center"/>
            <w:hideMark/>
          </w:tcPr>
          <w:p w14:paraId="113222D3" w14:textId="77777777" w:rsidR="00133DF3" w:rsidRPr="00B50871" w:rsidRDefault="00133DF3" w:rsidP="00D50F04">
            <w:pPr>
              <w:pStyle w:val="Tabletext"/>
              <w:spacing w:line="220" w:lineRule="exact"/>
              <w:jc w:val="center"/>
              <w:rPr>
                <w:b/>
                <w:sz w:val="24"/>
              </w:rPr>
            </w:pPr>
          </w:p>
        </w:tc>
      </w:tr>
      <w:tr w:rsidR="00133DF3" w:rsidRPr="009B2283" w14:paraId="3D9698A2" w14:textId="77777777" w:rsidTr="008167F5">
        <w:trPr>
          <w:trHeight w:val="284"/>
          <w:jc w:val="center"/>
        </w:trPr>
        <w:tc>
          <w:tcPr>
            <w:tcW w:w="3701" w:type="dxa"/>
            <w:tcBorders>
              <w:top w:val="nil"/>
              <w:left w:val="single" w:sz="2" w:space="0" w:color="FFFFFF" w:themeColor="background1"/>
              <w:bottom w:val="single" w:sz="2" w:space="0" w:color="FFFFFF" w:themeColor="background1"/>
            </w:tcBorders>
            <w:shd w:val="clear" w:color="000000" w:fill="F2F2F2"/>
            <w:vAlign w:val="center"/>
            <w:hideMark/>
          </w:tcPr>
          <w:p w14:paraId="6E081417" w14:textId="77777777" w:rsidR="00133DF3" w:rsidRPr="004D6E50" w:rsidRDefault="00133DF3" w:rsidP="00D50F04">
            <w:pPr>
              <w:pStyle w:val="Tabletext"/>
              <w:spacing w:line="220" w:lineRule="exact"/>
              <w:ind w:left="321" w:hanging="284"/>
            </w:pPr>
            <w:r w:rsidRPr="004D6E50">
              <w:t xml:space="preserve">1. </w:t>
            </w:r>
            <w:r>
              <w:t xml:space="preserve"> </w:t>
            </w:r>
            <w:r w:rsidRPr="004D6E50">
              <w:t>Taxes on production and imports</w:t>
            </w:r>
          </w:p>
        </w:tc>
        <w:tc>
          <w:tcPr>
            <w:tcW w:w="1868" w:type="dxa"/>
            <w:tcBorders>
              <w:top w:val="nil"/>
              <w:bottom w:val="single" w:sz="2" w:space="0" w:color="FFFFFF" w:themeColor="background1"/>
              <w:right w:val="single" w:sz="2" w:space="0" w:color="FFFFFF" w:themeColor="background1"/>
            </w:tcBorders>
            <w:shd w:val="clear" w:color="000000" w:fill="F2F2F2"/>
            <w:vAlign w:val="center"/>
            <w:hideMark/>
          </w:tcPr>
          <w:p w14:paraId="46F7B50F" w14:textId="77777777" w:rsidR="00133DF3" w:rsidRPr="004D6E50" w:rsidRDefault="00133DF3" w:rsidP="00D50F04">
            <w:pPr>
              <w:pStyle w:val="Tabletext"/>
              <w:spacing w:line="220" w:lineRule="exact"/>
            </w:pPr>
            <w:r w:rsidRPr="004D6E50">
              <w:t>D.2</w:t>
            </w:r>
          </w:p>
        </w:tc>
        <w:tc>
          <w:tcPr>
            <w:tcW w:w="982" w:type="dxa"/>
            <w:tcBorders>
              <w:top w:val="nil"/>
              <w:left w:val="single" w:sz="2" w:space="0" w:color="FFFFFF" w:themeColor="background1"/>
              <w:right w:val="single" w:sz="2" w:space="0" w:color="FFFFFF" w:themeColor="background1"/>
            </w:tcBorders>
            <w:shd w:val="clear" w:color="000000" w:fill="F2F2F2"/>
            <w:vAlign w:val="center"/>
            <w:hideMark/>
          </w:tcPr>
          <w:p w14:paraId="27E9E049" w14:textId="77777777" w:rsidR="00133DF3" w:rsidRPr="004D6E50" w:rsidRDefault="00133DF3" w:rsidP="00D50F04">
            <w:pPr>
              <w:pStyle w:val="Tabletext"/>
              <w:spacing w:line="220" w:lineRule="exact"/>
              <w:jc w:val="center"/>
            </w:pPr>
            <w:r w:rsidRPr="004D6E50">
              <w:t>40.0</w:t>
            </w:r>
          </w:p>
        </w:tc>
        <w:tc>
          <w:tcPr>
            <w:tcW w:w="718" w:type="dxa"/>
            <w:tcBorders>
              <w:top w:val="nil"/>
              <w:left w:val="single" w:sz="2" w:space="0" w:color="FFFFFF" w:themeColor="background1"/>
              <w:bottom w:val="single" w:sz="2" w:space="0" w:color="FFFFFF" w:themeColor="background1"/>
            </w:tcBorders>
            <w:shd w:val="clear" w:color="000000" w:fill="F2F2F2"/>
            <w:vAlign w:val="center"/>
            <w:hideMark/>
          </w:tcPr>
          <w:p w14:paraId="524E1035" w14:textId="77777777" w:rsidR="00133DF3" w:rsidRPr="004D6E50" w:rsidRDefault="00133DF3" w:rsidP="00D50F04">
            <w:pPr>
              <w:pStyle w:val="Tabletext"/>
              <w:spacing w:line="220" w:lineRule="exact"/>
              <w:jc w:val="center"/>
            </w:pPr>
            <w:r w:rsidRPr="004D6E50">
              <w:t>16.9</w:t>
            </w:r>
          </w:p>
        </w:tc>
        <w:tc>
          <w:tcPr>
            <w:tcW w:w="906" w:type="dxa"/>
            <w:tcBorders>
              <w:top w:val="nil"/>
              <w:bottom w:val="single" w:sz="2" w:space="0" w:color="FFFFFF" w:themeColor="background1"/>
            </w:tcBorders>
            <w:shd w:val="clear" w:color="000000" w:fill="F2F2F2"/>
            <w:vAlign w:val="center"/>
            <w:hideMark/>
          </w:tcPr>
          <w:p w14:paraId="17D0AA3B" w14:textId="77777777" w:rsidR="00133DF3" w:rsidRPr="004D6E50" w:rsidRDefault="00133DF3" w:rsidP="00D50F04">
            <w:pPr>
              <w:pStyle w:val="Tabletext"/>
              <w:spacing w:line="220" w:lineRule="exact"/>
              <w:jc w:val="center"/>
            </w:pPr>
            <w:r w:rsidRPr="004D6E50">
              <w:t>17.0</w:t>
            </w:r>
          </w:p>
        </w:tc>
        <w:tc>
          <w:tcPr>
            <w:tcW w:w="727" w:type="dxa"/>
            <w:tcBorders>
              <w:top w:val="nil"/>
              <w:bottom w:val="single" w:sz="2" w:space="0" w:color="FFFFFF" w:themeColor="background1"/>
              <w:right w:val="single" w:sz="2" w:space="0" w:color="FFFFFF" w:themeColor="background1"/>
            </w:tcBorders>
            <w:shd w:val="clear" w:color="000000" w:fill="F2F2F2"/>
            <w:vAlign w:val="center"/>
            <w:hideMark/>
          </w:tcPr>
          <w:p w14:paraId="3B1F5F44" w14:textId="77777777" w:rsidR="00133DF3" w:rsidRPr="004D6E50" w:rsidRDefault="00133DF3" w:rsidP="00D50F04">
            <w:pPr>
              <w:pStyle w:val="Tabletext"/>
              <w:spacing w:line="220" w:lineRule="exact"/>
              <w:jc w:val="center"/>
            </w:pPr>
            <w:r w:rsidRPr="004D6E50">
              <w:t>16.8</w:t>
            </w:r>
          </w:p>
        </w:tc>
      </w:tr>
      <w:tr w:rsidR="00133DF3" w:rsidRPr="009B2283" w14:paraId="4A87A76D"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556A4C07" w14:textId="77777777" w:rsidR="00133DF3" w:rsidRPr="004D6E50" w:rsidRDefault="00133DF3" w:rsidP="00D50F04">
            <w:pPr>
              <w:pStyle w:val="Tabletext"/>
              <w:spacing w:line="220" w:lineRule="exact"/>
              <w:ind w:left="321" w:hanging="284"/>
            </w:pPr>
            <w:r w:rsidRPr="004D6E50">
              <w:t xml:space="preserve">2. </w:t>
            </w:r>
            <w:r>
              <w:t xml:space="preserve"> </w:t>
            </w:r>
            <w:r w:rsidRPr="004D6E50">
              <w:t xml:space="preserve">Current taxes on income, </w:t>
            </w:r>
            <w:r>
              <w:br/>
            </w:r>
            <w:r w:rsidRPr="004D6E50">
              <w:t>wealth, etc</w:t>
            </w:r>
            <w:r>
              <w:t>.</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69F385D4" w14:textId="77777777" w:rsidR="00133DF3" w:rsidRPr="004D6E50" w:rsidRDefault="00133DF3" w:rsidP="00D50F04">
            <w:pPr>
              <w:pStyle w:val="Tabletext"/>
              <w:spacing w:line="220" w:lineRule="exact"/>
            </w:pPr>
            <w:r w:rsidRPr="004D6E50">
              <w:t>D.5</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3E61F553" w14:textId="77777777" w:rsidR="00133DF3" w:rsidRPr="004D6E50" w:rsidRDefault="00133DF3" w:rsidP="00D50F04">
            <w:pPr>
              <w:pStyle w:val="Tabletext"/>
              <w:spacing w:line="220" w:lineRule="exact"/>
              <w:jc w:val="center"/>
            </w:pPr>
            <w:r w:rsidRPr="004D6E50">
              <w:t>26.4</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4F0D4CCA" w14:textId="77777777" w:rsidR="00133DF3" w:rsidRPr="004D6E50" w:rsidRDefault="00133DF3" w:rsidP="00D50F04">
            <w:pPr>
              <w:pStyle w:val="Tabletext"/>
              <w:spacing w:line="220" w:lineRule="exact"/>
              <w:jc w:val="center"/>
            </w:pPr>
            <w:r w:rsidRPr="004D6E50">
              <w:t>11.1</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4C47C0D7" w14:textId="77777777" w:rsidR="00133DF3" w:rsidRPr="004D6E50" w:rsidRDefault="00133DF3" w:rsidP="00D50F04">
            <w:pPr>
              <w:pStyle w:val="Tabletext"/>
              <w:spacing w:line="220" w:lineRule="exact"/>
              <w:jc w:val="center"/>
            </w:pPr>
            <w:r w:rsidRPr="004D6E50">
              <w:t>10.7</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77BDE1AD" w14:textId="77777777" w:rsidR="00133DF3" w:rsidRPr="004D6E50" w:rsidRDefault="00133DF3" w:rsidP="00D50F04">
            <w:pPr>
              <w:pStyle w:val="Tabletext"/>
              <w:spacing w:line="220" w:lineRule="exact"/>
              <w:jc w:val="center"/>
            </w:pPr>
            <w:r w:rsidRPr="004D6E50">
              <w:t>10.6</w:t>
            </w:r>
          </w:p>
        </w:tc>
      </w:tr>
      <w:tr w:rsidR="00133DF3" w:rsidRPr="009B2283" w14:paraId="2CE67F51"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512EEAEC" w14:textId="77777777" w:rsidR="00133DF3" w:rsidRPr="004D6E50" w:rsidRDefault="00133DF3" w:rsidP="00D50F04">
            <w:pPr>
              <w:pStyle w:val="Tabletext"/>
              <w:spacing w:line="220" w:lineRule="exact"/>
              <w:ind w:left="321" w:hanging="284"/>
            </w:pPr>
            <w:r w:rsidRPr="004D6E50">
              <w:t xml:space="preserve">3. </w:t>
            </w:r>
            <w:r>
              <w:t xml:space="preserve"> </w:t>
            </w:r>
            <w:r w:rsidRPr="004D6E50">
              <w:t>Social contributions</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0FF72FE9" w14:textId="77777777" w:rsidR="00133DF3" w:rsidRPr="004D6E50" w:rsidRDefault="00133DF3" w:rsidP="00D50F04">
            <w:pPr>
              <w:pStyle w:val="Tabletext"/>
              <w:spacing w:line="220" w:lineRule="exact"/>
            </w:pPr>
            <w:r w:rsidRPr="004D6E50">
              <w:t>D.61</w:t>
            </w:r>
          </w:p>
        </w:tc>
        <w:tc>
          <w:tcPr>
            <w:tcW w:w="982" w:type="dxa"/>
            <w:tcBorders>
              <w:left w:val="single" w:sz="2" w:space="0" w:color="FFFFFF" w:themeColor="background1"/>
              <w:right w:val="single" w:sz="2" w:space="0" w:color="FFFFFF" w:themeColor="background1"/>
            </w:tcBorders>
            <w:shd w:val="clear" w:color="000000" w:fill="F2F2F2"/>
            <w:vAlign w:val="center"/>
            <w:hideMark/>
          </w:tcPr>
          <w:p w14:paraId="18F5BEC3" w14:textId="77777777" w:rsidR="00133DF3" w:rsidRPr="004D6E50" w:rsidRDefault="00133DF3" w:rsidP="00D50F04">
            <w:pPr>
              <w:pStyle w:val="Tabletext"/>
              <w:spacing w:line="220" w:lineRule="exact"/>
              <w:jc w:val="center"/>
            </w:pPr>
            <w:r w:rsidRPr="004D6E50">
              <w:t>31.5</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26A3EC66" w14:textId="77777777" w:rsidR="00133DF3" w:rsidRPr="004D6E50" w:rsidRDefault="00133DF3" w:rsidP="00D50F04">
            <w:pPr>
              <w:pStyle w:val="Tabletext"/>
              <w:spacing w:line="220" w:lineRule="exact"/>
              <w:jc w:val="center"/>
            </w:pPr>
            <w:r w:rsidRPr="004D6E50">
              <w:t>13.3</w:t>
            </w:r>
          </w:p>
        </w:tc>
        <w:tc>
          <w:tcPr>
            <w:tcW w:w="906" w:type="dxa"/>
            <w:tcBorders>
              <w:top w:val="single" w:sz="2" w:space="0" w:color="FFFFFF" w:themeColor="background1"/>
              <w:bottom w:val="single" w:sz="2" w:space="0" w:color="FFFFFF" w:themeColor="background1"/>
            </w:tcBorders>
            <w:shd w:val="clear" w:color="000000" w:fill="F2F2F2"/>
            <w:vAlign w:val="center"/>
            <w:hideMark/>
          </w:tcPr>
          <w:p w14:paraId="79B0C950" w14:textId="77777777" w:rsidR="00133DF3" w:rsidRPr="004D6E50" w:rsidRDefault="00133DF3" w:rsidP="00D50F04">
            <w:pPr>
              <w:pStyle w:val="Tabletext"/>
              <w:spacing w:line="220" w:lineRule="exact"/>
              <w:jc w:val="center"/>
            </w:pPr>
            <w:r w:rsidRPr="004D6E50">
              <w:t>13.0</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0E27EE1D" w14:textId="77777777" w:rsidR="00133DF3" w:rsidRPr="004D6E50" w:rsidRDefault="00133DF3" w:rsidP="00D50F04">
            <w:pPr>
              <w:pStyle w:val="Tabletext"/>
              <w:spacing w:line="220" w:lineRule="exact"/>
              <w:jc w:val="center"/>
            </w:pPr>
            <w:r w:rsidRPr="004D6E50">
              <w:t>12.9</w:t>
            </w:r>
          </w:p>
        </w:tc>
      </w:tr>
      <w:tr w:rsidR="00133DF3" w:rsidRPr="009B2283" w14:paraId="1943736C"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auto" w:fill="D9D9D9" w:themeFill="background1" w:themeFillShade="D9"/>
            <w:vAlign w:val="center"/>
            <w:hideMark/>
          </w:tcPr>
          <w:p w14:paraId="21AF036B" w14:textId="77777777" w:rsidR="00133DF3" w:rsidRPr="004D6E50" w:rsidRDefault="00133DF3" w:rsidP="00D50F04">
            <w:pPr>
              <w:pStyle w:val="Tabletext"/>
              <w:spacing w:line="220" w:lineRule="exact"/>
              <w:ind w:left="321" w:hanging="284"/>
            </w:pPr>
            <w:r w:rsidRPr="004D6E50">
              <w:t xml:space="preserve">4. </w:t>
            </w:r>
            <w:r>
              <w:t xml:space="preserve"> </w:t>
            </w:r>
            <w:r w:rsidRPr="004D6E50">
              <w:t>Other current revenue</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hideMark/>
          </w:tcPr>
          <w:p w14:paraId="5222F42A" w14:textId="77777777" w:rsidR="00133DF3" w:rsidRPr="004D6E50" w:rsidRDefault="00133DF3" w:rsidP="00D50F04">
            <w:pPr>
              <w:pStyle w:val="Tabletext"/>
              <w:spacing w:line="220" w:lineRule="exact"/>
            </w:pPr>
            <w:r w:rsidRPr="004D6E50">
              <w:t>(P.11+P.12+P.131) + D.39 + D.4 + D.7</w:t>
            </w:r>
          </w:p>
        </w:tc>
        <w:tc>
          <w:tcPr>
            <w:tcW w:w="982" w:type="dxa"/>
            <w:tcBorders>
              <w:left w:val="single" w:sz="2" w:space="0" w:color="FFFFFF" w:themeColor="background1"/>
              <w:right w:val="single" w:sz="2" w:space="0" w:color="FFFFFF" w:themeColor="background1"/>
            </w:tcBorders>
            <w:shd w:val="clear" w:color="auto" w:fill="D9D9D9" w:themeFill="background1" w:themeFillShade="D9"/>
            <w:vAlign w:val="center"/>
            <w:hideMark/>
          </w:tcPr>
          <w:p w14:paraId="21FDD65C" w14:textId="77777777" w:rsidR="00133DF3" w:rsidRPr="004D6E50" w:rsidRDefault="00133DF3" w:rsidP="00D50F04">
            <w:pPr>
              <w:pStyle w:val="Tabletext"/>
              <w:spacing w:line="220" w:lineRule="exact"/>
              <w:jc w:val="center"/>
            </w:pPr>
            <w:r w:rsidRPr="004D6E50">
              <w:t>13.2</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auto" w:fill="D9D9D9" w:themeFill="background1" w:themeFillShade="D9"/>
            <w:vAlign w:val="center"/>
            <w:hideMark/>
          </w:tcPr>
          <w:p w14:paraId="22155EDE" w14:textId="77777777" w:rsidR="00133DF3" w:rsidRPr="004D6E50" w:rsidRDefault="00133DF3" w:rsidP="00D50F04">
            <w:pPr>
              <w:pStyle w:val="Tabletext"/>
              <w:spacing w:line="220" w:lineRule="exact"/>
              <w:jc w:val="center"/>
            </w:pPr>
            <w:r w:rsidRPr="004D6E50">
              <w:t>5.6</w:t>
            </w:r>
          </w:p>
        </w:tc>
        <w:tc>
          <w:tcPr>
            <w:tcW w:w="906" w:type="dxa"/>
            <w:tcBorders>
              <w:top w:val="single" w:sz="2" w:space="0" w:color="FFFFFF" w:themeColor="background1"/>
              <w:bottom w:val="single" w:sz="2" w:space="0" w:color="FFFFFF" w:themeColor="background1"/>
            </w:tcBorders>
            <w:shd w:val="clear" w:color="auto" w:fill="D9D9D9" w:themeFill="background1" w:themeFillShade="D9"/>
            <w:vAlign w:val="center"/>
            <w:hideMark/>
          </w:tcPr>
          <w:p w14:paraId="28E51D27" w14:textId="77777777" w:rsidR="00133DF3" w:rsidRPr="004D6E50" w:rsidRDefault="00133DF3" w:rsidP="00D50F04">
            <w:pPr>
              <w:pStyle w:val="Tabletext"/>
              <w:spacing w:line="220" w:lineRule="exact"/>
              <w:jc w:val="center"/>
            </w:pPr>
            <w:r w:rsidRPr="004D6E50">
              <w:t>5.5</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hideMark/>
          </w:tcPr>
          <w:p w14:paraId="789C24FA" w14:textId="77777777" w:rsidR="00133DF3" w:rsidRPr="004D6E50" w:rsidRDefault="00133DF3" w:rsidP="00D50F04">
            <w:pPr>
              <w:pStyle w:val="Tabletext"/>
              <w:spacing w:line="220" w:lineRule="exact"/>
              <w:jc w:val="center"/>
            </w:pPr>
            <w:r w:rsidRPr="004D6E50">
              <w:t>4.9</w:t>
            </w:r>
          </w:p>
        </w:tc>
      </w:tr>
      <w:tr w:rsidR="00133DF3" w:rsidRPr="009B2283" w14:paraId="6117A81E"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4BAFBF97" w14:textId="77777777" w:rsidR="00133DF3" w:rsidRPr="004D6E50" w:rsidRDefault="00133DF3" w:rsidP="00D50F04">
            <w:pPr>
              <w:pStyle w:val="Tabletext"/>
              <w:spacing w:line="220" w:lineRule="exact"/>
              <w:ind w:left="321" w:hanging="284"/>
            </w:pPr>
            <w:r w:rsidRPr="004D6E50">
              <w:t xml:space="preserve">5. </w:t>
            </w:r>
            <w:r>
              <w:t xml:space="preserve"> </w:t>
            </w:r>
            <w:r w:rsidRPr="004D6E50">
              <w:t>Capital taxes</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3055D707" w14:textId="77777777" w:rsidR="00133DF3" w:rsidRPr="004D6E50" w:rsidRDefault="00133DF3" w:rsidP="00D50F04">
            <w:pPr>
              <w:pStyle w:val="Tabletext"/>
              <w:spacing w:line="220" w:lineRule="exact"/>
            </w:pPr>
            <w:r w:rsidRPr="004D6E50">
              <w:t>D.91</w:t>
            </w:r>
          </w:p>
        </w:tc>
        <w:tc>
          <w:tcPr>
            <w:tcW w:w="982" w:type="dxa"/>
            <w:tcBorders>
              <w:left w:val="single" w:sz="2" w:space="0" w:color="FFFFFF" w:themeColor="background1"/>
              <w:right w:val="single" w:sz="2" w:space="0" w:color="FFFFFF" w:themeColor="background1"/>
            </w:tcBorders>
            <w:shd w:val="clear" w:color="000000" w:fill="F2F2F2"/>
            <w:vAlign w:val="center"/>
            <w:hideMark/>
          </w:tcPr>
          <w:p w14:paraId="6826F2D8" w14:textId="77777777" w:rsidR="00133DF3" w:rsidRPr="004D6E50" w:rsidRDefault="00133DF3" w:rsidP="00D50F04">
            <w:pPr>
              <w:pStyle w:val="Tabletext"/>
              <w:spacing w:line="220" w:lineRule="exact"/>
              <w:jc w:val="center"/>
            </w:pPr>
            <w:r w:rsidRPr="004D6E50">
              <w:t>0.3</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393F375D" w14:textId="77777777" w:rsidR="00133DF3" w:rsidRPr="004D6E50" w:rsidRDefault="00133DF3" w:rsidP="00D50F04">
            <w:pPr>
              <w:pStyle w:val="Tabletext"/>
              <w:spacing w:line="220" w:lineRule="exact"/>
              <w:jc w:val="center"/>
            </w:pPr>
            <w:r w:rsidRPr="004D6E50">
              <w:t>0.1</w:t>
            </w:r>
          </w:p>
        </w:tc>
        <w:tc>
          <w:tcPr>
            <w:tcW w:w="906" w:type="dxa"/>
            <w:tcBorders>
              <w:top w:val="single" w:sz="2" w:space="0" w:color="FFFFFF" w:themeColor="background1"/>
              <w:bottom w:val="single" w:sz="2" w:space="0" w:color="FFFFFF" w:themeColor="background1"/>
            </w:tcBorders>
            <w:shd w:val="clear" w:color="000000" w:fill="F2F2F2"/>
            <w:vAlign w:val="center"/>
            <w:hideMark/>
          </w:tcPr>
          <w:p w14:paraId="493BBE08" w14:textId="77777777" w:rsidR="00133DF3" w:rsidRPr="004D6E50" w:rsidRDefault="00133DF3" w:rsidP="00D50F04">
            <w:pPr>
              <w:pStyle w:val="Tabletext"/>
              <w:spacing w:line="220" w:lineRule="exact"/>
              <w:jc w:val="center"/>
            </w:pPr>
            <w:r w:rsidRPr="004D6E50">
              <w:t>0.1</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13F60B2E" w14:textId="77777777" w:rsidR="00133DF3" w:rsidRPr="004D6E50" w:rsidRDefault="00133DF3" w:rsidP="00D50F04">
            <w:pPr>
              <w:pStyle w:val="Tabletext"/>
              <w:spacing w:line="220" w:lineRule="exact"/>
              <w:jc w:val="center"/>
            </w:pPr>
            <w:r w:rsidRPr="004D6E50">
              <w:t>0.1</w:t>
            </w:r>
          </w:p>
        </w:tc>
      </w:tr>
      <w:tr w:rsidR="00133DF3" w:rsidRPr="009B2283" w14:paraId="12A476DC"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639980E1" w14:textId="77777777" w:rsidR="00133DF3" w:rsidRPr="004D6E50" w:rsidRDefault="00133DF3" w:rsidP="00D50F04">
            <w:pPr>
              <w:pStyle w:val="Tabletext"/>
              <w:spacing w:line="220" w:lineRule="exact"/>
              <w:ind w:left="321" w:hanging="284"/>
            </w:pPr>
            <w:r w:rsidRPr="004D6E50">
              <w:t xml:space="preserve">6. </w:t>
            </w:r>
            <w:r>
              <w:t xml:space="preserve"> </w:t>
            </w:r>
            <w:r w:rsidRPr="004D6E50">
              <w:t>Other capital revenue</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12F22CDB" w14:textId="77777777" w:rsidR="00133DF3" w:rsidRPr="004D6E50" w:rsidRDefault="00133DF3" w:rsidP="00D50F04">
            <w:pPr>
              <w:pStyle w:val="Tabletext"/>
              <w:spacing w:line="220" w:lineRule="exact"/>
            </w:pPr>
            <w:r w:rsidRPr="004D6E50">
              <w:t>D.92+D.99</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6FAF7D5C" w14:textId="77777777" w:rsidR="00133DF3" w:rsidRPr="004D6E50" w:rsidRDefault="00133DF3" w:rsidP="00D50F04">
            <w:pPr>
              <w:pStyle w:val="Tabletext"/>
              <w:spacing w:line="220" w:lineRule="exact"/>
              <w:jc w:val="center"/>
            </w:pPr>
            <w:r w:rsidRPr="004D6E50">
              <w:t>6.0</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3A692E47" w14:textId="77777777" w:rsidR="00133DF3" w:rsidRPr="004D6E50" w:rsidRDefault="00133DF3" w:rsidP="00D50F04">
            <w:pPr>
              <w:pStyle w:val="Tabletext"/>
              <w:spacing w:line="220" w:lineRule="exact"/>
              <w:jc w:val="center"/>
            </w:pPr>
            <w:r w:rsidRPr="004D6E50">
              <w:t>2.5</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70213D5F" w14:textId="77777777" w:rsidR="00133DF3" w:rsidRPr="004D6E50" w:rsidRDefault="00133DF3" w:rsidP="00D50F04">
            <w:pPr>
              <w:pStyle w:val="Tabletext"/>
              <w:spacing w:line="220" w:lineRule="exact"/>
              <w:jc w:val="center"/>
            </w:pPr>
            <w:r w:rsidRPr="004D6E50">
              <w:t>2.9</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463C4EB6" w14:textId="77777777" w:rsidR="00133DF3" w:rsidRPr="004D6E50" w:rsidRDefault="00133DF3" w:rsidP="00D50F04">
            <w:pPr>
              <w:pStyle w:val="Tabletext"/>
              <w:spacing w:line="220" w:lineRule="exact"/>
              <w:jc w:val="center"/>
            </w:pPr>
            <w:r w:rsidRPr="004D6E50">
              <w:t>4.3</w:t>
            </w:r>
          </w:p>
        </w:tc>
      </w:tr>
      <w:tr w:rsidR="00133DF3" w:rsidRPr="009B2283" w14:paraId="5E109094"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auto" w:fill="F2F2F2" w:themeFill="background1" w:themeFillShade="F2"/>
            <w:vAlign w:val="center"/>
            <w:hideMark/>
          </w:tcPr>
          <w:p w14:paraId="4A708820" w14:textId="77777777" w:rsidR="00133DF3" w:rsidRPr="004D6E50" w:rsidRDefault="00133DF3" w:rsidP="00D50F04">
            <w:pPr>
              <w:pStyle w:val="Tabletext"/>
              <w:spacing w:line="220" w:lineRule="exact"/>
              <w:ind w:left="321" w:hanging="284"/>
            </w:pPr>
            <w:r w:rsidRPr="004D6E50">
              <w:t xml:space="preserve">7. </w:t>
            </w:r>
            <w:r>
              <w:t xml:space="preserve"> </w:t>
            </w:r>
            <w:r w:rsidRPr="004D6E50">
              <w:t>Total revenue (= 1+2+3+4+5+6)</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hideMark/>
          </w:tcPr>
          <w:p w14:paraId="5A2301EC" w14:textId="77777777" w:rsidR="00133DF3" w:rsidRPr="004D6E50" w:rsidRDefault="00133DF3" w:rsidP="00D50F04">
            <w:pPr>
              <w:pStyle w:val="Tabletext"/>
              <w:spacing w:line="220" w:lineRule="exact"/>
            </w:pPr>
            <w:r w:rsidRPr="004D6E50">
              <w:t>TR</w:t>
            </w:r>
          </w:p>
        </w:tc>
        <w:tc>
          <w:tcPr>
            <w:tcW w:w="982" w:type="dxa"/>
            <w:tcBorders>
              <w:left w:val="single" w:sz="2" w:space="0" w:color="FFFFFF" w:themeColor="background1"/>
              <w:right w:val="single" w:sz="2" w:space="0" w:color="FFFFFF" w:themeColor="background1"/>
            </w:tcBorders>
            <w:shd w:val="clear" w:color="auto" w:fill="F2F2F2" w:themeFill="background1" w:themeFillShade="F2"/>
            <w:vAlign w:val="center"/>
            <w:hideMark/>
          </w:tcPr>
          <w:p w14:paraId="0C0DB3D2" w14:textId="77777777" w:rsidR="00133DF3" w:rsidRPr="004D6E50" w:rsidRDefault="00133DF3" w:rsidP="00D50F04">
            <w:pPr>
              <w:pStyle w:val="Tabletext"/>
              <w:spacing w:line="220" w:lineRule="exact"/>
              <w:jc w:val="center"/>
            </w:pPr>
            <w:r w:rsidRPr="004D6E50">
              <w:t>117.4</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auto" w:fill="F2F2F2" w:themeFill="background1" w:themeFillShade="F2"/>
            <w:vAlign w:val="center"/>
            <w:hideMark/>
          </w:tcPr>
          <w:p w14:paraId="04B84726" w14:textId="77777777" w:rsidR="00133DF3" w:rsidRPr="004D6E50" w:rsidRDefault="00133DF3" w:rsidP="00D50F04">
            <w:pPr>
              <w:pStyle w:val="Tabletext"/>
              <w:spacing w:line="220" w:lineRule="exact"/>
              <w:jc w:val="center"/>
            </w:pPr>
            <w:r w:rsidRPr="004D6E50">
              <w:t>49.4</w:t>
            </w:r>
          </w:p>
        </w:tc>
        <w:tc>
          <w:tcPr>
            <w:tcW w:w="906" w:type="dxa"/>
            <w:tcBorders>
              <w:top w:val="single" w:sz="2" w:space="0" w:color="FFFFFF" w:themeColor="background1"/>
              <w:bottom w:val="single" w:sz="2" w:space="0" w:color="FFFFFF" w:themeColor="background1"/>
            </w:tcBorders>
            <w:shd w:val="clear" w:color="auto" w:fill="F2F2F2" w:themeFill="background1" w:themeFillShade="F2"/>
            <w:vAlign w:val="center"/>
            <w:hideMark/>
          </w:tcPr>
          <w:p w14:paraId="2C8E37B3" w14:textId="77777777" w:rsidR="00133DF3" w:rsidRPr="004D6E50" w:rsidRDefault="00133DF3" w:rsidP="00D50F04">
            <w:pPr>
              <w:pStyle w:val="Tabletext"/>
              <w:spacing w:line="220" w:lineRule="exact"/>
              <w:jc w:val="center"/>
            </w:pPr>
            <w:r w:rsidRPr="004D6E50">
              <w:t>49.2</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hideMark/>
          </w:tcPr>
          <w:p w14:paraId="66FB9F06" w14:textId="77777777" w:rsidR="00133DF3" w:rsidRPr="004D6E50" w:rsidRDefault="00133DF3" w:rsidP="00D50F04">
            <w:pPr>
              <w:pStyle w:val="Tabletext"/>
              <w:spacing w:line="220" w:lineRule="exact"/>
              <w:jc w:val="center"/>
            </w:pPr>
            <w:r w:rsidRPr="004D6E50">
              <w:t>49.6</w:t>
            </w:r>
          </w:p>
        </w:tc>
      </w:tr>
      <w:tr w:rsidR="00133DF3" w:rsidRPr="009B2283" w14:paraId="0B4EBAE7"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3C877115" w14:textId="77777777" w:rsidR="00133DF3" w:rsidRPr="004D6E50" w:rsidRDefault="00133DF3" w:rsidP="00D50F04">
            <w:pPr>
              <w:pStyle w:val="Tabletext"/>
              <w:spacing w:line="220" w:lineRule="exact"/>
              <w:ind w:left="321" w:hanging="284"/>
            </w:pPr>
            <w:r w:rsidRPr="004D6E50">
              <w:t xml:space="preserve">8. </w:t>
            </w:r>
            <w:r>
              <w:t xml:space="preserve"> </w:t>
            </w:r>
            <w:r w:rsidRPr="004D6E50">
              <w:t>Of which: Transfers from the EU (accrued revenue, not cash)</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3309FB03" w14:textId="77777777" w:rsidR="00133DF3" w:rsidRPr="004D6E50" w:rsidRDefault="00133DF3" w:rsidP="00D50F04">
            <w:pPr>
              <w:pStyle w:val="Tabletext"/>
              <w:spacing w:line="220" w:lineRule="exact"/>
            </w:pPr>
            <w:r w:rsidRPr="004D6E50">
              <w:t>D.7EU+D.9EU</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20EF6767" w14:textId="77777777" w:rsidR="00133DF3" w:rsidRPr="004D6E50" w:rsidRDefault="00133DF3" w:rsidP="00D50F04">
            <w:pPr>
              <w:pStyle w:val="Tabletext"/>
              <w:spacing w:line="220" w:lineRule="exact"/>
              <w:jc w:val="center"/>
            </w:pPr>
            <w:r w:rsidRPr="004D6E50">
              <w:t>6.2</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1B5E8E92" w14:textId="77777777" w:rsidR="00133DF3" w:rsidRPr="004D6E50" w:rsidRDefault="00133DF3" w:rsidP="00D50F04">
            <w:pPr>
              <w:pStyle w:val="Tabletext"/>
              <w:spacing w:line="220" w:lineRule="exact"/>
              <w:jc w:val="center"/>
            </w:pPr>
            <w:r w:rsidRPr="004D6E50">
              <w:t>2.6</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15903AB4" w14:textId="77777777" w:rsidR="00133DF3" w:rsidRPr="004D6E50" w:rsidRDefault="00133DF3" w:rsidP="00D50F04">
            <w:pPr>
              <w:pStyle w:val="Tabletext"/>
              <w:spacing w:line="220" w:lineRule="exact"/>
              <w:jc w:val="center"/>
            </w:pPr>
            <w:r w:rsidRPr="004D6E50">
              <w:t>3.8</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5928BFB0" w14:textId="77777777" w:rsidR="00133DF3" w:rsidRPr="004D6E50" w:rsidRDefault="00133DF3" w:rsidP="00D50F04">
            <w:pPr>
              <w:pStyle w:val="Tabletext"/>
              <w:spacing w:line="220" w:lineRule="exact"/>
              <w:jc w:val="center"/>
            </w:pPr>
            <w:r w:rsidRPr="004D6E50">
              <w:t>5.0</w:t>
            </w:r>
          </w:p>
        </w:tc>
      </w:tr>
      <w:tr w:rsidR="00133DF3" w:rsidRPr="009B2283" w14:paraId="2AE1FDD2"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6664DBF9" w14:textId="77777777" w:rsidR="00133DF3" w:rsidRPr="004D6E50" w:rsidRDefault="00133DF3" w:rsidP="00D50F04">
            <w:pPr>
              <w:pStyle w:val="Tabletext"/>
              <w:spacing w:line="220" w:lineRule="exact"/>
              <w:ind w:left="321" w:hanging="284"/>
            </w:pPr>
            <w:r w:rsidRPr="004D6E50">
              <w:t xml:space="preserve">9. </w:t>
            </w:r>
            <w:r>
              <w:t xml:space="preserve"> </w:t>
            </w:r>
            <w:r w:rsidRPr="004D6E50">
              <w:t>Total revenue other than transfers from the EU (= 7-8)</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4657D82B" w14:textId="77777777" w:rsidR="00133DF3" w:rsidRPr="004D6E50" w:rsidRDefault="00133DF3" w:rsidP="00D50F04">
            <w:pPr>
              <w:pStyle w:val="Tabletext"/>
              <w:spacing w:line="220" w:lineRule="exact"/>
            </w:pPr>
            <w:r w:rsidRPr="004D6E50">
              <w:t> </w:t>
            </w:r>
          </w:p>
        </w:tc>
        <w:tc>
          <w:tcPr>
            <w:tcW w:w="982" w:type="dxa"/>
            <w:tcBorders>
              <w:left w:val="single" w:sz="2" w:space="0" w:color="FFFFFF" w:themeColor="background1"/>
              <w:right w:val="single" w:sz="2" w:space="0" w:color="FFFFFF" w:themeColor="background1"/>
            </w:tcBorders>
            <w:shd w:val="clear" w:color="000000" w:fill="F2F2F2"/>
            <w:vAlign w:val="center"/>
            <w:hideMark/>
          </w:tcPr>
          <w:p w14:paraId="330CB500" w14:textId="77777777" w:rsidR="00133DF3" w:rsidRPr="004D6E50" w:rsidRDefault="00133DF3" w:rsidP="00D50F04">
            <w:pPr>
              <w:pStyle w:val="Tabletext"/>
              <w:spacing w:line="220" w:lineRule="exact"/>
              <w:jc w:val="center"/>
            </w:pPr>
            <w:r w:rsidRPr="004D6E50">
              <w:t>111.2</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09889081" w14:textId="77777777" w:rsidR="00133DF3" w:rsidRPr="004D6E50" w:rsidRDefault="00133DF3" w:rsidP="00D50F04">
            <w:pPr>
              <w:pStyle w:val="Tabletext"/>
              <w:spacing w:line="220" w:lineRule="exact"/>
              <w:jc w:val="center"/>
            </w:pPr>
            <w:r w:rsidRPr="004D6E50">
              <w:t>46.8</w:t>
            </w:r>
          </w:p>
        </w:tc>
        <w:tc>
          <w:tcPr>
            <w:tcW w:w="906" w:type="dxa"/>
            <w:tcBorders>
              <w:top w:val="single" w:sz="2" w:space="0" w:color="FFFFFF" w:themeColor="background1"/>
              <w:bottom w:val="single" w:sz="2" w:space="0" w:color="FFFFFF" w:themeColor="background1"/>
            </w:tcBorders>
            <w:shd w:val="clear" w:color="000000" w:fill="F2F2F2"/>
            <w:vAlign w:val="center"/>
            <w:hideMark/>
          </w:tcPr>
          <w:p w14:paraId="571C4DA0" w14:textId="77777777" w:rsidR="00133DF3" w:rsidRPr="004D6E50" w:rsidRDefault="00133DF3" w:rsidP="00D50F04">
            <w:pPr>
              <w:pStyle w:val="Tabletext"/>
              <w:spacing w:line="220" w:lineRule="exact"/>
              <w:jc w:val="center"/>
            </w:pPr>
            <w:r w:rsidRPr="004D6E50">
              <w:t>45.4</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73DAC5C5" w14:textId="77777777" w:rsidR="00133DF3" w:rsidRPr="004D6E50" w:rsidRDefault="00133DF3" w:rsidP="00D50F04">
            <w:pPr>
              <w:pStyle w:val="Tabletext"/>
              <w:spacing w:line="220" w:lineRule="exact"/>
              <w:jc w:val="center"/>
            </w:pPr>
            <w:r w:rsidRPr="004D6E50">
              <w:t>44.6</w:t>
            </w:r>
          </w:p>
        </w:tc>
      </w:tr>
      <w:tr w:rsidR="00133DF3" w:rsidRPr="009B2283" w14:paraId="65C867A1"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3AD32074" w14:textId="77777777" w:rsidR="00133DF3" w:rsidRPr="004D6E50" w:rsidRDefault="00133DF3" w:rsidP="00D50F04">
            <w:pPr>
              <w:pStyle w:val="Tabletext"/>
              <w:spacing w:line="220" w:lineRule="exact"/>
              <w:ind w:left="321" w:hanging="284"/>
            </w:pPr>
            <w:r w:rsidRPr="004D6E50">
              <w:t xml:space="preserve">10. p.m. Revenue measures (increments, excluding </w:t>
            </w:r>
            <w:r>
              <w:br/>
            </w:r>
            <w:r w:rsidRPr="004D6E50">
              <w:t>EU funded measures)</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5090E0B3" w14:textId="77777777" w:rsidR="00133DF3" w:rsidRPr="004D6E50" w:rsidRDefault="00133DF3" w:rsidP="00D50F04">
            <w:pPr>
              <w:pStyle w:val="Tabletext"/>
              <w:spacing w:line="220" w:lineRule="exact"/>
            </w:pPr>
            <w:r w:rsidRPr="004D6E50">
              <w:t> </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610915B5" w14:textId="77777777" w:rsidR="00133DF3" w:rsidRPr="004D6E50" w:rsidRDefault="00133DF3" w:rsidP="00D50F04">
            <w:pPr>
              <w:pStyle w:val="Tabletext"/>
              <w:spacing w:line="220" w:lineRule="exact"/>
              <w:jc w:val="center"/>
            </w:pPr>
            <w:r w:rsidRPr="004D6E50">
              <w:t>1.9</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3492A310" w14:textId="77777777" w:rsidR="00133DF3" w:rsidRPr="004D6E50" w:rsidRDefault="00133DF3" w:rsidP="00D50F04">
            <w:pPr>
              <w:pStyle w:val="Tabletext"/>
              <w:spacing w:line="220" w:lineRule="exact"/>
              <w:jc w:val="center"/>
            </w:pPr>
            <w:r w:rsidRPr="004D6E50">
              <w:t>0.8</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78865C46" w14:textId="77777777" w:rsidR="00133DF3" w:rsidRPr="004D6E50" w:rsidRDefault="00133DF3" w:rsidP="00D50F04">
            <w:pPr>
              <w:pStyle w:val="Tabletext"/>
              <w:spacing w:line="220" w:lineRule="exact"/>
              <w:jc w:val="center"/>
            </w:pPr>
            <w:r w:rsidRPr="004D6E50">
              <w:t>0.1</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558EE3DD" w14:textId="77777777" w:rsidR="00133DF3" w:rsidRPr="004D6E50" w:rsidRDefault="00133DF3" w:rsidP="00D50F04">
            <w:pPr>
              <w:pStyle w:val="Tabletext"/>
              <w:spacing w:line="220" w:lineRule="exact"/>
              <w:jc w:val="center"/>
            </w:pPr>
            <w:r w:rsidRPr="004D6E50">
              <w:t>-0.3</w:t>
            </w:r>
          </w:p>
        </w:tc>
      </w:tr>
      <w:tr w:rsidR="00133DF3" w:rsidRPr="009B2283" w14:paraId="6B8C9EB8"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543C7D3B" w14:textId="77777777" w:rsidR="00133DF3" w:rsidRPr="004D6E50" w:rsidRDefault="00133DF3" w:rsidP="00E2601D">
            <w:pPr>
              <w:pStyle w:val="Tabletext"/>
              <w:spacing w:line="220" w:lineRule="exact"/>
              <w:ind w:left="462" w:hanging="425"/>
            </w:pPr>
            <w:r w:rsidRPr="004D6E50">
              <w:t>10b. p.m. Revenue reductions funded by transfers from the EU (levels)</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2F9D0FEF" w14:textId="77777777" w:rsidR="00133DF3" w:rsidRPr="004D6E50" w:rsidRDefault="00133DF3" w:rsidP="00D50F04">
            <w:pPr>
              <w:pStyle w:val="Tabletext"/>
              <w:spacing w:line="220" w:lineRule="exact"/>
            </w:pPr>
            <w:r w:rsidRPr="004D6E50">
              <w:t> </w:t>
            </w:r>
          </w:p>
        </w:tc>
        <w:tc>
          <w:tcPr>
            <w:tcW w:w="982" w:type="dxa"/>
            <w:tcBorders>
              <w:left w:val="single" w:sz="2" w:space="0" w:color="FFFFFF" w:themeColor="background1"/>
              <w:right w:val="single" w:sz="2" w:space="0" w:color="FFFFFF" w:themeColor="background1"/>
            </w:tcBorders>
            <w:shd w:val="clear" w:color="000000" w:fill="F2F2F2"/>
            <w:vAlign w:val="center"/>
            <w:hideMark/>
          </w:tcPr>
          <w:p w14:paraId="377912F3" w14:textId="77777777" w:rsidR="00133DF3" w:rsidRPr="004D6E50" w:rsidRDefault="00133DF3" w:rsidP="00D50F04">
            <w:pPr>
              <w:pStyle w:val="Tabletext"/>
              <w:spacing w:line="220" w:lineRule="exact"/>
              <w:jc w:val="center"/>
            </w:pPr>
            <w:r w:rsidRPr="004D6E50">
              <w:t>0.0</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3AD8C6ED" w14:textId="77777777" w:rsidR="00133DF3" w:rsidRPr="004D6E50" w:rsidRDefault="00133DF3" w:rsidP="00D50F04">
            <w:pPr>
              <w:pStyle w:val="Tabletext"/>
              <w:spacing w:line="220" w:lineRule="exact"/>
              <w:jc w:val="center"/>
            </w:pPr>
            <w:r w:rsidRPr="004D6E50">
              <w:t>0.0</w:t>
            </w:r>
          </w:p>
        </w:tc>
        <w:tc>
          <w:tcPr>
            <w:tcW w:w="906" w:type="dxa"/>
            <w:tcBorders>
              <w:top w:val="single" w:sz="2" w:space="0" w:color="FFFFFF" w:themeColor="background1"/>
              <w:bottom w:val="single" w:sz="2" w:space="0" w:color="FFFFFF" w:themeColor="background1"/>
            </w:tcBorders>
            <w:shd w:val="clear" w:color="000000" w:fill="F2F2F2"/>
            <w:vAlign w:val="center"/>
            <w:hideMark/>
          </w:tcPr>
          <w:p w14:paraId="295432FD" w14:textId="77777777" w:rsidR="00133DF3" w:rsidRPr="004D6E50" w:rsidRDefault="00133DF3" w:rsidP="00D50F04">
            <w:pPr>
              <w:pStyle w:val="Tabletext"/>
              <w:spacing w:line="220" w:lineRule="exact"/>
              <w:jc w:val="center"/>
            </w:pPr>
            <w:r w:rsidRPr="004D6E50">
              <w:t>0.0</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1E34D2ED" w14:textId="77777777" w:rsidR="00133DF3" w:rsidRPr="004D6E50" w:rsidRDefault="00133DF3" w:rsidP="00D50F04">
            <w:pPr>
              <w:pStyle w:val="Tabletext"/>
              <w:spacing w:line="220" w:lineRule="exact"/>
              <w:jc w:val="center"/>
            </w:pPr>
            <w:r w:rsidRPr="004D6E50">
              <w:t>0.0</w:t>
            </w:r>
          </w:p>
        </w:tc>
      </w:tr>
      <w:tr w:rsidR="00133DF3" w:rsidRPr="009B2283" w14:paraId="342B3176" w14:textId="77777777" w:rsidTr="008167F5">
        <w:trPr>
          <w:trHeight w:val="284"/>
          <w:jc w:val="center"/>
        </w:trPr>
        <w:tc>
          <w:tcPr>
            <w:tcW w:w="3701" w:type="dxa"/>
            <w:tcBorders>
              <w:top w:val="single" w:sz="2" w:space="0" w:color="FFFFFF" w:themeColor="background1"/>
              <w:left w:val="single" w:sz="2" w:space="0" w:color="FFFFFF" w:themeColor="background1"/>
            </w:tcBorders>
            <w:shd w:val="clear" w:color="000000" w:fill="D9D9D9"/>
            <w:vAlign w:val="center"/>
            <w:hideMark/>
          </w:tcPr>
          <w:p w14:paraId="0CB1E3C5" w14:textId="77777777" w:rsidR="00133DF3" w:rsidRPr="004D6E50" w:rsidRDefault="00133DF3" w:rsidP="00D50F04">
            <w:pPr>
              <w:pStyle w:val="Tabletext"/>
              <w:spacing w:line="220" w:lineRule="exact"/>
              <w:ind w:left="321" w:hanging="284"/>
            </w:pPr>
            <w:r w:rsidRPr="004D6E50">
              <w:t xml:space="preserve">11. p.m. One-off revenue included in the projections (levels, </w:t>
            </w:r>
            <w:r>
              <w:br/>
            </w:r>
            <w:r w:rsidRPr="004D6E50">
              <w:t>excluding EU funded measures)</w:t>
            </w:r>
          </w:p>
        </w:tc>
        <w:tc>
          <w:tcPr>
            <w:tcW w:w="1868" w:type="dxa"/>
            <w:tcBorders>
              <w:top w:val="single" w:sz="2" w:space="0" w:color="FFFFFF" w:themeColor="background1"/>
              <w:right w:val="single" w:sz="2" w:space="0" w:color="FFFFFF" w:themeColor="background1"/>
            </w:tcBorders>
            <w:shd w:val="clear" w:color="000000" w:fill="D9D9D9"/>
            <w:vAlign w:val="center"/>
            <w:hideMark/>
          </w:tcPr>
          <w:p w14:paraId="1F7BB7D6" w14:textId="77777777" w:rsidR="00133DF3" w:rsidRPr="004D6E50" w:rsidRDefault="00133DF3" w:rsidP="00D50F04">
            <w:pPr>
              <w:pStyle w:val="Tabletext"/>
              <w:spacing w:line="220" w:lineRule="exact"/>
            </w:pPr>
            <w:r w:rsidRPr="004D6E50">
              <w:t> </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68485A37" w14:textId="77777777" w:rsidR="00133DF3" w:rsidRPr="004D6E50" w:rsidRDefault="00133DF3" w:rsidP="00D50F04">
            <w:pPr>
              <w:pStyle w:val="Tabletext"/>
              <w:spacing w:line="220" w:lineRule="exact"/>
              <w:jc w:val="center"/>
            </w:pPr>
            <w:r w:rsidRPr="004D6E50">
              <w:t>0.0</w:t>
            </w:r>
          </w:p>
        </w:tc>
        <w:tc>
          <w:tcPr>
            <w:tcW w:w="718" w:type="dxa"/>
            <w:tcBorders>
              <w:top w:val="single" w:sz="2" w:space="0" w:color="FFFFFF" w:themeColor="background1"/>
              <w:left w:val="single" w:sz="2" w:space="0" w:color="FFFFFF" w:themeColor="background1"/>
            </w:tcBorders>
            <w:shd w:val="clear" w:color="000000" w:fill="D9D9D9"/>
            <w:vAlign w:val="center"/>
            <w:hideMark/>
          </w:tcPr>
          <w:p w14:paraId="3AB9E924" w14:textId="77777777" w:rsidR="00133DF3" w:rsidRPr="004D6E50" w:rsidRDefault="00133DF3" w:rsidP="00D50F04">
            <w:pPr>
              <w:pStyle w:val="Tabletext"/>
              <w:spacing w:line="220" w:lineRule="exact"/>
              <w:jc w:val="center"/>
            </w:pPr>
            <w:r w:rsidRPr="004D6E50">
              <w:t>0.0</w:t>
            </w:r>
          </w:p>
        </w:tc>
        <w:tc>
          <w:tcPr>
            <w:tcW w:w="906" w:type="dxa"/>
            <w:tcBorders>
              <w:top w:val="single" w:sz="2" w:space="0" w:color="FFFFFF" w:themeColor="background1"/>
            </w:tcBorders>
            <w:shd w:val="clear" w:color="000000" w:fill="D9D9D9"/>
            <w:vAlign w:val="center"/>
            <w:hideMark/>
          </w:tcPr>
          <w:p w14:paraId="0931D8E8" w14:textId="77777777" w:rsidR="00133DF3" w:rsidRPr="004D6E50" w:rsidRDefault="00133DF3" w:rsidP="00D50F04">
            <w:pPr>
              <w:pStyle w:val="Tabletext"/>
              <w:spacing w:line="220" w:lineRule="exact"/>
              <w:jc w:val="center"/>
            </w:pPr>
            <w:r w:rsidRPr="004D6E50">
              <w:t>0.0</w:t>
            </w:r>
          </w:p>
        </w:tc>
        <w:tc>
          <w:tcPr>
            <w:tcW w:w="727" w:type="dxa"/>
            <w:tcBorders>
              <w:top w:val="single" w:sz="2" w:space="0" w:color="FFFFFF" w:themeColor="background1"/>
              <w:right w:val="single" w:sz="2" w:space="0" w:color="FFFFFF" w:themeColor="background1"/>
            </w:tcBorders>
            <w:shd w:val="clear" w:color="000000" w:fill="D9D9D9"/>
            <w:vAlign w:val="center"/>
            <w:hideMark/>
          </w:tcPr>
          <w:p w14:paraId="585AF30D" w14:textId="77777777" w:rsidR="00133DF3" w:rsidRPr="004D6E50" w:rsidRDefault="00133DF3" w:rsidP="00D50F04">
            <w:pPr>
              <w:pStyle w:val="Tabletext"/>
              <w:spacing w:line="220" w:lineRule="exact"/>
              <w:jc w:val="center"/>
            </w:pPr>
            <w:r w:rsidRPr="004D6E50">
              <w:t>0.0</w:t>
            </w:r>
          </w:p>
        </w:tc>
      </w:tr>
      <w:tr w:rsidR="00133DF3" w:rsidRPr="00B50871" w14:paraId="41F0BC89" w14:textId="77777777" w:rsidTr="008167F5">
        <w:trPr>
          <w:trHeight w:val="284"/>
          <w:jc w:val="center"/>
        </w:trPr>
        <w:tc>
          <w:tcPr>
            <w:tcW w:w="3701" w:type="dxa"/>
            <w:tcBorders>
              <w:left w:val="single" w:sz="2" w:space="0" w:color="FFFFFF" w:themeColor="background1"/>
            </w:tcBorders>
            <w:shd w:val="clear" w:color="000000" w:fill="BFBFBF"/>
            <w:vAlign w:val="center"/>
            <w:hideMark/>
          </w:tcPr>
          <w:p w14:paraId="78153961" w14:textId="77777777" w:rsidR="00133DF3" w:rsidRPr="004D6E50" w:rsidRDefault="00133DF3" w:rsidP="00D50F04">
            <w:pPr>
              <w:pStyle w:val="Tabletext"/>
              <w:spacing w:line="220" w:lineRule="exact"/>
              <w:ind w:left="321" w:hanging="284"/>
              <w:rPr>
                <w:b/>
                <w:sz w:val="24"/>
              </w:rPr>
            </w:pPr>
            <w:r w:rsidRPr="004D6E50">
              <w:rPr>
                <w:b/>
                <w:sz w:val="24"/>
              </w:rPr>
              <w:t>Expenditure</w:t>
            </w:r>
          </w:p>
        </w:tc>
        <w:tc>
          <w:tcPr>
            <w:tcW w:w="1868" w:type="dxa"/>
            <w:shd w:val="clear" w:color="000000" w:fill="BFBFBF"/>
            <w:vAlign w:val="center"/>
            <w:hideMark/>
          </w:tcPr>
          <w:p w14:paraId="6147434F" w14:textId="77777777" w:rsidR="00133DF3" w:rsidRPr="004D6E50" w:rsidRDefault="00133DF3" w:rsidP="00D50F04">
            <w:pPr>
              <w:pStyle w:val="Tabletext"/>
              <w:spacing w:line="220" w:lineRule="exact"/>
              <w:rPr>
                <w:b/>
                <w:sz w:val="24"/>
              </w:rPr>
            </w:pPr>
            <w:r w:rsidRPr="004D6E50">
              <w:rPr>
                <w:b/>
                <w:sz w:val="24"/>
              </w:rPr>
              <w:t> </w:t>
            </w:r>
          </w:p>
        </w:tc>
        <w:tc>
          <w:tcPr>
            <w:tcW w:w="982" w:type="dxa"/>
            <w:shd w:val="clear" w:color="000000" w:fill="BFBFBF"/>
            <w:vAlign w:val="center"/>
            <w:hideMark/>
          </w:tcPr>
          <w:p w14:paraId="05EE1E52" w14:textId="77777777" w:rsidR="00133DF3" w:rsidRPr="004D6E50" w:rsidRDefault="00133DF3" w:rsidP="00D50F04">
            <w:pPr>
              <w:pStyle w:val="Tabletext"/>
              <w:spacing w:line="220" w:lineRule="exact"/>
              <w:jc w:val="center"/>
              <w:rPr>
                <w:b/>
                <w:sz w:val="24"/>
              </w:rPr>
            </w:pPr>
          </w:p>
        </w:tc>
        <w:tc>
          <w:tcPr>
            <w:tcW w:w="718" w:type="dxa"/>
            <w:shd w:val="clear" w:color="000000" w:fill="BFBFBF"/>
            <w:vAlign w:val="center"/>
            <w:hideMark/>
          </w:tcPr>
          <w:p w14:paraId="1B0DE37E" w14:textId="77777777" w:rsidR="00133DF3" w:rsidRPr="004D6E50" w:rsidRDefault="00133DF3" w:rsidP="00D50F04">
            <w:pPr>
              <w:pStyle w:val="Tabletext"/>
              <w:spacing w:line="220" w:lineRule="exact"/>
              <w:jc w:val="center"/>
              <w:rPr>
                <w:b/>
                <w:sz w:val="24"/>
              </w:rPr>
            </w:pPr>
          </w:p>
        </w:tc>
        <w:tc>
          <w:tcPr>
            <w:tcW w:w="906" w:type="dxa"/>
            <w:shd w:val="clear" w:color="000000" w:fill="BFBFBF"/>
            <w:vAlign w:val="center"/>
            <w:hideMark/>
          </w:tcPr>
          <w:p w14:paraId="7EDD18FC" w14:textId="77777777" w:rsidR="00133DF3" w:rsidRPr="004D6E50" w:rsidRDefault="00133DF3" w:rsidP="00D50F04">
            <w:pPr>
              <w:pStyle w:val="Tabletext"/>
              <w:spacing w:line="220" w:lineRule="exact"/>
              <w:jc w:val="center"/>
              <w:rPr>
                <w:b/>
                <w:sz w:val="24"/>
              </w:rPr>
            </w:pPr>
          </w:p>
        </w:tc>
        <w:tc>
          <w:tcPr>
            <w:tcW w:w="727" w:type="dxa"/>
            <w:tcBorders>
              <w:right w:val="single" w:sz="2" w:space="0" w:color="FFFFFF" w:themeColor="background1"/>
            </w:tcBorders>
            <w:shd w:val="clear" w:color="000000" w:fill="BFBFBF"/>
            <w:vAlign w:val="center"/>
            <w:hideMark/>
          </w:tcPr>
          <w:p w14:paraId="03146EF1" w14:textId="77777777" w:rsidR="00133DF3" w:rsidRPr="004D6E50" w:rsidRDefault="00133DF3" w:rsidP="00D50F04">
            <w:pPr>
              <w:pStyle w:val="Tabletext"/>
              <w:spacing w:line="220" w:lineRule="exact"/>
              <w:jc w:val="center"/>
              <w:rPr>
                <w:b/>
                <w:sz w:val="24"/>
              </w:rPr>
            </w:pPr>
          </w:p>
        </w:tc>
      </w:tr>
      <w:tr w:rsidR="00133DF3" w:rsidRPr="009B2283" w14:paraId="78AB6085" w14:textId="77777777" w:rsidTr="008167F5">
        <w:trPr>
          <w:trHeight w:val="284"/>
          <w:jc w:val="center"/>
        </w:trPr>
        <w:tc>
          <w:tcPr>
            <w:tcW w:w="3701" w:type="dxa"/>
            <w:tcBorders>
              <w:left w:val="single" w:sz="2" w:space="0" w:color="FFFFFF" w:themeColor="background1"/>
              <w:bottom w:val="single" w:sz="2" w:space="0" w:color="FFFFFF" w:themeColor="background1"/>
            </w:tcBorders>
            <w:shd w:val="clear" w:color="000000" w:fill="F2F2F2"/>
            <w:vAlign w:val="center"/>
            <w:hideMark/>
          </w:tcPr>
          <w:p w14:paraId="4B7DBB53" w14:textId="77777777" w:rsidR="00133DF3" w:rsidRPr="004D6E50" w:rsidRDefault="00133DF3" w:rsidP="00D50F04">
            <w:pPr>
              <w:pStyle w:val="Tabletext"/>
              <w:spacing w:line="220" w:lineRule="exact"/>
              <w:ind w:left="321" w:hanging="284"/>
            </w:pPr>
            <w:r w:rsidRPr="004D6E50">
              <w:t>12. Compensation of employees</w:t>
            </w:r>
          </w:p>
        </w:tc>
        <w:tc>
          <w:tcPr>
            <w:tcW w:w="1868" w:type="dxa"/>
            <w:tcBorders>
              <w:bottom w:val="single" w:sz="2" w:space="0" w:color="FFFFFF" w:themeColor="background1"/>
              <w:right w:val="single" w:sz="2" w:space="0" w:color="FFFFFF" w:themeColor="background1"/>
            </w:tcBorders>
            <w:shd w:val="clear" w:color="000000" w:fill="F2F2F2"/>
            <w:vAlign w:val="center"/>
            <w:hideMark/>
          </w:tcPr>
          <w:p w14:paraId="31882AAE" w14:textId="77777777" w:rsidR="00133DF3" w:rsidRPr="004D6E50" w:rsidRDefault="00133DF3" w:rsidP="00D50F04">
            <w:pPr>
              <w:pStyle w:val="Tabletext"/>
              <w:spacing w:line="220" w:lineRule="exact"/>
            </w:pPr>
            <w:r w:rsidRPr="004D6E50">
              <w:t>D.1</w:t>
            </w:r>
          </w:p>
        </w:tc>
        <w:tc>
          <w:tcPr>
            <w:tcW w:w="982" w:type="dxa"/>
            <w:tcBorders>
              <w:left w:val="single" w:sz="2" w:space="0" w:color="FFFFFF" w:themeColor="background1"/>
              <w:right w:val="single" w:sz="2" w:space="0" w:color="FFFFFF" w:themeColor="background1"/>
            </w:tcBorders>
            <w:shd w:val="clear" w:color="000000" w:fill="F2F2F2"/>
            <w:vAlign w:val="center"/>
            <w:hideMark/>
          </w:tcPr>
          <w:p w14:paraId="4FDA32A5" w14:textId="77777777" w:rsidR="00133DF3" w:rsidRPr="004D6E50" w:rsidRDefault="00133DF3" w:rsidP="00D50F04">
            <w:pPr>
              <w:pStyle w:val="Tabletext"/>
              <w:spacing w:line="220" w:lineRule="exact"/>
              <w:jc w:val="center"/>
            </w:pPr>
            <w:r w:rsidRPr="004D6E50">
              <w:t>24.5</w:t>
            </w:r>
          </w:p>
        </w:tc>
        <w:tc>
          <w:tcPr>
            <w:tcW w:w="718" w:type="dxa"/>
            <w:tcBorders>
              <w:left w:val="single" w:sz="2" w:space="0" w:color="FFFFFF" w:themeColor="background1"/>
              <w:bottom w:val="single" w:sz="2" w:space="0" w:color="FFFFFF" w:themeColor="background1"/>
            </w:tcBorders>
            <w:shd w:val="clear" w:color="000000" w:fill="F2F2F2"/>
            <w:vAlign w:val="center"/>
            <w:hideMark/>
          </w:tcPr>
          <w:p w14:paraId="00D5D131" w14:textId="77777777" w:rsidR="00133DF3" w:rsidRPr="004D6E50" w:rsidRDefault="00133DF3" w:rsidP="00D50F04">
            <w:pPr>
              <w:pStyle w:val="Tabletext"/>
              <w:spacing w:line="220" w:lineRule="exact"/>
              <w:jc w:val="center"/>
            </w:pPr>
            <w:r w:rsidRPr="004D6E50">
              <w:t>10.3</w:t>
            </w:r>
          </w:p>
        </w:tc>
        <w:tc>
          <w:tcPr>
            <w:tcW w:w="906" w:type="dxa"/>
            <w:tcBorders>
              <w:bottom w:val="single" w:sz="2" w:space="0" w:color="FFFFFF" w:themeColor="background1"/>
            </w:tcBorders>
            <w:shd w:val="clear" w:color="000000" w:fill="F2F2F2"/>
            <w:vAlign w:val="center"/>
            <w:hideMark/>
          </w:tcPr>
          <w:p w14:paraId="25C6F1D6" w14:textId="77777777" w:rsidR="00133DF3" w:rsidRPr="004D6E50" w:rsidRDefault="00133DF3" w:rsidP="00D50F04">
            <w:pPr>
              <w:pStyle w:val="Tabletext"/>
              <w:spacing w:line="220" w:lineRule="exact"/>
              <w:jc w:val="center"/>
            </w:pPr>
            <w:r w:rsidRPr="004D6E50">
              <w:t>10.2</w:t>
            </w:r>
          </w:p>
        </w:tc>
        <w:tc>
          <w:tcPr>
            <w:tcW w:w="727" w:type="dxa"/>
            <w:tcBorders>
              <w:bottom w:val="single" w:sz="2" w:space="0" w:color="FFFFFF" w:themeColor="background1"/>
              <w:right w:val="single" w:sz="2" w:space="0" w:color="FFFFFF" w:themeColor="background1"/>
            </w:tcBorders>
            <w:shd w:val="clear" w:color="000000" w:fill="F2F2F2"/>
            <w:vAlign w:val="center"/>
            <w:hideMark/>
          </w:tcPr>
          <w:p w14:paraId="5C385896" w14:textId="77777777" w:rsidR="00133DF3" w:rsidRPr="004D6E50" w:rsidRDefault="00133DF3" w:rsidP="00D50F04">
            <w:pPr>
              <w:pStyle w:val="Tabletext"/>
              <w:spacing w:line="220" w:lineRule="exact"/>
              <w:jc w:val="center"/>
            </w:pPr>
            <w:r w:rsidRPr="004D6E50">
              <w:t>10.1</w:t>
            </w:r>
          </w:p>
        </w:tc>
      </w:tr>
      <w:tr w:rsidR="00133DF3" w:rsidRPr="009B2283" w14:paraId="77631C0B"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61A2D7BC" w14:textId="77777777" w:rsidR="00133DF3" w:rsidRPr="004D6E50" w:rsidRDefault="00133DF3" w:rsidP="00D50F04">
            <w:pPr>
              <w:pStyle w:val="Tabletext"/>
              <w:spacing w:line="220" w:lineRule="exact"/>
              <w:ind w:left="321" w:hanging="284"/>
            </w:pPr>
            <w:r w:rsidRPr="004D6E50">
              <w:t>13. Intermediate consumption</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3F3B263B" w14:textId="77777777" w:rsidR="00133DF3" w:rsidRPr="004D6E50" w:rsidRDefault="00133DF3" w:rsidP="00D50F04">
            <w:pPr>
              <w:pStyle w:val="Tabletext"/>
              <w:spacing w:line="220" w:lineRule="exact"/>
            </w:pPr>
            <w:r w:rsidRPr="004D6E50">
              <w:t>P.2</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5B368497" w14:textId="77777777" w:rsidR="00133DF3" w:rsidRPr="004D6E50" w:rsidRDefault="00133DF3" w:rsidP="00D50F04">
            <w:pPr>
              <w:pStyle w:val="Tabletext"/>
              <w:spacing w:line="220" w:lineRule="exact"/>
              <w:jc w:val="center"/>
            </w:pPr>
            <w:r w:rsidRPr="004D6E50">
              <w:t>12.3</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558988EB" w14:textId="77777777" w:rsidR="00133DF3" w:rsidRPr="004D6E50" w:rsidRDefault="00133DF3" w:rsidP="00D50F04">
            <w:pPr>
              <w:pStyle w:val="Tabletext"/>
              <w:spacing w:line="220" w:lineRule="exact"/>
              <w:jc w:val="center"/>
            </w:pPr>
            <w:r w:rsidRPr="004D6E50">
              <w:t>5.2</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18568713" w14:textId="77777777" w:rsidR="00133DF3" w:rsidRPr="004D6E50" w:rsidRDefault="00133DF3" w:rsidP="00D50F04">
            <w:pPr>
              <w:pStyle w:val="Tabletext"/>
              <w:spacing w:line="220" w:lineRule="exact"/>
              <w:jc w:val="center"/>
            </w:pPr>
            <w:r w:rsidRPr="004D6E50">
              <w:t>5.6</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4A88A65D" w14:textId="77777777" w:rsidR="00133DF3" w:rsidRPr="004D6E50" w:rsidRDefault="00133DF3" w:rsidP="00D50F04">
            <w:pPr>
              <w:pStyle w:val="Tabletext"/>
              <w:spacing w:line="220" w:lineRule="exact"/>
              <w:jc w:val="center"/>
            </w:pPr>
            <w:r w:rsidRPr="004D6E50">
              <w:t>5.4</w:t>
            </w:r>
          </w:p>
        </w:tc>
      </w:tr>
      <w:tr w:rsidR="00133DF3" w:rsidRPr="009B2283" w14:paraId="3E5E9AE7"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3037BF2B" w14:textId="77777777" w:rsidR="00133DF3" w:rsidRPr="004D6E50" w:rsidRDefault="00133DF3" w:rsidP="00D50F04">
            <w:pPr>
              <w:pStyle w:val="Tabletext"/>
              <w:spacing w:line="220" w:lineRule="exact"/>
              <w:ind w:left="321" w:hanging="284"/>
            </w:pPr>
            <w:r w:rsidRPr="004D6E50">
              <w:t>14. Interest expenditure</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65ADA11F" w14:textId="77777777" w:rsidR="00133DF3" w:rsidRPr="004D6E50" w:rsidRDefault="00133DF3" w:rsidP="00D50F04">
            <w:pPr>
              <w:pStyle w:val="Tabletext"/>
              <w:spacing w:line="220" w:lineRule="exact"/>
            </w:pPr>
            <w:r w:rsidRPr="004D6E50">
              <w:t>D.41</w:t>
            </w:r>
          </w:p>
        </w:tc>
        <w:tc>
          <w:tcPr>
            <w:tcW w:w="982" w:type="dxa"/>
            <w:tcBorders>
              <w:left w:val="single" w:sz="2" w:space="0" w:color="FFFFFF" w:themeColor="background1"/>
              <w:right w:val="single" w:sz="2" w:space="0" w:color="FFFFFF" w:themeColor="background1"/>
            </w:tcBorders>
            <w:shd w:val="clear" w:color="000000" w:fill="F2F2F2"/>
            <w:vAlign w:val="center"/>
            <w:hideMark/>
          </w:tcPr>
          <w:p w14:paraId="510B0D8F" w14:textId="77777777" w:rsidR="00133DF3" w:rsidRPr="004D6E50" w:rsidRDefault="00133DF3" w:rsidP="00D50F04">
            <w:pPr>
              <w:pStyle w:val="Tabletext"/>
              <w:spacing w:line="220" w:lineRule="exact"/>
              <w:jc w:val="center"/>
            </w:pPr>
            <w:r w:rsidRPr="004D6E50">
              <w:t>8.2</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301404FC" w14:textId="77777777" w:rsidR="00133DF3" w:rsidRPr="004D6E50" w:rsidRDefault="00133DF3" w:rsidP="00D50F04">
            <w:pPr>
              <w:pStyle w:val="Tabletext"/>
              <w:spacing w:line="220" w:lineRule="exact"/>
              <w:jc w:val="center"/>
            </w:pPr>
            <w:r w:rsidRPr="004D6E50">
              <w:t>3.5</w:t>
            </w:r>
          </w:p>
        </w:tc>
        <w:tc>
          <w:tcPr>
            <w:tcW w:w="906" w:type="dxa"/>
            <w:tcBorders>
              <w:top w:val="single" w:sz="2" w:space="0" w:color="FFFFFF" w:themeColor="background1"/>
              <w:bottom w:val="single" w:sz="2" w:space="0" w:color="FFFFFF" w:themeColor="background1"/>
            </w:tcBorders>
            <w:shd w:val="clear" w:color="000000" w:fill="F2F2F2"/>
            <w:vAlign w:val="center"/>
            <w:hideMark/>
          </w:tcPr>
          <w:p w14:paraId="0B100FD1" w14:textId="77777777" w:rsidR="00133DF3" w:rsidRPr="004D6E50" w:rsidRDefault="00133DF3" w:rsidP="00D50F04">
            <w:pPr>
              <w:pStyle w:val="Tabletext"/>
              <w:spacing w:line="220" w:lineRule="exact"/>
              <w:jc w:val="center"/>
            </w:pPr>
            <w:r w:rsidRPr="004D6E50">
              <w:t>3.0</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023B775B" w14:textId="77777777" w:rsidR="00133DF3" w:rsidRPr="004D6E50" w:rsidRDefault="00133DF3" w:rsidP="00D50F04">
            <w:pPr>
              <w:pStyle w:val="Tabletext"/>
              <w:spacing w:line="220" w:lineRule="exact"/>
              <w:jc w:val="center"/>
            </w:pPr>
            <w:r w:rsidRPr="004D6E50">
              <w:t>2.9</w:t>
            </w:r>
          </w:p>
        </w:tc>
      </w:tr>
      <w:tr w:rsidR="00133DF3" w:rsidRPr="009B2283" w14:paraId="43AB7A33"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4E695647" w14:textId="77777777" w:rsidR="00133DF3" w:rsidRPr="004D6E50" w:rsidRDefault="00133DF3" w:rsidP="00D50F04">
            <w:pPr>
              <w:pStyle w:val="Tabletext"/>
              <w:spacing w:line="220" w:lineRule="exact"/>
              <w:ind w:left="321" w:hanging="284"/>
            </w:pPr>
            <w:r w:rsidRPr="004D6E50">
              <w:t xml:space="preserve">15. Social benefits other </w:t>
            </w:r>
            <w:r>
              <w:br/>
            </w:r>
            <w:r w:rsidRPr="004D6E50">
              <w:t xml:space="preserve">than social </w:t>
            </w:r>
            <w:r>
              <w:t xml:space="preserve"> </w:t>
            </w:r>
            <w:r w:rsidRPr="004D6E50">
              <w:t>transfers in kind</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3A1FC1C7" w14:textId="77777777" w:rsidR="00133DF3" w:rsidRPr="004D6E50" w:rsidRDefault="00133DF3" w:rsidP="00D50F04">
            <w:pPr>
              <w:pStyle w:val="Tabletext"/>
              <w:spacing w:line="220" w:lineRule="exact"/>
            </w:pPr>
            <w:r w:rsidRPr="004D6E50">
              <w:t>D.62</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6F59BCEB" w14:textId="77777777" w:rsidR="00133DF3" w:rsidRPr="004D6E50" w:rsidRDefault="00133DF3" w:rsidP="00D50F04">
            <w:pPr>
              <w:pStyle w:val="Tabletext"/>
              <w:spacing w:line="220" w:lineRule="exact"/>
              <w:jc w:val="center"/>
            </w:pPr>
            <w:r w:rsidRPr="004D6E50">
              <w:t>39.6</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60B1641A" w14:textId="77777777" w:rsidR="00133DF3" w:rsidRPr="004D6E50" w:rsidRDefault="00133DF3" w:rsidP="00D50F04">
            <w:pPr>
              <w:pStyle w:val="Tabletext"/>
              <w:spacing w:line="220" w:lineRule="exact"/>
              <w:jc w:val="center"/>
            </w:pPr>
            <w:r w:rsidRPr="004D6E50">
              <w:t>16.7</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105A2678" w14:textId="77777777" w:rsidR="00133DF3" w:rsidRPr="004D6E50" w:rsidRDefault="00133DF3" w:rsidP="00D50F04">
            <w:pPr>
              <w:pStyle w:val="Tabletext"/>
              <w:spacing w:line="220" w:lineRule="exact"/>
              <w:jc w:val="center"/>
            </w:pPr>
            <w:r w:rsidRPr="004D6E50">
              <w:t>16.9</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6D828815" w14:textId="77777777" w:rsidR="00133DF3" w:rsidRPr="004D6E50" w:rsidRDefault="00133DF3" w:rsidP="00D50F04">
            <w:pPr>
              <w:pStyle w:val="Tabletext"/>
              <w:spacing w:line="220" w:lineRule="exact"/>
              <w:jc w:val="center"/>
            </w:pPr>
            <w:r w:rsidRPr="004D6E50">
              <w:t>16.8</w:t>
            </w:r>
          </w:p>
        </w:tc>
      </w:tr>
      <w:tr w:rsidR="00133DF3" w:rsidRPr="009B2283" w14:paraId="0851512F"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247BD803" w14:textId="77777777" w:rsidR="00133DF3" w:rsidRPr="004D6E50" w:rsidRDefault="00133DF3" w:rsidP="00D50F04">
            <w:pPr>
              <w:pStyle w:val="Tabletext"/>
              <w:spacing w:line="220" w:lineRule="exact"/>
              <w:ind w:left="321" w:hanging="284"/>
            </w:pPr>
            <w:r w:rsidRPr="004D6E50">
              <w:t xml:space="preserve">16. Social transfers in kind </w:t>
            </w:r>
            <w:r>
              <w:br/>
            </w:r>
            <w:r w:rsidRPr="004D6E50">
              <w:t>via market producers</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3E1AAAA1" w14:textId="77777777" w:rsidR="00133DF3" w:rsidRPr="004D6E50" w:rsidRDefault="00133DF3" w:rsidP="00D50F04">
            <w:pPr>
              <w:pStyle w:val="Tabletext"/>
              <w:spacing w:line="220" w:lineRule="exact"/>
            </w:pPr>
            <w:r w:rsidRPr="004D6E50">
              <w:t>D.632</w:t>
            </w:r>
          </w:p>
        </w:tc>
        <w:tc>
          <w:tcPr>
            <w:tcW w:w="982" w:type="dxa"/>
            <w:tcBorders>
              <w:left w:val="single" w:sz="2" w:space="0" w:color="FFFFFF" w:themeColor="background1"/>
              <w:right w:val="single" w:sz="2" w:space="0" w:color="FFFFFF" w:themeColor="background1"/>
            </w:tcBorders>
            <w:shd w:val="clear" w:color="000000" w:fill="F2F2F2"/>
            <w:vAlign w:val="center"/>
            <w:hideMark/>
          </w:tcPr>
          <w:p w14:paraId="2010BD87" w14:textId="77777777" w:rsidR="00133DF3" w:rsidRPr="004D6E50" w:rsidRDefault="00133DF3" w:rsidP="00D50F04">
            <w:pPr>
              <w:pStyle w:val="Tabletext"/>
              <w:spacing w:line="220" w:lineRule="exact"/>
              <w:jc w:val="center"/>
            </w:pPr>
            <w:r w:rsidRPr="004D6E50">
              <w:t>6.4</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F2F2F2"/>
            <w:vAlign w:val="center"/>
            <w:hideMark/>
          </w:tcPr>
          <w:p w14:paraId="3D43B21E" w14:textId="77777777" w:rsidR="00133DF3" w:rsidRPr="004D6E50" w:rsidRDefault="00133DF3" w:rsidP="00D50F04">
            <w:pPr>
              <w:pStyle w:val="Tabletext"/>
              <w:spacing w:line="220" w:lineRule="exact"/>
              <w:jc w:val="center"/>
            </w:pPr>
            <w:r w:rsidRPr="004D6E50">
              <w:t>2.7</w:t>
            </w:r>
          </w:p>
        </w:tc>
        <w:tc>
          <w:tcPr>
            <w:tcW w:w="906" w:type="dxa"/>
            <w:tcBorders>
              <w:top w:val="single" w:sz="2" w:space="0" w:color="FFFFFF" w:themeColor="background1"/>
              <w:bottom w:val="single" w:sz="2" w:space="0" w:color="FFFFFF" w:themeColor="background1"/>
            </w:tcBorders>
            <w:shd w:val="clear" w:color="000000" w:fill="F2F2F2"/>
            <w:vAlign w:val="center"/>
            <w:hideMark/>
          </w:tcPr>
          <w:p w14:paraId="69150D13" w14:textId="77777777" w:rsidR="00133DF3" w:rsidRPr="004D6E50" w:rsidRDefault="00133DF3" w:rsidP="00D50F04">
            <w:pPr>
              <w:pStyle w:val="Tabletext"/>
              <w:spacing w:line="220" w:lineRule="exact"/>
              <w:jc w:val="center"/>
            </w:pPr>
            <w:r w:rsidRPr="004D6E50">
              <w:t>2.4</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F2F2F2"/>
            <w:vAlign w:val="center"/>
            <w:hideMark/>
          </w:tcPr>
          <w:p w14:paraId="67A38C7C" w14:textId="77777777" w:rsidR="00133DF3" w:rsidRPr="004D6E50" w:rsidRDefault="00133DF3" w:rsidP="00D50F04">
            <w:pPr>
              <w:pStyle w:val="Tabletext"/>
              <w:spacing w:line="220" w:lineRule="exact"/>
              <w:jc w:val="center"/>
            </w:pPr>
            <w:r w:rsidRPr="004D6E50">
              <w:t>2.3</w:t>
            </w:r>
          </w:p>
        </w:tc>
      </w:tr>
      <w:tr w:rsidR="00133DF3" w:rsidRPr="009B2283" w14:paraId="7AA28674"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32A42D46" w14:textId="77777777" w:rsidR="00133DF3" w:rsidRPr="004D6E50" w:rsidRDefault="00133DF3" w:rsidP="00D50F04">
            <w:pPr>
              <w:pStyle w:val="Tabletext"/>
              <w:spacing w:line="220" w:lineRule="exact"/>
              <w:ind w:left="321" w:hanging="284"/>
            </w:pPr>
            <w:r w:rsidRPr="004D6E50">
              <w:t>17. Subsidies</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5F69AEEB" w14:textId="77777777" w:rsidR="00133DF3" w:rsidRPr="004D6E50" w:rsidRDefault="00133DF3" w:rsidP="00D50F04">
            <w:pPr>
              <w:pStyle w:val="Tabletext"/>
              <w:spacing w:line="220" w:lineRule="exact"/>
            </w:pPr>
            <w:r w:rsidRPr="004D6E50">
              <w:t>D.3</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74685B10" w14:textId="77777777" w:rsidR="00133DF3" w:rsidRPr="004D6E50" w:rsidRDefault="00133DF3" w:rsidP="00D50F04">
            <w:pPr>
              <w:pStyle w:val="Tabletext"/>
              <w:spacing w:line="220" w:lineRule="exact"/>
              <w:jc w:val="center"/>
            </w:pPr>
            <w:r w:rsidRPr="004D6E50">
              <w:t>3.4</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627A7204" w14:textId="77777777" w:rsidR="00133DF3" w:rsidRPr="004D6E50" w:rsidRDefault="00133DF3" w:rsidP="00D50F04">
            <w:pPr>
              <w:pStyle w:val="Tabletext"/>
              <w:spacing w:line="220" w:lineRule="exact"/>
              <w:jc w:val="center"/>
            </w:pPr>
            <w:r w:rsidRPr="004D6E50">
              <w:t>1.4</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0E74F160" w14:textId="77777777" w:rsidR="00133DF3" w:rsidRPr="004D6E50" w:rsidRDefault="00133DF3" w:rsidP="00D50F04">
            <w:pPr>
              <w:pStyle w:val="Tabletext"/>
              <w:spacing w:line="220" w:lineRule="exact"/>
              <w:jc w:val="center"/>
            </w:pPr>
            <w:r w:rsidRPr="004D6E50">
              <w:t>1.3</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375CB542" w14:textId="77777777" w:rsidR="00133DF3" w:rsidRPr="004D6E50" w:rsidRDefault="00133DF3" w:rsidP="00D50F04">
            <w:pPr>
              <w:pStyle w:val="Tabletext"/>
              <w:spacing w:line="220" w:lineRule="exact"/>
              <w:jc w:val="center"/>
            </w:pPr>
            <w:r w:rsidRPr="004D6E50">
              <w:t>1.3</w:t>
            </w:r>
          </w:p>
        </w:tc>
      </w:tr>
      <w:tr w:rsidR="00133DF3" w:rsidRPr="009B2283" w14:paraId="5825F9B5"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auto" w:fill="F2F2F2" w:themeFill="background1" w:themeFillShade="F2"/>
            <w:vAlign w:val="center"/>
            <w:hideMark/>
          </w:tcPr>
          <w:p w14:paraId="480D1C68" w14:textId="77777777" w:rsidR="00133DF3" w:rsidRPr="004D6E50" w:rsidRDefault="00133DF3" w:rsidP="00D50F04">
            <w:pPr>
              <w:pStyle w:val="Tabletext"/>
              <w:spacing w:line="220" w:lineRule="exact"/>
              <w:ind w:left="321" w:hanging="284"/>
            </w:pPr>
            <w:r w:rsidRPr="004D6E50">
              <w:t>18. Other current expenditure</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hideMark/>
          </w:tcPr>
          <w:p w14:paraId="3A079CD2" w14:textId="77777777" w:rsidR="00133DF3" w:rsidRPr="004D6E50" w:rsidRDefault="00133DF3" w:rsidP="00D50F04">
            <w:pPr>
              <w:pStyle w:val="Tabletext"/>
              <w:spacing w:line="220" w:lineRule="exact"/>
            </w:pPr>
            <w:r w:rsidRPr="004D6E50">
              <w:t>D.29 + (D.4-D.41) + D.5 + D.7 + D.8</w:t>
            </w:r>
          </w:p>
        </w:tc>
        <w:tc>
          <w:tcPr>
            <w:tcW w:w="982" w:type="dxa"/>
            <w:tcBorders>
              <w:left w:val="single" w:sz="2" w:space="0" w:color="FFFFFF" w:themeColor="background1"/>
              <w:right w:val="single" w:sz="2" w:space="0" w:color="FFFFFF" w:themeColor="background1"/>
            </w:tcBorders>
            <w:shd w:val="clear" w:color="auto" w:fill="F2F2F2" w:themeFill="background1" w:themeFillShade="F2"/>
            <w:vAlign w:val="center"/>
            <w:hideMark/>
          </w:tcPr>
          <w:p w14:paraId="5117F25D" w14:textId="77777777" w:rsidR="00133DF3" w:rsidRPr="004D6E50" w:rsidRDefault="00133DF3" w:rsidP="00D50F04">
            <w:pPr>
              <w:pStyle w:val="Tabletext"/>
              <w:spacing w:line="220" w:lineRule="exact"/>
              <w:jc w:val="center"/>
            </w:pPr>
            <w:r w:rsidRPr="004D6E50">
              <w:t>3.8</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auto" w:fill="F2F2F2" w:themeFill="background1" w:themeFillShade="F2"/>
            <w:vAlign w:val="center"/>
            <w:hideMark/>
          </w:tcPr>
          <w:p w14:paraId="1EB9BDF7" w14:textId="77777777" w:rsidR="00133DF3" w:rsidRPr="004D6E50" w:rsidRDefault="00133DF3" w:rsidP="00D50F04">
            <w:pPr>
              <w:pStyle w:val="Tabletext"/>
              <w:spacing w:line="220" w:lineRule="exact"/>
              <w:jc w:val="center"/>
            </w:pPr>
            <w:r w:rsidRPr="004D6E50">
              <w:t>1.6</w:t>
            </w:r>
          </w:p>
        </w:tc>
        <w:tc>
          <w:tcPr>
            <w:tcW w:w="906" w:type="dxa"/>
            <w:tcBorders>
              <w:top w:val="single" w:sz="2" w:space="0" w:color="FFFFFF" w:themeColor="background1"/>
              <w:bottom w:val="single" w:sz="2" w:space="0" w:color="FFFFFF" w:themeColor="background1"/>
            </w:tcBorders>
            <w:shd w:val="clear" w:color="auto" w:fill="F2F2F2" w:themeFill="background1" w:themeFillShade="F2"/>
            <w:vAlign w:val="center"/>
            <w:hideMark/>
          </w:tcPr>
          <w:p w14:paraId="56B980F3" w14:textId="77777777" w:rsidR="00133DF3" w:rsidRPr="004D6E50" w:rsidRDefault="00133DF3" w:rsidP="00D50F04">
            <w:pPr>
              <w:pStyle w:val="Tabletext"/>
              <w:spacing w:line="220" w:lineRule="exact"/>
              <w:jc w:val="center"/>
            </w:pPr>
            <w:r w:rsidRPr="004D6E50">
              <w:t>1.6</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hideMark/>
          </w:tcPr>
          <w:p w14:paraId="2594CA6A" w14:textId="77777777" w:rsidR="00133DF3" w:rsidRPr="004D6E50" w:rsidRDefault="00133DF3" w:rsidP="00D50F04">
            <w:pPr>
              <w:pStyle w:val="Tabletext"/>
              <w:spacing w:line="220" w:lineRule="exact"/>
              <w:jc w:val="center"/>
            </w:pPr>
            <w:r w:rsidRPr="004D6E50">
              <w:t>2.3</w:t>
            </w:r>
          </w:p>
        </w:tc>
      </w:tr>
      <w:tr w:rsidR="00133DF3" w:rsidRPr="009B2283" w14:paraId="68492282"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43E96D3F" w14:textId="77777777" w:rsidR="00133DF3" w:rsidRPr="004D6E50" w:rsidRDefault="00133DF3" w:rsidP="00D50F04">
            <w:pPr>
              <w:pStyle w:val="Tabletext"/>
              <w:spacing w:line="220" w:lineRule="exact"/>
              <w:ind w:left="321" w:hanging="284"/>
            </w:pPr>
            <w:r w:rsidRPr="004D6E50">
              <w:t>19. Gross fixed capital formation</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6D10D137" w14:textId="77777777" w:rsidR="00133DF3" w:rsidRPr="004D6E50" w:rsidRDefault="00133DF3" w:rsidP="00D50F04">
            <w:pPr>
              <w:pStyle w:val="Tabletext"/>
              <w:spacing w:line="220" w:lineRule="exact"/>
            </w:pPr>
            <w:r w:rsidRPr="004D6E50">
              <w:t>P.51</w:t>
            </w:r>
          </w:p>
        </w:tc>
        <w:tc>
          <w:tcPr>
            <w:tcW w:w="982" w:type="dxa"/>
            <w:tcBorders>
              <w:left w:val="single" w:sz="2" w:space="0" w:color="FFFFFF" w:themeColor="background1"/>
              <w:right w:val="single" w:sz="2" w:space="0" w:color="FFFFFF" w:themeColor="background1"/>
            </w:tcBorders>
            <w:shd w:val="clear" w:color="000000" w:fill="D9D9D9"/>
            <w:vAlign w:val="center"/>
            <w:hideMark/>
          </w:tcPr>
          <w:p w14:paraId="39372830" w14:textId="77777777" w:rsidR="00133DF3" w:rsidRPr="004D6E50" w:rsidRDefault="00133DF3" w:rsidP="00D50F04">
            <w:pPr>
              <w:pStyle w:val="Tabletext"/>
              <w:spacing w:line="220" w:lineRule="exact"/>
              <w:jc w:val="center"/>
            </w:pPr>
            <w:r w:rsidRPr="004D6E50">
              <w:t>8.8</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140D80FF" w14:textId="77777777" w:rsidR="00133DF3" w:rsidRPr="004D6E50" w:rsidRDefault="00133DF3" w:rsidP="00D50F04">
            <w:pPr>
              <w:pStyle w:val="Tabletext"/>
              <w:spacing w:line="220" w:lineRule="exact"/>
              <w:jc w:val="center"/>
            </w:pPr>
            <w:r w:rsidRPr="004D6E50">
              <w:t>3.7</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651A7C05" w14:textId="77777777" w:rsidR="00133DF3" w:rsidRPr="004D6E50" w:rsidRDefault="00133DF3" w:rsidP="00D50F04">
            <w:pPr>
              <w:pStyle w:val="Tabletext"/>
              <w:spacing w:line="220" w:lineRule="exact"/>
              <w:jc w:val="center"/>
            </w:pPr>
            <w:r w:rsidRPr="004D6E50">
              <w:t>5.7</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4414AD4C" w14:textId="77777777" w:rsidR="00133DF3" w:rsidRPr="004D6E50" w:rsidRDefault="00133DF3" w:rsidP="00D50F04">
            <w:pPr>
              <w:pStyle w:val="Tabletext"/>
              <w:spacing w:line="220" w:lineRule="exact"/>
              <w:jc w:val="center"/>
            </w:pPr>
            <w:r w:rsidRPr="004D6E50">
              <w:t>6.9</w:t>
            </w:r>
          </w:p>
        </w:tc>
      </w:tr>
      <w:tr w:rsidR="00133DF3" w:rsidRPr="009B2283" w14:paraId="4F384275" w14:textId="77777777" w:rsidTr="008167F5">
        <w:trPr>
          <w:trHeight w:val="284"/>
          <w:jc w:val="center"/>
        </w:trPr>
        <w:tc>
          <w:tcPr>
            <w:tcW w:w="3701" w:type="dxa"/>
            <w:tcBorders>
              <w:top w:val="single" w:sz="2" w:space="0" w:color="FFFFFF" w:themeColor="background1"/>
              <w:left w:val="single" w:sz="2" w:space="0" w:color="FFFFFF" w:themeColor="background1"/>
            </w:tcBorders>
            <w:shd w:val="clear" w:color="auto" w:fill="F2F2F2" w:themeFill="background1" w:themeFillShade="F2"/>
            <w:vAlign w:val="center"/>
            <w:hideMark/>
          </w:tcPr>
          <w:p w14:paraId="58BDD6A0" w14:textId="77777777" w:rsidR="00133DF3" w:rsidRPr="004D6E50" w:rsidRDefault="00133DF3" w:rsidP="00D50F04">
            <w:pPr>
              <w:pStyle w:val="Tabletext"/>
              <w:spacing w:line="220" w:lineRule="exact"/>
              <w:ind w:left="321" w:hanging="284"/>
            </w:pPr>
            <w:r w:rsidRPr="004D6E50">
              <w:t>20. Of which: Nationally financed public investment</w:t>
            </w:r>
          </w:p>
        </w:tc>
        <w:tc>
          <w:tcPr>
            <w:tcW w:w="1868" w:type="dxa"/>
            <w:tcBorders>
              <w:top w:val="single" w:sz="2" w:space="0" w:color="FFFFFF" w:themeColor="background1"/>
              <w:right w:val="single" w:sz="2" w:space="0" w:color="FFFFFF" w:themeColor="background1"/>
            </w:tcBorders>
            <w:shd w:val="clear" w:color="auto" w:fill="F2F2F2" w:themeFill="background1" w:themeFillShade="F2"/>
            <w:vAlign w:val="center"/>
            <w:hideMark/>
          </w:tcPr>
          <w:p w14:paraId="05DFAC91" w14:textId="77777777" w:rsidR="00133DF3" w:rsidRPr="004D6E50" w:rsidRDefault="00133DF3" w:rsidP="00D50F04">
            <w:pPr>
              <w:pStyle w:val="Tabletext"/>
              <w:spacing w:line="220" w:lineRule="exact"/>
            </w:pPr>
            <w:r w:rsidRPr="004D6E50">
              <w:t> </w:t>
            </w:r>
          </w:p>
        </w:tc>
        <w:tc>
          <w:tcPr>
            <w:tcW w:w="982" w:type="dxa"/>
            <w:tcBorders>
              <w:left w:val="single" w:sz="2" w:space="0" w:color="FFFFFF" w:themeColor="background1"/>
              <w:right w:val="single" w:sz="2" w:space="0" w:color="FFFFFF" w:themeColor="background1"/>
            </w:tcBorders>
            <w:shd w:val="clear" w:color="auto" w:fill="F2F2F2" w:themeFill="background1" w:themeFillShade="F2"/>
            <w:vAlign w:val="center"/>
            <w:hideMark/>
          </w:tcPr>
          <w:p w14:paraId="70EBF47D" w14:textId="77777777" w:rsidR="00133DF3" w:rsidRPr="004D6E50" w:rsidRDefault="00133DF3" w:rsidP="00D50F04">
            <w:pPr>
              <w:pStyle w:val="Tabletext"/>
              <w:spacing w:line="220" w:lineRule="exact"/>
              <w:jc w:val="center"/>
            </w:pPr>
            <w:r>
              <w:t>5</w:t>
            </w:r>
            <w:r w:rsidRPr="004D6E50">
              <w:t>.</w:t>
            </w:r>
            <w:r>
              <w:t>3</w:t>
            </w:r>
          </w:p>
        </w:tc>
        <w:tc>
          <w:tcPr>
            <w:tcW w:w="718" w:type="dxa"/>
            <w:tcBorders>
              <w:top w:val="single" w:sz="2" w:space="0" w:color="FFFFFF" w:themeColor="background1"/>
              <w:left w:val="single" w:sz="2" w:space="0" w:color="FFFFFF" w:themeColor="background1"/>
            </w:tcBorders>
            <w:shd w:val="clear" w:color="auto" w:fill="F2F2F2" w:themeFill="background1" w:themeFillShade="F2"/>
            <w:vAlign w:val="center"/>
            <w:hideMark/>
          </w:tcPr>
          <w:p w14:paraId="270F59FF" w14:textId="77777777" w:rsidR="00133DF3" w:rsidRPr="004D6E50" w:rsidRDefault="00133DF3" w:rsidP="00D50F04">
            <w:pPr>
              <w:pStyle w:val="Tabletext"/>
              <w:spacing w:line="220" w:lineRule="exact"/>
              <w:jc w:val="center"/>
            </w:pPr>
            <w:r>
              <w:t>2</w:t>
            </w:r>
            <w:r w:rsidRPr="004D6E50">
              <w:t>.</w:t>
            </w:r>
            <w:r>
              <w:t>2</w:t>
            </w:r>
          </w:p>
        </w:tc>
        <w:tc>
          <w:tcPr>
            <w:tcW w:w="906" w:type="dxa"/>
            <w:tcBorders>
              <w:top w:val="single" w:sz="2" w:space="0" w:color="FFFFFF" w:themeColor="background1"/>
            </w:tcBorders>
            <w:shd w:val="clear" w:color="auto" w:fill="F2F2F2" w:themeFill="background1" w:themeFillShade="F2"/>
            <w:vAlign w:val="center"/>
            <w:hideMark/>
          </w:tcPr>
          <w:p w14:paraId="12FC4569" w14:textId="77777777" w:rsidR="00133DF3" w:rsidRPr="004D6E50" w:rsidRDefault="00133DF3" w:rsidP="00D50F04">
            <w:pPr>
              <w:pStyle w:val="Tabletext"/>
              <w:spacing w:line="220" w:lineRule="exact"/>
              <w:jc w:val="center"/>
            </w:pPr>
            <w:r w:rsidRPr="004D6E50">
              <w:t>3.3</w:t>
            </w:r>
          </w:p>
        </w:tc>
        <w:tc>
          <w:tcPr>
            <w:tcW w:w="727" w:type="dxa"/>
            <w:tcBorders>
              <w:top w:val="single" w:sz="2" w:space="0" w:color="FFFFFF" w:themeColor="background1"/>
              <w:right w:val="single" w:sz="2" w:space="0" w:color="FFFFFF" w:themeColor="background1"/>
            </w:tcBorders>
            <w:shd w:val="clear" w:color="auto" w:fill="F2F2F2" w:themeFill="background1" w:themeFillShade="F2"/>
            <w:vAlign w:val="center"/>
            <w:hideMark/>
          </w:tcPr>
          <w:p w14:paraId="72FF8257" w14:textId="17CAA60D" w:rsidR="00133DF3" w:rsidRPr="004D6E50" w:rsidRDefault="00133DF3" w:rsidP="00D50F04">
            <w:pPr>
              <w:pStyle w:val="Tabletext"/>
              <w:spacing w:line="220" w:lineRule="exact"/>
              <w:jc w:val="center"/>
            </w:pPr>
            <w:r w:rsidRPr="004D6E50">
              <w:t>3.</w:t>
            </w:r>
            <w:r w:rsidR="00444071">
              <w:t>4</w:t>
            </w:r>
          </w:p>
        </w:tc>
      </w:tr>
      <w:tr w:rsidR="00133DF3" w:rsidRPr="005B5A1A" w14:paraId="7C418620" w14:textId="77777777" w:rsidTr="008167F5">
        <w:trPr>
          <w:trHeight w:val="284"/>
          <w:jc w:val="center"/>
        </w:trPr>
        <w:tc>
          <w:tcPr>
            <w:tcW w:w="3701" w:type="dxa"/>
            <w:tcBorders>
              <w:top w:val="nil"/>
              <w:left w:val="single" w:sz="2" w:space="0" w:color="FFFFFF" w:themeColor="background1"/>
            </w:tcBorders>
            <w:shd w:val="clear" w:color="auto" w:fill="BFBFBF" w:themeFill="background1" w:themeFillShade="BF"/>
            <w:vAlign w:val="bottom"/>
          </w:tcPr>
          <w:p w14:paraId="3C5A7046" w14:textId="77777777" w:rsidR="00133DF3" w:rsidRPr="004D6E50" w:rsidRDefault="00133DF3" w:rsidP="00D50F04">
            <w:pPr>
              <w:pStyle w:val="Tabletext"/>
              <w:spacing w:line="220" w:lineRule="exact"/>
              <w:ind w:left="321" w:hanging="284"/>
              <w:rPr>
                <w:b/>
                <w:sz w:val="24"/>
              </w:rPr>
            </w:pPr>
          </w:p>
        </w:tc>
        <w:tc>
          <w:tcPr>
            <w:tcW w:w="1868" w:type="dxa"/>
            <w:tcBorders>
              <w:top w:val="nil"/>
              <w:right w:val="single" w:sz="2" w:space="0" w:color="FFFFFF" w:themeColor="background1"/>
            </w:tcBorders>
            <w:shd w:val="clear" w:color="auto" w:fill="BFBFBF" w:themeFill="background1" w:themeFillShade="BF"/>
            <w:vAlign w:val="bottom"/>
          </w:tcPr>
          <w:p w14:paraId="74920B3D" w14:textId="77777777" w:rsidR="00133DF3" w:rsidRPr="004D6E50" w:rsidRDefault="00133DF3" w:rsidP="00D50F04">
            <w:pPr>
              <w:pStyle w:val="Tabletext"/>
              <w:spacing w:line="220" w:lineRule="exact"/>
              <w:rPr>
                <w:b/>
                <w:sz w:val="24"/>
              </w:rPr>
            </w:pPr>
            <w:r w:rsidRPr="004D6E50">
              <w:rPr>
                <w:b/>
                <w:sz w:val="24"/>
              </w:rPr>
              <w:t>ESA Code</w:t>
            </w:r>
          </w:p>
        </w:tc>
        <w:tc>
          <w:tcPr>
            <w:tcW w:w="982" w:type="dxa"/>
            <w:tcBorders>
              <w:top w:val="nil"/>
              <w:left w:val="single" w:sz="2" w:space="0" w:color="FFFFFF" w:themeColor="background1"/>
              <w:right w:val="single" w:sz="2" w:space="0" w:color="FFFFFF" w:themeColor="background1"/>
            </w:tcBorders>
            <w:shd w:val="clear" w:color="auto" w:fill="BFBFBF" w:themeFill="background1" w:themeFillShade="BF"/>
            <w:vAlign w:val="bottom"/>
          </w:tcPr>
          <w:p w14:paraId="21C60CE3" w14:textId="77777777" w:rsidR="00133DF3" w:rsidRPr="004D6E50" w:rsidRDefault="00133DF3" w:rsidP="00D50F04">
            <w:pPr>
              <w:pStyle w:val="Tabletext"/>
              <w:spacing w:line="220" w:lineRule="exact"/>
              <w:jc w:val="center"/>
              <w:rPr>
                <w:b/>
                <w:sz w:val="24"/>
              </w:rPr>
            </w:pPr>
            <w:r w:rsidRPr="004D6E50">
              <w:rPr>
                <w:b/>
                <w:sz w:val="24"/>
              </w:rPr>
              <w:t>2024 (Levels)</w:t>
            </w:r>
          </w:p>
        </w:tc>
        <w:tc>
          <w:tcPr>
            <w:tcW w:w="718" w:type="dxa"/>
            <w:tcBorders>
              <w:top w:val="nil"/>
              <w:left w:val="single" w:sz="2" w:space="0" w:color="FFFFFF" w:themeColor="background1"/>
            </w:tcBorders>
            <w:shd w:val="clear" w:color="auto" w:fill="BFBFBF" w:themeFill="background1" w:themeFillShade="BF"/>
            <w:vAlign w:val="bottom"/>
          </w:tcPr>
          <w:p w14:paraId="45E91F54" w14:textId="77777777" w:rsidR="00133DF3" w:rsidRPr="004D6E50" w:rsidRDefault="00133DF3" w:rsidP="00D50F04">
            <w:pPr>
              <w:pStyle w:val="Tabletext"/>
              <w:spacing w:line="220" w:lineRule="exact"/>
              <w:jc w:val="center"/>
              <w:rPr>
                <w:b/>
                <w:sz w:val="24"/>
              </w:rPr>
            </w:pPr>
            <w:r w:rsidRPr="004D6E50">
              <w:rPr>
                <w:b/>
                <w:sz w:val="24"/>
              </w:rPr>
              <w:t>2024</w:t>
            </w:r>
          </w:p>
        </w:tc>
        <w:tc>
          <w:tcPr>
            <w:tcW w:w="906" w:type="dxa"/>
            <w:tcBorders>
              <w:top w:val="nil"/>
            </w:tcBorders>
            <w:shd w:val="clear" w:color="auto" w:fill="BFBFBF" w:themeFill="background1" w:themeFillShade="BF"/>
            <w:vAlign w:val="bottom"/>
          </w:tcPr>
          <w:p w14:paraId="1B63C291" w14:textId="77777777" w:rsidR="00133DF3" w:rsidRPr="004D6E50" w:rsidRDefault="00133DF3" w:rsidP="00D50F04">
            <w:pPr>
              <w:pStyle w:val="Tabletext"/>
              <w:spacing w:line="220" w:lineRule="exact"/>
              <w:jc w:val="center"/>
              <w:rPr>
                <w:b/>
                <w:sz w:val="24"/>
              </w:rPr>
            </w:pPr>
            <w:r w:rsidRPr="004D6E50">
              <w:rPr>
                <w:b/>
                <w:sz w:val="24"/>
              </w:rPr>
              <w:t>2025</w:t>
            </w:r>
          </w:p>
        </w:tc>
        <w:tc>
          <w:tcPr>
            <w:tcW w:w="727" w:type="dxa"/>
            <w:tcBorders>
              <w:top w:val="nil"/>
              <w:right w:val="single" w:sz="2" w:space="0" w:color="FFFFFF" w:themeColor="background1"/>
            </w:tcBorders>
            <w:shd w:val="clear" w:color="auto" w:fill="BFBFBF" w:themeFill="background1" w:themeFillShade="BF"/>
            <w:vAlign w:val="bottom"/>
          </w:tcPr>
          <w:p w14:paraId="5D2C017A" w14:textId="77777777" w:rsidR="00133DF3" w:rsidRPr="004D6E50" w:rsidRDefault="00133DF3" w:rsidP="00D50F04">
            <w:pPr>
              <w:pStyle w:val="Tabletext"/>
              <w:spacing w:line="220" w:lineRule="exact"/>
              <w:jc w:val="center"/>
              <w:rPr>
                <w:b/>
                <w:sz w:val="24"/>
              </w:rPr>
            </w:pPr>
            <w:r w:rsidRPr="004D6E50">
              <w:rPr>
                <w:b/>
                <w:sz w:val="24"/>
              </w:rPr>
              <w:t>2026</w:t>
            </w:r>
          </w:p>
        </w:tc>
      </w:tr>
      <w:tr w:rsidR="00133DF3" w:rsidRPr="009B2283" w14:paraId="14FAB23A" w14:textId="77777777" w:rsidTr="008167F5">
        <w:trPr>
          <w:trHeight w:val="433"/>
          <w:jc w:val="center"/>
        </w:trPr>
        <w:tc>
          <w:tcPr>
            <w:tcW w:w="3701" w:type="dxa"/>
            <w:tcBorders>
              <w:top w:val="nil"/>
              <w:left w:val="single" w:sz="2" w:space="0" w:color="FFFFFF" w:themeColor="background1"/>
            </w:tcBorders>
            <w:shd w:val="clear" w:color="auto" w:fill="BFBFBF" w:themeFill="background1" w:themeFillShade="BF"/>
            <w:vAlign w:val="center"/>
          </w:tcPr>
          <w:p w14:paraId="78C36D89" w14:textId="77777777" w:rsidR="00133DF3" w:rsidRPr="004D6E50" w:rsidRDefault="00133DF3" w:rsidP="00D50F04">
            <w:pPr>
              <w:pStyle w:val="Tabletext"/>
              <w:spacing w:line="220" w:lineRule="exact"/>
              <w:ind w:left="321" w:hanging="284"/>
            </w:pPr>
          </w:p>
        </w:tc>
        <w:tc>
          <w:tcPr>
            <w:tcW w:w="1868" w:type="dxa"/>
            <w:tcBorders>
              <w:top w:val="nil"/>
              <w:right w:val="single" w:sz="2" w:space="0" w:color="FFFFFF" w:themeColor="background1"/>
            </w:tcBorders>
            <w:shd w:val="clear" w:color="auto" w:fill="BFBFBF" w:themeFill="background1" w:themeFillShade="BF"/>
            <w:vAlign w:val="center"/>
          </w:tcPr>
          <w:p w14:paraId="7C4E20F8" w14:textId="77777777" w:rsidR="00133DF3" w:rsidRPr="004D6E50" w:rsidRDefault="00133DF3" w:rsidP="00D50F04">
            <w:pPr>
              <w:pStyle w:val="Tabletext"/>
              <w:spacing w:line="220" w:lineRule="exact"/>
            </w:pPr>
          </w:p>
        </w:tc>
        <w:tc>
          <w:tcPr>
            <w:tcW w:w="982" w:type="dxa"/>
            <w:tcBorders>
              <w:top w:val="nil"/>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tcPr>
          <w:p w14:paraId="5C53C234" w14:textId="77777777" w:rsidR="00133DF3" w:rsidRPr="004D6E50" w:rsidRDefault="00133DF3" w:rsidP="00D50F04">
            <w:pPr>
              <w:pStyle w:val="Tabletext"/>
              <w:spacing w:line="220" w:lineRule="exact"/>
              <w:jc w:val="center"/>
            </w:pPr>
            <w:r w:rsidRPr="004D6E50">
              <w:t>bn EUR</w:t>
            </w:r>
          </w:p>
        </w:tc>
        <w:tc>
          <w:tcPr>
            <w:tcW w:w="2351" w:type="dxa"/>
            <w:gridSpan w:val="3"/>
            <w:tcBorders>
              <w:top w:val="nil"/>
              <w:left w:val="single" w:sz="2" w:space="0" w:color="FFFFFF" w:themeColor="background1"/>
              <w:right w:val="single" w:sz="2" w:space="0" w:color="FFFFFF" w:themeColor="background1"/>
            </w:tcBorders>
            <w:shd w:val="clear" w:color="auto" w:fill="BFBFBF" w:themeFill="background1" w:themeFillShade="BF"/>
            <w:vAlign w:val="center"/>
          </w:tcPr>
          <w:p w14:paraId="144E2554" w14:textId="77777777" w:rsidR="00133DF3" w:rsidRPr="004D6E50" w:rsidRDefault="00133DF3" w:rsidP="00D50F04">
            <w:pPr>
              <w:pStyle w:val="Tabletext"/>
              <w:spacing w:line="220" w:lineRule="exact"/>
              <w:jc w:val="center"/>
            </w:pPr>
            <w:r w:rsidRPr="004D6E50">
              <w:t>% GDP</w:t>
            </w:r>
          </w:p>
        </w:tc>
      </w:tr>
      <w:tr w:rsidR="00133DF3" w:rsidRPr="009B2283" w14:paraId="54582E71"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70942313" w14:textId="77777777" w:rsidR="00133DF3" w:rsidRPr="004D6E50" w:rsidRDefault="00133DF3" w:rsidP="00D50F04">
            <w:pPr>
              <w:pStyle w:val="Tabletext"/>
              <w:spacing w:line="220" w:lineRule="exact"/>
              <w:ind w:left="321" w:hanging="284"/>
            </w:pPr>
            <w:r w:rsidRPr="004D6E50">
              <w:t>21. Capital transfers</w:t>
            </w:r>
          </w:p>
        </w:tc>
        <w:tc>
          <w:tcPr>
            <w:tcW w:w="1868"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7E127F18" w14:textId="77777777" w:rsidR="00133DF3" w:rsidRPr="004D6E50" w:rsidRDefault="00133DF3" w:rsidP="00D50F04">
            <w:pPr>
              <w:pStyle w:val="Tabletext"/>
              <w:spacing w:line="220" w:lineRule="exact"/>
            </w:pPr>
            <w:r w:rsidRPr="004D6E50">
              <w:t>D.9</w:t>
            </w:r>
          </w:p>
        </w:tc>
        <w:tc>
          <w:tcPr>
            <w:tcW w:w="982" w:type="dxa"/>
            <w:tcBorders>
              <w:top w:val="single" w:sz="2" w:space="0" w:color="FFFFFF" w:themeColor="background1"/>
              <w:left w:val="single" w:sz="2" w:space="0" w:color="FFFFFF" w:themeColor="background1"/>
              <w:right w:val="single" w:sz="2" w:space="0" w:color="FFFFFF" w:themeColor="background1"/>
            </w:tcBorders>
            <w:shd w:val="clear" w:color="000000" w:fill="D9D9D9"/>
            <w:vAlign w:val="center"/>
            <w:hideMark/>
          </w:tcPr>
          <w:p w14:paraId="26A2AAD7" w14:textId="77777777" w:rsidR="00133DF3" w:rsidRPr="004D6E50" w:rsidRDefault="00133DF3" w:rsidP="00D50F04">
            <w:pPr>
              <w:pStyle w:val="Tabletext"/>
              <w:spacing w:line="220" w:lineRule="exact"/>
              <w:jc w:val="center"/>
            </w:pPr>
            <w:r w:rsidRPr="004D6E50">
              <w:t>6.8</w:t>
            </w:r>
          </w:p>
        </w:tc>
        <w:tc>
          <w:tcPr>
            <w:tcW w:w="718" w:type="dxa"/>
            <w:tcBorders>
              <w:top w:val="single" w:sz="2" w:space="0" w:color="FFFFFF" w:themeColor="background1"/>
              <w:left w:val="single" w:sz="2" w:space="0" w:color="FFFFFF" w:themeColor="background1"/>
              <w:bottom w:val="single" w:sz="2" w:space="0" w:color="FFFFFF" w:themeColor="background1"/>
            </w:tcBorders>
            <w:shd w:val="clear" w:color="000000" w:fill="D9D9D9"/>
            <w:vAlign w:val="center"/>
            <w:hideMark/>
          </w:tcPr>
          <w:p w14:paraId="4980BBF8" w14:textId="77777777" w:rsidR="00133DF3" w:rsidRPr="004D6E50" w:rsidRDefault="00133DF3" w:rsidP="00D50F04">
            <w:pPr>
              <w:pStyle w:val="Tabletext"/>
              <w:spacing w:line="220" w:lineRule="exact"/>
              <w:jc w:val="center"/>
            </w:pPr>
            <w:r w:rsidRPr="004D6E50">
              <w:t>2.8</w:t>
            </w:r>
          </w:p>
        </w:tc>
        <w:tc>
          <w:tcPr>
            <w:tcW w:w="906" w:type="dxa"/>
            <w:tcBorders>
              <w:top w:val="single" w:sz="2" w:space="0" w:color="FFFFFF" w:themeColor="background1"/>
              <w:bottom w:val="single" w:sz="2" w:space="0" w:color="FFFFFF" w:themeColor="background1"/>
            </w:tcBorders>
            <w:shd w:val="clear" w:color="000000" w:fill="D9D9D9"/>
            <w:vAlign w:val="center"/>
            <w:hideMark/>
          </w:tcPr>
          <w:p w14:paraId="6AB7E5F8" w14:textId="77777777" w:rsidR="00133DF3" w:rsidRPr="004D6E50" w:rsidRDefault="00133DF3" w:rsidP="00D50F04">
            <w:pPr>
              <w:pStyle w:val="Tabletext"/>
              <w:spacing w:line="220" w:lineRule="exact"/>
              <w:jc w:val="center"/>
            </w:pPr>
            <w:r w:rsidRPr="004D6E50">
              <w:t>1.8</w:t>
            </w:r>
          </w:p>
        </w:tc>
        <w:tc>
          <w:tcPr>
            <w:tcW w:w="727" w:type="dxa"/>
            <w:tcBorders>
              <w:top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14:paraId="2BFE42DF" w14:textId="77777777" w:rsidR="00133DF3" w:rsidRPr="004D6E50" w:rsidRDefault="00133DF3" w:rsidP="00D50F04">
            <w:pPr>
              <w:pStyle w:val="Tabletext"/>
              <w:spacing w:line="220" w:lineRule="exact"/>
              <w:jc w:val="center"/>
            </w:pPr>
            <w:r w:rsidRPr="004D6E50">
              <w:t>1.9</w:t>
            </w:r>
          </w:p>
        </w:tc>
      </w:tr>
      <w:tr w:rsidR="00133DF3" w:rsidRPr="009B2283" w14:paraId="2129AD22" w14:textId="77777777" w:rsidTr="008167F5">
        <w:trPr>
          <w:trHeight w:val="284"/>
          <w:jc w:val="center"/>
        </w:trPr>
        <w:tc>
          <w:tcPr>
            <w:tcW w:w="3701" w:type="dxa"/>
            <w:tcBorders>
              <w:top w:val="single" w:sz="2" w:space="0" w:color="FFFFFF" w:themeColor="background1"/>
              <w:left w:val="single" w:sz="2" w:space="0" w:color="FFFFFF" w:themeColor="background1"/>
            </w:tcBorders>
            <w:shd w:val="clear" w:color="000000" w:fill="F2F2F2"/>
            <w:vAlign w:val="center"/>
            <w:hideMark/>
          </w:tcPr>
          <w:p w14:paraId="55FA7F30" w14:textId="77777777" w:rsidR="00133DF3" w:rsidRPr="004D6E50" w:rsidRDefault="00133DF3" w:rsidP="00D50F04">
            <w:pPr>
              <w:pStyle w:val="Tabletext"/>
              <w:spacing w:line="220" w:lineRule="exact"/>
              <w:ind w:left="321" w:hanging="284"/>
            </w:pPr>
            <w:r w:rsidRPr="004D6E50">
              <w:t>22. Other capital expenditure</w:t>
            </w:r>
          </w:p>
        </w:tc>
        <w:tc>
          <w:tcPr>
            <w:tcW w:w="1868" w:type="dxa"/>
            <w:tcBorders>
              <w:top w:val="single" w:sz="2" w:space="0" w:color="FFFFFF" w:themeColor="background1"/>
              <w:right w:val="single" w:sz="2" w:space="0" w:color="FFFFFF" w:themeColor="background1"/>
            </w:tcBorders>
            <w:shd w:val="clear" w:color="000000" w:fill="F2F2F2"/>
            <w:vAlign w:val="center"/>
            <w:hideMark/>
          </w:tcPr>
          <w:p w14:paraId="05EE41FD" w14:textId="77777777" w:rsidR="00133DF3" w:rsidRPr="004D6E50" w:rsidRDefault="00133DF3" w:rsidP="00D50F04">
            <w:pPr>
              <w:pStyle w:val="Tabletext"/>
              <w:spacing w:line="220" w:lineRule="exact"/>
            </w:pPr>
            <w:r w:rsidRPr="004D6E50">
              <w:t>P.52+P.53+NP</w:t>
            </w:r>
          </w:p>
        </w:tc>
        <w:tc>
          <w:tcPr>
            <w:tcW w:w="982" w:type="dxa"/>
            <w:tcBorders>
              <w:left w:val="single" w:sz="2" w:space="0" w:color="FFFFFF" w:themeColor="background1"/>
              <w:right w:val="single" w:sz="2" w:space="0" w:color="FFFFFF" w:themeColor="background1"/>
            </w:tcBorders>
            <w:shd w:val="clear" w:color="000000" w:fill="F2F2F2"/>
            <w:vAlign w:val="center"/>
            <w:hideMark/>
          </w:tcPr>
          <w:p w14:paraId="20662974" w14:textId="77777777" w:rsidR="00133DF3" w:rsidRPr="004D6E50" w:rsidRDefault="00133DF3" w:rsidP="00D50F04">
            <w:pPr>
              <w:pStyle w:val="Tabletext"/>
              <w:spacing w:line="220" w:lineRule="exact"/>
              <w:jc w:val="center"/>
            </w:pPr>
            <w:r w:rsidRPr="004D6E50">
              <w:t>0.4</w:t>
            </w:r>
          </w:p>
        </w:tc>
        <w:tc>
          <w:tcPr>
            <w:tcW w:w="718" w:type="dxa"/>
            <w:tcBorders>
              <w:top w:val="single" w:sz="2" w:space="0" w:color="FFFFFF" w:themeColor="background1"/>
              <w:left w:val="single" w:sz="2" w:space="0" w:color="FFFFFF" w:themeColor="background1"/>
            </w:tcBorders>
            <w:shd w:val="clear" w:color="000000" w:fill="F2F2F2"/>
            <w:vAlign w:val="center"/>
            <w:hideMark/>
          </w:tcPr>
          <w:p w14:paraId="0A5116DE" w14:textId="77777777" w:rsidR="00133DF3" w:rsidRPr="004D6E50" w:rsidRDefault="00133DF3" w:rsidP="00D50F04">
            <w:pPr>
              <w:pStyle w:val="Tabletext"/>
              <w:spacing w:line="220" w:lineRule="exact"/>
              <w:jc w:val="center"/>
            </w:pPr>
            <w:r w:rsidRPr="004D6E50">
              <w:t>0.2</w:t>
            </w:r>
          </w:p>
        </w:tc>
        <w:tc>
          <w:tcPr>
            <w:tcW w:w="906" w:type="dxa"/>
            <w:tcBorders>
              <w:top w:val="single" w:sz="2" w:space="0" w:color="FFFFFF" w:themeColor="background1"/>
            </w:tcBorders>
            <w:shd w:val="clear" w:color="000000" w:fill="F2F2F2"/>
            <w:vAlign w:val="center"/>
            <w:hideMark/>
          </w:tcPr>
          <w:p w14:paraId="63E70050" w14:textId="77777777" w:rsidR="00133DF3" w:rsidRPr="004D6E50" w:rsidRDefault="00133DF3" w:rsidP="00D50F04">
            <w:pPr>
              <w:pStyle w:val="Tabletext"/>
              <w:spacing w:line="220" w:lineRule="exact"/>
              <w:jc w:val="center"/>
            </w:pPr>
            <w:r w:rsidRPr="004D6E50">
              <w:t>0.0</w:t>
            </w:r>
          </w:p>
        </w:tc>
        <w:tc>
          <w:tcPr>
            <w:tcW w:w="727" w:type="dxa"/>
            <w:tcBorders>
              <w:top w:val="single" w:sz="2" w:space="0" w:color="FFFFFF" w:themeColor="background1"/>
              <w:right w:val="single" w:sz="2" w:space="0" w:color="FFFFFF" w:themeColor="background1"/>
            </w:tcBorders>
            <w:shd w:val="clear" w:color="000000" w:fill="F2F2F2"/>
            <w:vAlign w:val="center"/>
            <w:hideMark/>
          </w:tcPr>
          <w:p w14:paraId="3003E9B6" w14:textId="77777777" w:rsidR="00133DF3" w:rsidRPr="004D6E50" w:rsidRDefault="00133DF3" w:rsidP="00D50F04">
            <w:pPr>
              <w:pStyle w:val="Tabletext"/>
              <w:spacing w:line="220" w:lineRule="exact"/>
              <w:jc w:val="center"/>
            </w:pPr>
            <w:r w:rsidRPr="004D6E50">
              <w:t>0.0</w:t>
            </w:r>
          </w:p>
        </w:tc>
      </w:tr>
      <w:tr w:rsidR="00133DF3" w:rsidRPr="009B2283" w14:paraId="76C4C35C" w14:textId="77777777" w:rsidTr="008167F5">
        <w:trPr>
          <w:trHeight w:val="284"/>
          <w:jc w:val="center"/>
        </w:trPr>
        <w:tc>
          <w:tcPr>
            <w:tcW w:w="3701" w:type="dxa"/>
            <w:tcBorders>
              <w:left w:val="single" w:sz="2" w:space="0" w:color="FFFFFF" w:themeColor="background1"/>
              <w:bottom w:val="single" w:sz="2" w:space="0" w:color="FFFFFF" w:themeColor="background1"/>
              <w:right w:val="nil"/>
            </w:tcBorders>
            <w:shd w:val="clear" w:color="auto" w:fill="D9D9D9" w:themeFill="background1" w:themeFillShade="D9"/>
            <w:vAlign w:val="center"/>
            <w:hideMark/>
          </w:tcPr>
          <w:p w14:paraId="56E3A5CD" w14:textId="77777777" w:rsidR="00133DF3" w:rsidRPr="004D6E50" w:rsidRDefault="00133DF3" w:rsidP="00D50F04">
            <w:pPr>
              <w:pStyle w:val="Tabletext"/>
              <w:spacing w:line="220" w:lineRule="exact"/>
              <w:ind w:left="321" w:hanging="284"/>
            </w:pPr>
            <w:r w:rsidRPr="004D6E50">
              <w:t xml:space="preserve">23. Total expenditure </w:t>
            </w:r>
            <w:r w:rsidRPr="004D6E50">
              <w:br/>
            </w:r>
            <w:r w:rsidRPr="00385F38">
              <w:rPr>
                <w:w w:val="90"/>
                <w:szCs w:val="21"/>
              </w:rPr>
              <w:t>(=12+13+14+15+16+17+18+19+21+22)</w:t>
            </w:r>
          </w:p>
        </w:tc>
        <w:tc>
          <w:tcPr>
            <w:tcW w:w="1868" w:type="dxa"/>
            <w:tcBorders>
              <w:left w:val="nil"/>
              <w:bottom w:val="single" w:sz="2" w:space="0" w:color="FFFFFF" w:themeColor="background1"/>
              <w:right w:val="nil"/>
            </w:tcBorders>
            <w:shd w:val="clear" w:color="auto" w:fill="D9D9D9" w:themeFill="background1" w:themeFillShade="D9"/>
            <w:vAlign w:val="center"/>
            <w:hideMark/>
          </w:tcPr>
          <w:p w14:paraId="765C8901" w14:textId="77777777" w:rsidR="00133DF3" w:rsidRPr="004D6E50" w:rsidRDefault="00133DF3" w:rsidP="00D50F04">
            <w:pPr>
              <w:pStyle w:val="Tabletext"/>
              <w:spacing w:line="220" w:lineRule="exact"/>
            </w:pPr>
            <w:r w:rsidRPr="004D6E50">
              <w:t>TE</w:t>
            </w:r>
          </w:p>
        </w:tc>
        <w:tc>
          <w:tcPr>
            <w:tcW w:w="982" w:type="dxa"/>
            <w:tcBorders>
              <w:left w:val="single" w:sz="4" w:space="0" w:color="FFFFFF"/>
              <w:bottom w:val="single" w:sz="2" w:space="0" w:color="FFFFFF" w:themeColor="background1"/>
              <w:right w:val="single" w:sz="4" w:space="0" w:color="FFFFFF"/>
            </w:tcBorders>
            <w:shd w:val="clear" w:color="auto" w:fill="D9D9D9" w:themeFill="background1" w:themeFillShade="D9"/>
            <w:vAlign w:val="center"/>
            <w:hideMark/>
          </w:tcPr>
          <w:p w14:paraId="5700DBE8" w14:textId="77777777" w:rsidR="00133DF3" w:rsidRPr="004D6E50" w:rsidRDefault="00133DF3" w:rsidP="00D50F04">
            <w:pPr>
              <w:pStyle w:val="Tabletext"/>
              <w:spacing w:line="220" w:lineRule="exact"/>
              <w:jc w:val="center"/>
            </w:pPr>
            <w:r w:rsidRPr="004D6E50">
              <w:t>114.2</w:t>
            </w:r>
          </w:p>
        </w:tc>
        <w:tc>
          <w:tcPr>
            <w:tcW w:w="718" w:type="dxa"/>
            <w:tcBorders>
              <w:left w:val="nil"/>
              <w:bottom w:val="single" w:sz="2" w:space="0" w:color="FFFFFF" w:themeColor="background1"/>
              <w:right w:val="nil"/>
            </w:tcBorders>
            <w:shd w:val="clear" w:color="auto" w:fill="D9D9D9" w:themeFill="background1" w:themeFillShade="D9"/>
            <w:vAlign w:val="center"/>
            <w:hideMark/>
          </w:tcPr>
          <w:p w14:paraId="57012687" w14:textId="77777777" w:rsidR="00133DF3" w:rsidRPr="004D6E50" w:rsidRDefault="00133DF3" w:rsidP="00D50F04">
            <w:pPr>
              <w:pStyle w:val="Tabletext"/>
              <w:spacing w:line="220" w:lineRule="exact"/>
              <w:jc w:val="center"/>
            </w:pPr>
            <w:r w:rsidRPr="004D6E50">
              <w:t>48.1</w:t>
            </w:r>
          </w:p>
        </w:tc>
        <w:tc>
          <w:tcPr>
            <w:tcW w:w="906" w:type="dxa"/>
            <w:tcBorders>
              <w:left w:val="nil"/>
              <w:bottom w:val="single" w:sz="2" w:space="0" w:color="FFFFFF" w:themeColor="background1"/>
              <w:right w:val="nil"/>
            </w:tcBorders>
            <w:shd w:val="clear" w:color="auto" w:fill="D9D9D9" w:themeFill="background1" w:themeFillShade="D9"/>
            <w:vAlign w:val="center"/>
            <w:hideMark/>
          </w:tcPr>
          <w:p w14:paraId="622FDB50" w14:textId="77777777" w:rsidR="00133DF3" w:rsidRPr="004D6E50" w:rsidRDefault="00133DF3" w:rsidP="00D50F04">
            <w:pPr>
              <w:pStyle w:val="Tabletext"/>
              <w:spacing w:line="220" w:lineRule="exact"/>
              <w:jc w:val="center"/>
            </w:pPr>
            <w:r w:rsidRPr="004D6E50">
              <w:t>48.5</w:t>
            </w:r>
          </w:p>
        </w:tc>
        <w:tc>
          <w:tcPr>
            <w:tcW w:w="727" w:type="dxa"/>
            <w:tcBorders>
              <w:left w:val="nil"/>
              <w:bottom w:val="single" w:sz="2" w:space="0" w:color="FFFFFF" w:themeColor="background1"/>
              <w:right w:val="single" w:sz="2" w:space="0" w:color="FFFFFF" w:themeColor="background1"/>
            </w:tcBorders>
            <w:shd w:val="clear" w:color="auto" w:fill="D9D9D9" w:themeFill="background1" w:themeFillShade="D9"/>
            <w:vAlign w:val="center"/>
            <w:hideMark/>
          </w:tcPr>
          <w:p w14:paraId="60FD76D5" w14:textId="77777777" w:rsidR="00133DF3" w:rsidRPr="004D6E50" w:rsidRDefault="00133DF3" w:rsidP="00D50F04">
            <w:pPr>
              <w:pStyle w:val="Tabletext"/>
              <w:spacing w:line="220" w:lineRule="exact"/>
              <w:jc w:val="center"/>
            </w:pPr>
            <w:r w:rsidRPr="004D6E50">
              <w:t>49.8</w:t>
            </w:r>
          </w:p>
        </w:tc>
      </w:tr>
      <w:tr w:rsidR="00133DF3" w:rsidRPr="009B2283" w14:paraId="644E80E1"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F2F2F2"/>
            <w:vAlign w:val="center"/>
            <w:hideMark/>
          </w:tcPr>
          <w:p w14:paraId="75879588" w14:textId="77777777" w:rsidR="00133DF3" w:rsidRPr="004D6E50" w:rsidRDefault="00133DF3" w:rsidP="00D50F04">
            <w:pPr>
              <w:pStyle w:val="Tabletext"/>
              <w:spacing w:line="220" w:lineRule="exact"/>
              <w:ind w:left="321" w:hanging="284"/>
            </w:pPr>
            <w:r w:rsidRPr="004D6E50">
              <w:t>24. Of which: Expenditure funded by transfers from the EU (= 8-10b)</w:t>
            </w:r>
          </w:p>
        </w:tc>
        <w:tc>
          <w:tcPr>
            <w:tcW w:w="186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6D807F02" w14:textId="77777777" w:rsidR="00133DF3" w:rsidRPr="004D6E50" w:rsidRDefault="00133DF3" w:rsidP="00D50F04">
            <w:pPr>
              <w:pStyle w:val="Tabletext"/>
              <w:spacing w:line="220" w:lineRule="exact"/>
            </w:pPr>
            <w:r w:rsidRPr="004D6E50">
              <w:t> </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F2F2F2"/>
            <w:vAlign w:val="center"/>
            <w:hideMark/>
          </w:tcPr>
          <w:p w14:paraId="759572A0" w14:textId="77777777" w:rsidR="00133DF3" w:rsidRPr="004D6E50" w:rsidRDefault="00133DF3" w:rsidP="00D50F04">
            <w:pPr>
              <w:pStyle w:val="Tabletext"/>
              <w:spacing w:line="220" w:lineRule="exact"/>
              <w:jc w:val="center"/>
            </w:pPr>
            <w:r w:rsidRPr="004D6E50">
              <w:t>6.2</w:t>
            </w:r>
          </w:p>
        </w:tc>
        <w:tc>
          <w:tcPr>
            <w:tcW w:w="71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015B4A8E" w14:textId="77777777" w:rsidR="00133DF3" w:rsidRPr="004D6E50" w:rsidRDefault="00133DF3" w:rsidP="00D50F04">
            <w:pPr>
              <w:pStyle w:val="Tabletext"/>
              <w:spacing w:line="220" w:lineRule="exact"/>
              <w:jc w:val="center"/>
            </w:pPr>
            <w:r w:rsidRPr="004D6E50">
              <w:t>2.6</w:t>
            </w:r>
          </w:p>
        </w:tc>
        <w:tc>
          <w:tcPr>
            <w:tcW w:w="906"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2647E8C1" w14:textId="77777777" w:rsidR="00133DF3" w:rsidRPr="004D6E50" w:rsidRDefault="00133DF3" w:rsidP="00D50F04">
            <w:pPr>
              <w:pStyle w:val="Tabletext"/>
              <w:spacing w:line="220" w:lineRule="exact"/>
              <w:jc w:val="center"/>
            </w:pPr>
            <w:r w:rsidRPr="004D6E50">
              <w:t>3.8</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F2F2F2"/>
            <w:vAlign w:val="center"/>
            <w:hideMark/>
          </w:tcPr>
          <w:p w14:paraId="2FB8EC50" w14:textId="77777777" w:rsidR="00133DF3" w:rsidRPr="004D6E50" w:rsidRDefault="00133DF3" w:rsidP="00D50F04">
            <w:pPr>
              <w:pStyle w:val="Tabletext"/>
              <w:spacing w:line="220" w:lineRule="exact"/>
              <w:jc w:val="center"/>
            </w:pPr>
            <w:r w:rsidRPr="004D6E50">
              <w:t>5.0</w:t>
            </w:r>
          </w:p>
        </w:tc>
      </w:tr>
      <w:tr w:rsidR="00133DF3" w:rsidRPr="009B2283" w14:paraId="108F1FFA" w14:textId="77777777" w:rsidTr="008167F5">
        <w:trPr>
          <w:trHeight w:val="284"/>
          <w:jc w:val="center"/>
        </w:trPr>
        <w:tc>
          <w:tcPr>
            <w:tcW w:w="5569" w:type="dxa"/>
            <w:gridSpan w:val="2"/>
            <w:tcBorders>
              <w:top w:val="single" w:sz="2" w:space="0" w:color="FFFFFF" w:themeColor="background1"/>
              <w:left w:val="single" w:sz="2" w:space="0" w:color="FFFFFF" w:themeColor="background1"/>
              <w:bottom w:val="single" w:sz="2" w:space="0" w:color="FFFFFF" w:themeColor="background1"/>
              <w:right w:val="nil"/>
            </w:tcBorders>
            <w:shd w:val="clear" w:color="000000" w:fill="D9D9D9"/>
            <w:vAlign w:val="center"/>
            <w:hideMark/>
          </w:tcPr>
          <w:p w14:paraId="32B328B2" w14:textId="77777777" w:rsidR="00133DF3" w:rsidRPr="004D6E50" w:rsidRDefault="00133DF3" w:rsidP="00D50F04">
            <w:pPr>
              <w:pStyle w:val="Tabletext"/>
              <w:spacing w:line="220" w:lineRule="exact"/>
              <w:ind w:left="321" w:hanging="284"/>
            </w:pPr>
            <w:r w:rsidRPr="004D6E50">
              <w:t>25. Nationally financed expenditure (23-24)</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D9D9D9"/>
            <w:vAlign w:val="center"/>
            <w:hideMark/>
          </w:tcPr>
          <w:p w14:paraId="1E2CF481" w14:textId="77777777" w:rsidR="00133DF3" w:rsidRPr="004D6E50" w:rsidRDefault="00133DF3" w:rsidP="00D50F04">
            <w:pPr>
              <w:pStyle w:val="Tabletext"/>
              <w:spacing w:line="220" w:lineRule="exact"/>
              <w:jc w:val="center"/>
            </w:pPr>
            <w:r w:rsidRPr="004D6E50">
              <w:t>108.0</w:t>
            </w:r>
          </w:p>
        </w:tc>
        <w:tc>
          <w:tcPr>
            <w:tcW w:w="71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3DACC969" w14:textId="77777777" w:rsidR="00133DF3" w:rsidRPr="004D6E50" w:rsidRDefault="00133DF3" w:rsidP="00D50F04">
            <w:pPr>
              <w:pStyle w:val="Tabletext"/>
              <w:spacing w:line="220" w:lineRule="exact"/>
              <w:jc w:val="center"/>
            </w:pPr>
            <w:r w:rsidRPr="004D6E50">
              <w:t>45.5</w:t>
            </w:r>
          </w:p>
        </w:tc>
        <w:tc>
          <w:tcPr>
            <w:tcW w:w="906"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28B7A51A" w14:textId="77777777" w:rsidR="00133DF3" w:rsidRPr="004D6E50" w:rsidRDefault="00133DF3" w:rsidP="00D50F04">
            <w:pPr>
              <w:pStyle w:val="Tabletext"/>
              <w:spacing w:line="220" w:lineRule="exact"/>
              <w:jc w:val="center"/>
            </w:pPr>
            <w:r w:rsidRPr="004D6E50">
              <w:t>44.8</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D9D9D9"/>
            <w:vAlign w:val="center"/>
            <w:hideMark/>
          </w:tcPr>
          <w:p w14:paraId="284595C3" w14:textId="77777777" w:rsidR="00133DF3" w:rsidRPr="004D6E50" w:rsidRDefault="00133DF3" w:rsidP="00D50F04">
            <w:pPr>
              <w:pStyle w:val="Tabletext"/>
              <w:spacing w:line="220" w:lineRule="exact"/>
              <w:jc w:val="center"/>
            </w:pPr>
            <w:r w:rsidRPr="004D6E50">
              <w:t>44.8</w:t>
            </w:r>
          </w:p>
        </w:tc>
      </w:tr>
      <w:tr w:rsidR="00133DF3" w:rsidRPr="009B2283" w14:paraId="7E8775E6"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F2F2F2"/>
            <w:vAlign w:val="center"/>
            <w:hideMark/>
          </w:tcPr>
          <w:p w14:paraId="5DCA6DE5" w14:textId="77777777" w:rsidR="00133DF3" w:rsidRPr="004D6E50" w:rsidRDefault="00133DF3" w:rsidP="00D50F04">
            <w:pPr>
              <w:pStyle w:val="Tabletext"/>
              <w:spacing w:line="220" w:lineRule="exact"/>
              <w:ind w:left="321" w:hanging="284"/>
            </w:pPr>
            <w:r w:rsidRPr="004D6E50">
              <w:t>26. p.m. National co-financing of programmes funded by the Union</w:t>
            </w:r>
          </w:p>
        </w:tc>
        <w:tc>
          <w:tcPr>
            <w:tcW w:w="186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39E6CD3F" w14:textId="77777777" w:rsidR="00133DF3" w:rsidRPr="004D6E50" w:rsidRDefault="00133DF3" w:rsidP="00D50F04">
            <w:pPr>
              <w:pStyle w:val="Tabletext"/>
              <w:spacing w:line="220" w:lineRule="exact"/>
            </w:pPr>
            <w:r w:rsidRPr="004D6E50">
              <w:t> </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F2F2F2"/>
            <w:vAlign w:val="center"/>
            <w:hideMark/>
          </w:tcPr>
          <w:p w14:paraId="665CC8AB" w14:textId="77777777" w:rsidR="00133DF3" w:rsidRPr="004D6E50" w:rsidRDefault="00133DF3" w:rsidP="00D50F04">
            <w:pPr>
              <w:pStyle w:val="Tabletext"/>
              <w:spacing w:line="220" w:lineRule="exact"/>
              <w:jc w:val="center"/>
            </w:pPr>
            <w:r w:rsidRPr="004D6E50">
              <w:t>0.7</w:t>
            </w:r>
          </w:p>
        </w:tc>
        <w:tc>
          <w:tcPr>
            <w:tcW w:w="71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108B3FB6" w14:textId="77777777" w:rsidR="00133DF3" w:rsidRPr="004D6E50" w:rsidRDefault="00133DF3" w:rsidP="00D50F04">
            <w:pPr>
              <w:pStyle w:val="Tabletext"/>
              <w:spacing w:line="220" w:lineRule="exact"/>
              <w:jc w:val="center"/>
            </w:pPr>
            <w:r w:rsidRPr="004D6E50">
              <w:t>0.3</w:t>
            </w:r>
          </w:p>
        </w:tc>
        <w:tc>
          <w:tcPr>
            <w:tcW w:w="906"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4917D8B2" w14:textId="77777777" w:rsidR="00133DF3" w:rsidRPr="004D6E50" w:rsidRDefault="00133DF3" w:rsidP="00D50F04">
            <w:pPr>
              <w:pStyle w:val="Tabletext"/>
              <w:spacing w:line="220" w:lineRule="exact"/>
              <w:jc w:val="center"/>
            </w:pPr>
            <w:r w:rsidRPr="004D6E50">
              <w:t>0.3</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F2F2F2"/>
            <w:vAlign w:val="center"/>
            <w:hideMark/>
          </w:tcPr>
          <w:p w14:paraId="32E10B9E" w14:textId="77777777" w:rsidR="00133DF3" w:rsidRPr="004D6E50" w:rsidRDefault="00133DF3" w:rsidP="00D50F04">
            <w:pPr>
              <w:pStyle w:val="Tabletext"/>
              <w:spacing w:line="220" w:lineRule="exact"/>
              <w:jc w:val="center"/>
            </w:pPr>
            <w:r w:rsidRPr="004D6E50">
              <w:t>0.3</w:t>
            </w:r>
          </w:p>
        </w:tc>
      </w:tr>
      <w:tr w:rsidR="00133DF3" w:rsidRPr="009B2283" w14:paraId="05A1C22D"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D9D9D9"/>
            <w:vAlign w:val="center"/>
            <w:hideMark/>
          </w:tcPr>
          <w:p w14:paraId="2DC30007" w14:textId="77777777" w:rsidR="00133DF3" w:rsidRPr="004D6E50" w:rsidRDefault="00133DF3" w:rsidP="00D50F04">
            <w:pPr>
              <w:pStyle w:val="Tabletext"/>
              <w:spacing w:line="220" w:lineRule="exact"/>
              <w:ind w:left="321" w:hanging="284"/>
            </w:pPr>
            <w:r w:rsidRPr="004D6E50">
              <w:t>27. p.m. Cyclical component of unemployment benefits</w:t>
            </w:r>
          </w:p>
        </w:tc>
        <w:tc>
          <w:tcPr>
            <w:tcW w:w="186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2CE4CF9B" w14:textId="77777777" w:rsidR="00133DF3" w:rsidRPr="004D6E50" w:rsidRDefault="00133DF3" w:rsidP="00D50F04">
            <w:pPr>
              <w:pStyle w:val="Tabletext"/>
              <w:spacing w:line="220" w:lineRule="exact"/>
            </w:pPr>
            <w:r w:rsidRPr="004D6E50">
              <w:t> </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D9D9D9"/>
            <w:vAlign w:val="center"/>
            <w:hideMark/>
          </w:tcPr>
          <w:p w14:paraId="60FD3696" w14:textId="77777777" w:rsidR="00133DF3" w:rsidRPr="004D6E50" w:rsidRDefault="00133DF3" w:rsidP="00D50F04">
            <w:pPr>
              <w:pStyle w:val="Tabletext"/>
              <w:spacing w:line="220" w:lineRule="exact"/>
              <w:jc w:val="center"/>
            </w:pPr>
            <w:r w:rsidRPr="004D6E50">
              <w:t>0.1</w:t>
            </w:r>
          </w:p>
        </w:tc>
        <w:tc>
          <w:tcPr>
            <w:tcW w:w="71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6D240B0E" w14:textId="77777777" w:rsidR="00133DF3" w:rsidRPr="004D6E50" w:rsidRDefault="00133DF3" w:rsidP="00D50F04">
            <w:pPr>
              <w:pStyle w:val="Tabletext"/>
              <w:spacing w:line="220" w:lineRule="exact"/>
              <w:jc w:val="center"/>
            </w:pPr>
            <w:r w:rsidRPr="004D6E50">
              <w:t>0.1</w:t>
            </w:r>
          </w:p>
        </w:tc>
        <w:tc>
          <w:tcPr>
            <w:tcW w:w="906"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1AC90DE0" w14:textId="77777777" w:rsidR="00133DF3" w:rsidRPr="004D6E50" w:rsidRDefault="00133DF3" w:rsidP="00D50F04">
            <w:pPr>
              <w:pStyle w:val="Tabletext"/>
              <w:spacing w:line="220" w:lineRule="exact"/>
              <w:jc w:val="center"/>
            </w:pPr>
            <w:r w:rsidRPr="004D6E50">
              <w:t>0.0</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D9D9D9"/>
            <w:vAlign w:val="center"/>
            <w:hideMark/>
          </w:tcPr>
          <w:p w14:paraId="2E261288" w14:textId="77777777" w:rsidR="00133DF3" w:rsidRPr="004D6E50" w:rsidRDefault="00133DF3" w:rsidP="00D50F04">
            <w:pPr>
              <w:pStyle w:val="Tabletext"/>
              <w:spacing w:line="220" w:lineRule="exact"/>
              <w:jc w:val="center"/>
            </w:pPr>
            <w:r w:rsidRPr="004D6E50">
              <w:t>0.0</w:t>
            </w:r>
          </w:p>
        </w:tc>
      </w:tr>
      <w:tr w:rsidR="00133DF3" w:rsidRPr="009B2283" w14:paraId="70632AAB"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F2F2F2"/>
            <w:vAlign w:val="center"/>
            <w:hideMark/>
          </w:tcPr>
          <w:p w14:paraId="29A2F8DD" w14:textId="77777777" w:rsidR="00133DF3" w:rsidRPr="004D6E50" w:rsidRDefault="00133DF3" w:rsidP="00D50F04">
            <w:pPr>
              <w:pStyle w:val="Tabletext"/>
              <w:spacing w:line="220" w:lineRule="exact"/>
              <w:ind w:left="321" w:hanging="284"/>
            </w:pPr>
            <w:r w:rsidRPr="004D6E50">
              <w:t>28. p.m. One-off expenditure included in the projections (levels, excluding EU funded measures)</w:t>
            </w:r>
          </w:p>
        </w:tc>
        <w:tc>
          <w:tcPr>
            <w:tcW w:w="186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6C31F8D2" w14:textId="77777777" w:rsidR="00133DF3" w:rsidRPr="004D6E50" w:rsidRDefault="00133DF3" w:rsidP="00D50F04">
            <w:pPr>
              <w:pStyle w:val="Tabletext"/>
              <w:spacing w:line="220" w:lineRule="exact"/>
            </w:pPr>
            <w:r w:rsidRPr="004D6E50">
              <w:t> </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F2F2F2"/>
            <w:vAlign w:val="center"/>
            <w:hideMark/>
          </w:tcPr>
          <w:p w14:paraId="54237584" w14:textId="77777777" w:rsidR="00133DF3" w:rsidRPr="004D6E50" w:rsidRDefault="00133DF3" w:rsidP="00D50F04">
            <w:pPr>
              <w:pStyle w:val="Tabletext"/>
              <w:spacing w:line="220" w:lineRule="exact"/>
              <w:jc w:val="center"/>
            </w:pPr>
            <w:r w:rsidRPr="004D6E50">
              <w:t>0.4</w:t>
            </w:r>
          </w:p>
        </w:tc>
        <w:tc>
          <w:tcPr>
            <w:tcW w:w="71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6F603213" w14:textId="77777777" w:rsidR="00133DF3" w:rsidRPr="004D6E50" w:rsidRDefault="00133DF3" w:rsidP="00D50F04">
            <w:pPr>
              <w:pStyle w:val="Tabletext"/>
              <w:spacing w:line="220" w:lineRule="exact"/>
              <w:jc w:val="center"/>
            </w:pPr>
            <w:r w:rsidRPr="004D6E50">
              <w:t>0.2</w:t>
            </w:r>
          </w:p>
        </w:tc>
        <w:tc>
          <w:tcPr>
            <w:tcW w:w="906"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586DFD09" w14:textId="77777777" w:rsidR="00133DF3" w:rsidRPr="004D6E50" w:rsidRDefault="00133DF3" w:rsidP="00D50F04">
            <w:pPr>
              <w:pStyle w:val="Tabletext"/>
              <w:spacing w:line="220" w:lineRule="exact"/>
              <w:jc w:val="center"/>
            </w:pPr>
            <w:r w:rsidRPr="004D6E50">
              <w:t>0.2</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F2F2F2"/>
            <w:vAlign w:val="center"/>
            <w:hideMark/>
          </w:tcPr>
          <w:p w14:paraId="0E911F1C" w14:textId="77777777" w:rsidR="00133DF3" w:rsidRPr="004D6E50" w:rsidRDefault="00133DF3" w:rsidP="00D50F04">
            <w:pPr>
              <w:pStyle w:val="Tabletext"/>
              <w:spacing w:line="220" w:lineRule="exact"/>
              <w:jc w:val="center"/>
            </w:pPr>
            <w:r w:rsidRPr="004D6E50">
              <w:t>0.0</w:t>
            </w:r>
          </w:p>
        </w:tc>
      </w:tr>
      <w:tr w:rsidR="00133DF3" w:rsidRPr="009B2283" w14:paraId="47AB3CDA"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D9D9D9"/>
            <w:vAlign w:val="center"/>
            <w:hideMark/>
          </w:tcPr>
          <w:p w14:paraId="2768D67D" w14:textId="77777777" w:rsidR="00133DF3" w:rsidRPr="004D6E50" w:rsidRDefault="00133DF3" w:rsidP="00D50F04">
            <w:pPr>
              <w:pStyle w:val="Tabletext"/>
              <w:spacing w:line="220" w:lineRule="exact"/>
              <w:ind w:left="321" w:hanging="284"/>
            </w:pPr>
            <w:r w:rsidRPr="004D6E50">
              <w:t>29. Net nationally financed primary expenditure (before revenue measures) (= 25-26-27-28-14)</w:t>
            </w:r>
          </w:p>
        </w:tc>
        <w:tc>
          <w:tcPr>
            <w:tcW w:w="186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7BF93054" w14:textId="77777777" w:rsidR="00133DF3" w:rsidRPr="004D6E50" w:rsidRDefault="00133DF3" w:rsidP="00D50F04">
            <w:pPr>
              <w:pStyle w:val="Tabletext"/>
              <w:spacing w:line="220" w:lineRule="exact"/>
            </w:pPr>
            <w:r w:rsidRPr="004D6E50">
              <w:t> </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D9D9D9"/>
            <w:vAlign w:val="center"/>
            <w:hideMark/>
          </w:tcPr>
          <w:p w14:paraId="21C00C31" w14:textId="77777777" w:rsidR="00133DF3" w:rsidRPr="004D6E50" w:rsidRDefault="00133DF3" w:rsidP="00D50F04">
            <w:pPr>
              <w:pStyle w:val="Tabletext"/>
              <w:spacing w:line="220" w:lineRule="exact"/>
              <w:jc w:val="center"/>
            </w:pPr>
            <w:r w:rsidRPr="004D6E50">
              <w:t>98.5</w:t>
            </w:r>
          </w:p>
        </w:tc>
        <w:tc>
          <w:tcPr>
            <w:tcW w:w="71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5FA06913" w14:textId="77777777" w:rsidR="00133DF3" w:rsidRPr="004D6E50" w:rsidRDefault="00133DF3" w:rsidP="00D50F04">
            <w:pPr>
              <w:pStyle w:val="Tabletext"/>
              <w:spacing w:line="220" w:lineRule="exact"/>
              <w:jc w:val="center"/>
            </w:pPr>
            <w:r w:rsidRPr="004D6E50">
              <w:t>41.5</w:t>
            </w:r>
          </w:p>
        </w:tc>
        <w:tc>
          <w:tcPr>
            <w:tcW w:w="906"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27EBDD5D" w14:textId="77777777" w:rsidR="00133DF3" w:rsidRPr="004D6E50" w:rsidRDefault="00133DF3" w:rsidP="00D50F04">
            <w:pPr>
              <w:pStyle w:val="Tabletext"/>
              <w:spacing w:line="220" w:lineRule="exact"/>
              <w:jc w:val="center"/>
            </w:pPr>
            <w:r w:rsidRPr="004D6E50">
              <w:t>41.3</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D9D9D9"/>
            <w:vAlign w:val="center"/>
            <w:hideMark/>
          </w:tcPr>
          <w:p w14:paraId="1E97FC00" w14:textId="77777777" w:rsidR="00133DF3" w:rsidRPr="004D6E50" w:rsidRDefault="00133DF3" w:rsidP="00D50F04">
            <w:pPr>
              <w:pStyle w:val="Tabletext"/>
              <w:spacing w:line="220" w:lineRule="exact"/>
              <w:jc w:val="center"/>
            </w:pPr>
            <w:r w:rsidRPr="004D6E50">
              <w:t>41.5</w:t>
            </w:r>
          </w:p>
        </w:tc>
      </w:tr>
      <w:tr w:rsidR="00133DF3" w:rsidRPr="00B50871" w14:paraId="1C3BD1E3" w14:textId="77777777" w:rsidTr="008167F5">
        <w:trPr>
          <w:trHeight w:val="284"/>
          <w:jc w:val="center"/>
        </w:trPr>
        <w:tc>
          <w:tcPr>
            <w:tcW w:w="6551"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shd w:val="clear" w:color="000000" w:fill="BFBFBF"/>
            <w:vAlign w:val="center"/>
            <w:hideMark/>
          </w:tcPr>
          <w:p w14:paraId="0F4A6186" w14:textId="77777777" w:rsidR="00133DF3" w:rsidRPr="004D6E50" w:rsidRDefault="00133DF3" w:rsidP="00D50F04">
            <w:pPr>
              <w:pStyle w:val="Tabletext"/>
              <w:spacing w:line="220" w:lineRule="exact"/>
              <w:ind w:left="321" w:hanging="284"/>
              <w:rPr>
                <w:b/>
                <w:sz w:val="24"/>
              </w:rPr>
            </w:pPr>
            <w:r w:rsidRPr="004D6E50">
              <w:rPr>
                <w:b/>
                <w:sz w:val="24"/>
              </w:rPr>
              <w:t>Net nationally financed primary expenditure</w:t>
            </w:r>
          </w:p>
        </w:tc>
        <w:tc>
          <w:tcPr>
            <w:tcW w:w="2351" w:type="dxa"/>
            <w:gridSpan w:val="3"/>
            <w:tcBorders>
              <w:top w:val="single" w:sz="2" w:space="0" w:color="FFFFFF" w:themeColor="background1"/>
              <w:left w:val="nil"/>
              <w:bottom w:val="single" w:sz="2" w:space="0" w:color="FFFFFF" w:themeColor="background1"/>
              <w:right w:val="single" w:sz="2" w:space="0" w:color="FFFFFF" w:themeColor="background1"/>
            </w:tcBorders>
            <w:shd w:val="clear" w:color="000000" w:fill="BFBFBF"/>
            <w:vAlign w:val="center"/>
            <w:hideMark/>
          </w:tcPr>
          <w:p w14:paraId="338BFB7E" w14:textId="77777777" w:rsidR="00133DF3" w:rsidRPr="004D6E50" w:rsidRDefault="00133DF3" w:rsidP="00D50F04">
            <w:pPr>
              <w:pStyle w:val="Tabletext"/>
              <w:spacing w:line="220" w:lineRule="exact"/>
              <w:jc w:val="center"/>
              <w:rPr>
                <w:sz w:val="24"/>
              </w:rPr>
            </w:pPr>
            <w:r w:rsidRPr="004D6E50">
              <w:rPr>
                <w:sz w:val="24"/>
              </w:rPr>
              <w:t>growth rate</w:t>
            </w:r>
          </w:p>
        </w:tc>
      </w:tr>
      <w:tr w:rsidR="00133DF3" w:rsidRPr="009B2283" w14:paraId="598BF6A9"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F2F2F2"/>
            <w:vAlign w:val="center"/>
            <w:hideMark/>
          </w:tcPr>
          <w:p w14:paraId="3DEFC563" w14:textId="77777777" w:rsidR="00133DF3" w:rsidRPr="004D6E50" w:rsidRDefault="00133DF3" w:rsidP="00D50F04">
            <w:pPr>
              <w:pStyle w:val="Tabletext"/>
              <w:spacing w:line="220" w:lineRule="exact"/>
              <w:ind w:left="321" w:hanging="284"/>
            </w:pPr>
            <w:r w:rsidRPr="004D6E50">
              <w:t>30. Net nationally financed primary expenditure growth (g</w:t>
            </w:r>
            <w:r>
              <w:t>r</w:t>
            </w:r>
            <w:r w:rsidRPr="004D6E50">
              <w:t>owth rate)</w:t>
            </w:r>
          </w:p>
        </w:tc>
        <w:tc>
          <w:tcPr>
            <w:tcW w:w="186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32742B3A" w14:textId="77777777" w:rsidR="00133DF3" w:rsidRPr="004D6E50" w:rsidRDefault="00133DF3" w:rsidP="00D50F04">
            <w:pPr>
              <w:pStyle w:val="Tabletext"/>
              <w:spacing w:line="220" w:lineRule="exact"/>
            </w:pPr>
            <w:r w:rsidRPr="004D6E50">
              <w:t> </w:t>
            </w:r>
          </w:p>
        </w:tc>
        <w:tc>
          <w:tcPr>
            <w:tcW w:w="982" w:type="dxa"/>
            <w:tcBorders>
              <w:top w:val="single" w:sz="2" w:space="0" w:color="FFFFFF" w:themeColor="background1"/>
              <w:left w:val="single" w:sz="4" w:space="0" w:color="FFFFFF"/>
              <w:bottom w:val="single" w:sz="2" w:space="0" w:color="FFFFFF" w:themeColor="background1"/>
              <w:right w:val="nil"/>
            </w:tcBorders>
            <w:shd w:val="clear" w:color="000000" w:fill="A6A6A6"/>
            <w:vAlign w:val="center"/>
            <w:hideMark/>
          </w:tcPr>
          <w:p w14:paraId="2DAB15C1" w14:textId="77777777" w:rsidR="00133DF3" w:rsidRPr="004D6E50" w:rsidRDefault="00133DF3" w:rsidP="00D50F04">
            <w:pPr>
              <w:pStyle w:val="Tabletext"/>
              <w:spacing w:line="220" w:lineRule="exact"/>
              <w:jc w:val="center"/>
            </w:pPr>
          </w:p>
        </w:tc>
        <w:tc>
          <w:tcPr>
            <w:tcW w:w="718" w:type="dxa"/>
            <w:tcBorders>
              <w:top w:val="single" w:sz="2" w:space="0" w:color="FFFFFF" w:themeColor="background1"/>
              <w:left w:val="single" w:sz="4" w:space="0" w:color="FFFFFF"/>
              <w:bottom w:val="single" w:sz="2" w:space="0" w:color="FFFFFF" w:themeColor="background1"/>
              <w:right w:val="nil"/>
            </w:tcBorders>
            <w:shd w:val="clear" w:color="auto" w:fill="F2F2F2" w:themeFill="background1" w:themeFillShade="F2"/>
            <w:vAlign w:val="center"/>
          </w:tcPr>
          <w:p w14:paraId="176E641C" w14:textId="77777777" w:rsidR="00133DF3" w:rsidRPr="004D6E50" w:rsidRDefault="00133DF3" w:rsidP="00D50F04">
            <w:pPr>
              <w:pStyle w:val="Tabletext"/>
              <w:spacing w:line="220" w:lineRule="exact"/>
              <w:jc w:val="center"/>
            </w:pPr>
            <w:r>
              <w:t>-0.4</w:t>
            </w:r>
          </w:p>
        </w:tc>
        <w:tc>
          <w:tcPr>
            <w:tcW w:w="906"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0103353B" w14:textId="77777777" w:rsidR="00133DF3" w:rsidRPr="004D6E50" w:rsidRDefault="00133DF3" w:rsidP="00D50F04">
            <w:pPr>
              <w:pStyle w:val="Tabletext"/>
              <w:spacing w:line="220" w:lineRule="exact"/>
              <w:jc w:val="center"/>
            </w:pPr>
            <w:r w:rsidRPr="004D6E50">
              <w:t>4.4</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F2F2F2"/>
            <w:vAlign w:val="center"/>
            <w:hideMark/>
          </w:tcPr>
          <w:p w14:paraId="731DCE9B" w14:textId="77777777" w:rsidR="00133DF3" w:rsidRPr="004D6E50" w:rsidRDefault="00133DF3" w:rsidP="00D50F04">
            <w:pPr>
              <w:pStyle w:val="Tabletext"/>
              <w:spacing w:line="220" w:lineRule="exact"/>
              <w:jc w:val="center"/>
            </w:pPr>
            <w:r w:rsidRPr="004D6E50">
              <w:t>5.8</w:t>
            </w:r>
          </w:p>
        </w:tc>
      </w:tr>
      <w:tr w:rsidR="00133DF3" w:rsidRPr="009B2283" w14:paraId="0722D664" w14:textId="77777777" w:rsidTr="008167F5">
        <w:trPr>
          <w:trHeight w:val="284"/>
          <w:jc w:val="center"/>
        </w:trPr>
        <w:tc>
          <w:tcPr>
            <w:tcW w:w="3701" w:type="dxa"/>
            <w:shd w:val="clear" w:color="000000" w:fill="BFBFBF"/>
            <w:vAlign w:val="center"/>
            <w:hideMark/>
          </w:tcPr>
          <w:p w14:paraId="69829B6A" w14:textId="77777777" w:rsidR="00133DF3" w:rsidRPr="004D6E50" w:rsidRDefault="00133DF3" w:rsidP="00D50F04">
            <w:pPr>
              <w:pStyle w:val="Tabletext"/>
              <w:spacing w:line="220" w:lineRule="exact"/>
              <w:ind w:left="321" w:hanging="284"/>
              <w:rPr>
                <w:b/>
              </w:rPr>
            </w:pPr>
            <w:r w:rsidRPr="004D6E50">
              <w:rPr>
                <w:b/>
                <w:sz w:val="24"/>
              </w:rPr>
              <w:t>Balances</w:t>
            </w:r>
          </w:p>
        </w:tc>
        <w:tc>
          <w:tcPr>
            <w:tcW w:w="1868" w:type="dxa"/>
            <w:shd w:val="clear" w:color="000000" w:fill="BFBFBF"/>
            <w:vAlign w:val="center"/>
            <w:hideMark/>
          </w:tcPr>
          <w:p w14:paraId="52913289" w14:textId="77777777" w:rsidR="00133DF3" w:rsidRPr="004D6E50" w:rsidRDefault="00133DF3" w:rsidP="00D50F04">
            <w:pPr>
              <w:pStyle w:val="Tabletext"/>
              <w:spacing w:line="220" w:lineRule="exact"/>
            </w:pPr>
            <w:r w:rsidRPr="004D6E50">
              <w:t> </w:t>
            </w:r>
          </w:p>
        </w:tc>
        <w:tc>
          <w:tcPr>
            <w:tcW w:w="982" w:type="dxa"/>
            <w:shd w:val="clear" w:color="000000" w:fill="BFBFBF"/>
            <w:vAlign w:val="center"/>
            <w:hideMark/>
          </w:tcPr>
          <w:p w14:paraId="274C835E" w14:textId="77777777" w:rsidR="00133DF3" w:rsidRPr="004D6E50" w:rsidRDefault="00133DF3" w:rsidP="00D50F04">
            <w:pPr>
              <w:pStyle w:val="Tabletext"/>
              <w:spacing w:line="220" w:lineRule="exact"/>
              <w:jc w:val="center"/>
            </w:pPr>
            <w:r>
              <w:t>bn EUR</w:t>
            </w:r>
          </w:p>
        </w:tc>
        <w:tc>
          <w:tcPr>
            <w:tcW w:w="2351" w:type="dxa"/>
            <w:gridSpan w:val="3"/>
            <w:tcBorders>
              <w:top w:val="single" w:sz="2" w:space="0" w:color="FFFFFF" w:themeColor="background1"/>
              <w:left w:val="nil"/>
              <w:bottom w:val="single" w:sz="2" w:space="0" w:color="FFFFFF" w:themeColor="background1"/>
              <w:right w:val="single" w:sz="2" w:space="0" w:color="FFFFFF" w:themeColor="background1"/>
            </w:tcBorders>
            <w:shd w:val="clear" w:color="000000" w:fill="BFBFBF"/>
            <w:vAlign w:val="center"/>
            <w:hideMark/>
          </w:tcPr>
          <w:p w14:paraId="3D587F92" w14:textId="77777777" w:rsidR="00133DF3" w:rsidRPr="004D6E50" w:rsidRDefault="00133DF3" w:rsidP="00D50F04">
            <w:pPr>
              <w:pStyle w:val="Tabletext"/>
              <w:spacing w:line="220" w:lineRule="exact"/>
              <w:jc w:val="center"/>
            </w:pPr>
            <w:r w:rsidRPr="004D6E50">
              <w:t>% of GDP</w:t>
            </w:r>
          </w:p>
        </w:tc>
      </w:tr>
      <w:tr w:rsidR="00133DF3" w:rsidRPr="009B2283" w14:paraId="59A5438D" w14:textId="77777777" w:rsidTr="008167F5">
        <w:trPr>
          <w:trHeight w:val="284"/>
          <w:jc w:val="center"/>
        </w:trPr>
        <w:tc>
          <w:tcPr>
            <w:tcW w:w="3701" w:type="dxa"/>
            <w:tcBorders>
              <w:left w:val="single" w:sz="2" w:space="0" w:color="FFFFFF" w:themeColor="background1"/>
              <w:right w:val="nil"/>
            </w:tcBorders>
            <w:shd w:val="clear" w:color="000000" w:fill="F2F2F2"/>
            <w:vAlign w:val="center"/>
            <w:hideMark/>
          </w:tcPr>
          <w:p w14:paraId="5E875F57" w14:textId="77777777" w:rsidR="00133DF3" w:rsidRPr="004D6E50" w:rsidRDefault="00133DF3" w:rsidP="00D50F04">
            <w:pPr>
              <w:pStyle w:val="Tabletext"/>
              <w:spacing w:line="220" w:lineRule="exact"/>
              <w:ind w:left="321" w:hanging="284"/>
            </w:pPr>
            <w:r w:rsidRPr="004D6E50">
              <w:t>31. Net lending/borrowing (= 7-23)</w:t>
            </w:r>
          </w:p>
        </w:tc>
        <w:tc>
          <w:tcPr>
            <w:tcW w:w="1868" w:type="dxa"/>
            <w:tcBorders>
              <w:left w:val="nil"/>
              <w:right w:val="nil"/>
            </w:tcBorders>
            <w:shd w:val="clear" w:color="000000" w:fill="F2F2F2"/>
            <w:vAlign w:val="center"/>
            <w:hideMark/>
          </w:tcPr>
          <w:p w14:paraId="0A618279" w14:textId="77777777" w:rsidR="00133DF3" w:rsidRPr="004D6E50" w:rsidRDefault="00133DF3" w:rsidP="00D50F04">
            <w:pPr>
              <w:pStyle w:val="Tabletext"/>
              <w:spacing w:line="220" w:lineRule="exact"/>
            </w:pPr>
            <w:r w:rsidRPr="004D6E50">
              <w:t>B.9</w:t>
            </w:r>
          </w:p>
        </w:tc>
        <w:tc>
          <w:tcPr>
            <w:tcW w:w="982" w:type="dxa"/>
            <w:tcBorders>
              <w:left w:val="single" w:sz="4" w:space="0" w:color="FFFFFF"/>
              <w:right w:val="single" w:sz="4" w:space="0" w:color="FFFFFF"/>
            </w:tcBorders>
            <w:shd w:val="clear" w:color="000000" w:fill="F2F2F2"/>
            <w:vAlign w:val="center"/>
            <w:hideMark/>
          </w:tcPr>
          <w:p w14:paraId="59D704B7" w14:textId="77777777" w:rsidR="00133DF3" w:rsidRPr="004D6E50" w:rsidRDefault="00133DF3" w:rsidP="00D50F04">
            <w:pPr>
              <w:pStyle w:val="Tabletext"/>
              <w:spacing w:line="220" w:lineRule="exact"/>
              <w:jc w:val="center"/>
            </w:pPr>
            <w:r w:rsidRPr="004D6E50">
              <w:t>3.2</w:t>
            </w:r>
          </w:p>
        </w:tc>
        <w:tc>
          <w:tcPr>
            <w:tcW w:w="718" w:type="dxa"/>
            <w:tcBorders>
              <w:top w:val="single" w:sz="2" w:space="0" w:color="FFFFFF" w:themeColor="background1"/>
              <w:left w:val="nil"/>
              <w:right w:val="nil"/>
            </w:tcBorders>
            <w:shd w:val="clear" w:color="000000" w:fill="F2F2F2"/>
            <w:vAlign w:val="center"/>
            <w:hideMark/>
          </w:tcPr>
          <w:p w14:paraId="28DCD97E" w14:textId="77777777" w:rsidR="00133DF3" w:rsidRPr="004D6E50" w:rsidRDefault="00133DF3" w:rsidP="00D50F04">
            <w:pPr>
              <w:pStyle w:val="Tabletext"/>
              <w:spacing w:line="220" w:lineRule="exact"/>
              <w:jc w:val="center"/>
            </w:pPr>
            <w:r w:rsidRPr="004D6E50">
              <w:t>1.3</w:t>
            </w:r>
          </w:p>
        </w:tc>
        <w:tc>
          <w:tcPr>
            <w:tcW w:w="906" w:type="dxa"/>
            <w:tcBorders>
              <w:top w:val="single" w:sz="2" w:space="0" w:color="FFFFFF" w:themeColor="background1"/>
              <w:left w:val="nil"/>
              <w:right w:val="nil"/>
            </w:tcBorders>
            <w:shd w:val="clear" w:color="000000" w:fill="F2F2F2"/>
            <w:vAlign w:val="center"/>
            <w:hideMark/>
          </w:tcPr>
          <w:p w14:paraId="3B9077A9" w14:textId="77777777" w:rsidR="00133DF3" w:rsidRPr="004D6E50" w:rsidRDefault="00133DF3" w:rsidP="00D50F04">
            <w:pPr>
              <w:pStyle w:val="Tabletext"/>
              <w:spacing w:line="220" w:lineRule="exact"/>
              <w:jc w:val="center"/>
            </w:pPr>
            <w:r w:rsidRPr="004D6E50">
              <w:t>0.6</w:t>
            </w:r>
          </w:p>
        </w:tc>
        <w:tc>
          <w:tcPr>
            <w:tcW w:w="727" w:type="dxa"/>
            <w:tcBorders>
              <w:top w:val="single" w:sz="2" w:space="0" w:color="FFFFFF" w:themeColor="background1"/>
              <w:left w:val="nil"/>
              <w:right w:val="single" w:sz="2" w:space="0" w:color="FFFFFF" w:themeColor="background1"/>
            </w:tcBorders>
            <w:shd w:val="clear" w:color="000000" w:fill="F2F2F2"/>
            <w:vAlign w:val="center"/>
            <w:hideMark/>
          </w:tcPr>
          <w:p w14:paraId="304B73C6" w14:textId="77777777" w:rsidR="00133DF3" w:rsidRPr="004D6E50" w:rsidRDefault="00133DF3" w:rsidP="00D50F04">
            <w:pPr>
              <w:pStyle w:val="Tabletext"/>
              <w:spacing w:line="220" w:lineRule="exact"/>
              <w:jc w:val="center"/>
            </w:pPr>
            <w:r w:rsidRPr="004D6E50">
              <w:t>-0.1</w:t>
            </w:r>
          </w:p>
        </w:tc>
      </w:tr>
      <w:tr w:rsidR="00133DF3" w:rsidRPr="00C14AE5" w14:paraId="1603C425" w14:textId="77777777" w:rsidTr="008167F5">
        <w:trPr>
          <w:trHeight w:val="284"/>
          <w:jc w:val="center"/>
        </w:trPr>
        <w:tc>
          <w:tcPr>
            <w:tcW w:w="5569" w:type="dxa"/>
            <w:gridSpan w:val="2"/>
            <w:shd w:val="clear" w:color="000000" w:fill="BFBFBF"/>
            <w:vAlign w:val="center"/>
            <w:hideMark/>
          </w:tcPr>
          <w:p w14:paraId="341D6325" w14:textId="77777777" w:rsidR="00133DF3" w:rsidRPr="004D6E50" w:rsidRDefault="00133DF3" w:rsidP="00D50F04">
            <w:pPr>
              <w:pStyle w:val="Tabletext"/>
              <w:spacing w:line="220" w:lineRule="exact"/>
              <w:ind w:left="321" w:hanging="284"/>
              <w:rPr>
                <w:b/>
                <w:sz w:val="24"/>
              </w:rPr>
            </w:pPr>
            <w:r w:rsidRPr="004D6E50">
              <w:rPr>
                <w:b/>
                <w:sz w:val="24"/>
              </w:rPr>
              <w:t>Net lending/borrowing by subsector</w:t>
            </w:r>
          </w:p>
        </w:tc>
        <w:tc>
          <w:tcPr>
            <w:tcW w:w="982" w:type="dxa"/>
            <w:shd w:val="clear" w:color="000000" w:fill="BFBFBF"/>
            <w:vAlign w:val="center"/>
            <w:hideMark/>
          </w:tcPr>
          <w:p w14:paraId="667163FF" w14:textId="77777777" w:rsidR="00133DF3" w:rsidRPr="004D6E50" w:rsidRDefault="00133DF3" w:rsidP="00D50F04">
            <w:pPr>
              <w:pStyle w:val="Tabletext"/>
              <w:spacing w:line="220" w:lineRule="exact"/>
              <w:jc w:val="center"/>
              <w:rPr>
                <w:b/>
                <w:sz w:val="24"/>
              </w:rPr>
            </w:pPr>
          </w:p>
        </w:tc>
        <w:tc>
          <w:tcPr>
            <w:tcW w:w="2351" w:type="dxa"/>
            <w:gridSpan w:val="3"/>
            <w:shd w:val="clear" w:color="000000" w:fill="BFBFBF"/>
            <w:vAlign w:val="center"/>
            <w:hideMark/>
          </w:tcPr>
          <w:p w14:paraId="27161A82" w14:textId="77777777" w:rsidR="00133DF3" w:rsidRPr="004D6E50" w:rsidRDefault="00133DF3" w:rsidP="00D50F04">
            <w:pPr>
              <w:pStyle w:val="Tabletext"/>
              <w:spacing w:line="220" w:lineRule="exact"/>
              <w:jc w:val="center"/>
              <w:rPr>
                <w:b/>
                <w:sz w:val="24"/>
              </w:rPr>
            </w:pPr>
          </w:p>
        </w:tc>
      </w:tr>
      <w:tr w:rsidR="00133DF3" w:rsidRPr="009B2283" w14:paraId="2816B901" w14:textId="77777777" w:rsidTr="008167F5">
        <w:trPr>
          <w:trHeight w:val="284"/>
          <w:jc w:val="center"/>
        </w:trPr>
        <w:tc>
          <w:tcPr>
            <w:tcW w:w="3701" w:type="dxa"/>
            <w:tcBorders>
              <w:left w:val="single" w:sz="2" w:space="0" w:color="FFFFFF" w:themeColor="background1"/>
              <w:bottom w:val="single" w:sz="2" w:space="0" w:color="FFFFFF" w:themeColor="background1"/>
              <w:right w:val="nil"/>
            </w:tcBorders>
            <w:shd w:val="clear" w:color="000000" w:fill="F2F2F2"/>
            <w:vAlign w:val="center"/>
            <w:hideMark/>
          </w:tcPr>
          <w:p w14:paraId="29888DE5" w14:textId="77777777" w:rsidR="00133DF3" w:rsidRPr="004D6E50" w:rsidRDefault="00133DF3" w:rsidP="00D50F04">
            <w:pPr>
              <w:pStyle w:val="Tabletext"/>
              <w:spacing w:line="220" w:lineRule="exact"/>
              <w:ind w:left="321" w:hanging="284"/>
            </w:pPr>
            <w:r w:rsidRPr="004D6E50">
              <w:t>31a. Central government</w:t>
            </w:r>
          </w:p>
        </w:tc>
        <w:tc>
          <w:tcPr>
            <w:tcW w:w="1868" w:type="dxa"/>
            <w:tcBorders>
              <w:left w:val="nil"/>
              <w:bottom w:val="single" w:sz="2" w:space="0" w:color="FFFFFF" w:themeColor="background1"/>
              <w:right w:val="nil"/>
            </w:tcBorders>
            <w:shd w:val="clear" w:color="000000" w:fill="F2F2F2"/>
            <w:vAlign w:val="center"/>
            <w:hideMark/>
          </w:tcPr>
          <w:p w14:paraId="76B8447C" w14:textId="77777777" w:rsidR="00133DF3" w:rsidRPr="004D6E50" w:rsidRDefault="00133DF3" w:rsidP="00D50F04">
            <w:pPr>
              <w:pStyle w:val="Tabletext"/>
              <w:spacing w:line="220" w:lineRule="exact"/>
            </w:pPr>
            <w:r w:rsidRPr="004D6E50">
              <w:t>B.9 (S.1311)</w:t>
            </w:r>
          </w:p>
        </w:tc>
        <w:tc>
          <w:tcPr>
            <w:tcW w:w="982" w:type="dxa"/>
            <w:tcBorders>
              <w:left w:val="single" w:sz="4" w:space="0" w:color="FFFFFF"/>
              <w:bottom w:val="single" w:sz="2" w:space="0" w:color="FFFFFF" w:themeColor="background1"/>
              <w:right w:val="single" w:sz="4" w:space="0" w:color="FFFFFF"/>
            </w:tcBorders>
            <w:shd w:val="clear" w:color="000000" w:fill="F2F2F2"/>
            <w:vAlign w:val="center"/>
            <w:hideMark/>
          </w:tcPr>
          <w:p w14:paraId="16282F07" w14:textId="77777777" w:rsidR="00133DF3" w:rsidRPr="004D6E50" w:rsidRDefault="00133DF3" w:rsidP="00D50F04">
            <w:pPr>
              <w:pStyle w:val="Tabletext"/>
              <w:spacing w:line="220" w:lineRule="exact"/>
              <w:jc w:val="center"/>
            </w:pPr>
            <w:r w:rsidRPr="004D6E50">
              <w:t>2.1</w:t>
            </w:r>
          </w:p>
        </w:tc>
        <w:tc>
          <w:tcPr>
            <w:tcW w:w="718" w:type="dxa"/>
            <w:tcBorders>
              <w:left w:val="nil"/>
              <w:bottom w:val="single" w:sz="2" w:space="0" w:color="FFFFFF" w:themeColor="background1"/>
              <w:right w:val="nil"/>
            </w:tcBorders>
            <w:shd w:val="clear" w:color="000000" w:fill="F2F2F2"/>
            <w:vAlign w:val="center"/>
            <w:hideMark/>
          </w:tcPr>
          <w:p w14:paraId="1EA0DB43" w14:textId="77777777" w:rsidR="00133DF3" w:rsidRPr="004D6E50" w:rsidRDefault="00133DF3" w:rsidP="00D50F04">
            <w:pPr>
              <w:pStyle w:val="Tabletext"/>
              <w:spacing w:line="220" w:lineRule="exact"/>
              <w:jc w:val="center"/>
            </w:pPr>
            <w:r w:rsidRPr="004D6E50">
              <w:t>0.9</w:t>
            </w:r>
          </w:p>
        </w:tc>
        <w:tc>
          <w:tcPr>
            <w:tcW w:w="906" w:type="dxa"/>
            <w:tcBorders>
              <w:left w:val="nil"/>
              <w:bottom w:val="single" w:sz="2" w:space="0" w:color="FFFFFF" w:themeColor="background1"/>
              <w:right w:val="nil"/>
            </w:tcBorders>
            <w:shd w:val="clear" w:color="000000" w:fill="F2F2F2"/>
            <w:vAlign w:val="center"/>
            <w:hideMark/>
          </w:tcPr>
          <w:p w14:paraId="1C086A44" w14:textId="77777777" w:rsidR="00133DF3" w:rsidRPr="004D6E50" w:rsidRDefault="00133DF3" w:rsidP="00D50F04">
            <w:pPr>
              <w:pStyle w:val="Tabletext"/>
              <w:spacing w:line="220" w:lineRule="exact"/>
              <w:jc w:val="center"/>
            </w:pPr>
            <w:r w:rsidRPr="004D6E50">
              <w:t>-0.3</w:t>
            </w:r>
          </w:p>
        </w:tc>
        <w:tc>
          <w:tcPr>
            <w:tcW w:w="727" w:type="dxa"/>
            <w:tcBorders>
              <w:left w:val="nil"/>
              <w:bottom w:val="single" w:sz="2" w:space="0" w:color="FFFFFF" w:themeColor="background1"/>
              <w:right w:val="single" w:sz="2" w:space="0" w:color="FFFFFF" w:themeColor="background1"/>
            </w:tcBorders>
            <w:shd w:val="clear" w:color="000000" w:fill="F2F2F2"/>
            <w:vAlign w:val="center"/>
            <w:hideMark/>
          </w:tcPr>
          <w:p w14:paraId="09E16CC7" w14:textId="77777777" w:rsidR="00133DF3" w:rsidRPr="004D6E50" w:rsidRDefault="00133DF3" w:rsidP="00D50F04">
            <w:pPr>
              <w:pStyle w:val="Tabletext"/>
              <w:spacing w:line="220" w:lineRule="exact"/>
              <w:jc w:val="center"/>
            </w:pPr>
            <w:r w:rsidRPr="004D6E50">
              <w:t>-1.0</w:t>
            </w:r>
          </w:p>
        </w:tc>
      </w:tr>
      <w:tr w:rsidR="00133DF3" w:rsidRPr="009B2283" w14:paraId="4AEFD590"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D9D9D9"/>
            <w:vAlign w:val="center"/>
            <w:hideMark/>
          </w:tcPr>
          <w:p w14:paraId="0AC4235F" w14:textId="77777777" w:rsidR="00133DF3" w:rsidRPr="004D6E50" w:rsidRDefault="00133DF3" w:rsidP="00D50F04">
            <w:pPr>
              <w:pStyle w:val="Tabletext"/>
              <w:spacing w:line="220" w:lineRule="exact"/>
              <w:ind w:left="321" w:hanging="284"/>
            </w:pPr>
            <w:r w:rsidRPr="004D6E50">
              <w:t>31b. State government</w:t>
            </w:r>
          </w:p>
        </w:tc>
        <w:tc>
          <w:tcPr>
            <w:tcW w:w="186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218DBC58" w14:textId="77777777" w:rsidR="00133DF3" w:rsidRPr="004D6E50" w:rsidRDefault="00133DF3" w:rsidP="00D50F04">
            <w:pPr>
              <w:pStyle w:val="Tabletext"/>
              <w:spacing w:line="220" w:lineRule="exact"/>
            </w:pPr>
            <w:r w:rsidRPr="004D6E50">
              <w:t>B.9 (S.1312)</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D9D9D9"/>
            <w:vAlign w:val="center"/>
            <w:hideMark/>
          </w:tcPr>
          <w:p w14:paraId="557F44B9" w14:textId="77777777" w:rsidR="00133DF3" w:rsidRPr="004D6E50" w:rsidRDefault="00133DF3" w:rsidP="00D50F04">
            <w:pPr>
              <w:pStyle w:val="Tabletext"/>
              <w:spacing w:line="220" w:lineRule="exact"/>
              <w:jc w:val="center"/>
            </w:pPr>
            <w:r w:rsidRPr="004D6E50">
              <w:t>-</w:t>
            </w:r>
          </w:p>
        </w:tc>
        <w:tc>
          <w:tcPr>
            <w:tcW w:w="71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0E7C555C" w14:textId="77777777" w:rsidR="00133DF3" w:rsidRPr="004D6E50" w:rsidRDefault="00133DF3" w:rsidP="00D50F04">
            <w:pPr>
              <w:pStyle w:val="Tabletext"/>
              <w:spacing w:line="220" w:lineRule="exact"/>
              <w:jc w:val="center"/>
            </w:pPr>
            <w:r w:rsidRPr="004D6E50">
              <w:t>-</w:t>
            </w:r>
          </w:p>
        </w:tc>
        <w:tc>
          <w:tcPr>
            <w:tcW w:w="906"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52E37054" w14:textId="77777777" w:rsidR="00133DF3" w:rsidRPr="004D6E50" w:rsidRDefault="00133DF3" w:rsidP="00D50F04">
            <w:pPr>
              <w:pStyle w:val="Tabletext"/>
              <w:spacing w:line="220" w:lineRule="exact"/>
              <w:jc w:val="center"/>
            </w:pPr>
            <w:r w:rsidRPr="004D6E50">
              <w:t>-</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D9D9D9"/>
            <w:vAlign w:val="center"/>
            <w:hideMark/>
          </w:tcPr>
          <w:p w14:paraId="7A593269" w14:textId="77777777" w:rsidR="00133DF3" w:rsidRPr="004D6E50" w:rsidRDefault="00133DF3" w:rsidP="00D50F04">
            <w:pPr>
              <w:pStyle w:val="Tabletext"/>
              <w:spacing w:line="220" w:lineRule="exact"/>
              <w:jc w:val="center"/>
            </w:pPr>
            <w:r w:rsidRPr="004D6E50">
              <w:t>-</w:t>
            </w:r>
          </w:p>
        </w:tc>
      </w:tr>
      <w:tr w:rsidR="00133DF3" w:rsidRPr="009B2283" w14:paraId="4FD2A9D3"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F2F2F2"/>
            <w:vAlign w:val="center"/>
            <w:hideMark/>
          </w:tcPr>
          <w:p w14:paraId="6DE0D30C" w14:textId="77777777" w:rsidR="00133DF3" w:rsidRPr="004D6E50" w:rsidRDefault="00133DF3" w:rsidP="00D50F04">
            <w:pPr>
              <w:pStyle w:val="Tabletext"/>
              <w:spacing w:line="220" w:lineRule="exact"/>
              <w:ind w:left="321" w:hanging="284"/>
            </w:pPr>
            <w:r w:rsidRPr="004D6E50">
              <w:t>31c.  Local government</w:t>
            </w:r>
          </w:p>
        </w:tc>
        <w:tc>
          <w:tcPr>
            <w:tcW w:w="186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650D561D" w14:textId="77777777" w:rsidR="00133DF3" w:rsidRPr="004D6E50" w:rsidRDefault="00133DF3" w:rsidP="00D50F04">
            <w:pPr>
              <w:pStyle w:val="Tabletext"/>
              <w:spacing w:line="220" w:lineRule="exact"/>
            </w:pPr>
            <w:r w:rsidRPr="004D6E50">
              <w:t>B.9 (S.1313)</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F2F2F2"/>
            <w:vAlign w:val="center"/>
            <w:hideMark/>
          </w:tcPr>
          <w:p w14:paraId="4BAD7FF5" w14:textId="77777777" w:rsidR="00133DF3" w:rsidRPr="004D6E50" w:rsidRDefault="00133DF3" w:rsidP="00D50F04">
            <w:pPr>
              <w:pStyle w:val="Tabletext"/>
              <w:spacing w:line="220" w:lineRule="exact"/>
              <w:jc w:val="center"/>
            </w:pPr>
            <w:r w:rsidRPr="004D6E50">
              <w:t>0.0</w:t>
            </w:r>
          </w:p>
        </w:tc>
        <w:tc>
          <w:tcPr>
            <w:tcW w:w="71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5A12C9A5" w14:textId="77777777" w:rsidR="00133DF3" w:rsidRPr="004D6E50" w:rsidRDefault="00133DF3" w:rsidP="00D50F04">
            <w:pPr>
              <w:pStyle w:val="Tabletext"/>
              <w:spacing w:line="220" w:lineRule="exact"/>
              <w:jc w:val="center"/>
            </w:pPr>
            <w:r w:rsidRPr="004D6E50">
              <w:t>0.0</w:t>
            </w:r>
          </w:p>
        </w:tc>
        <w:tc>
          <w:tcPr>
            <w:tcW w:w="906"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1DCEB182" w14:textId="77777777" w:rsidR="00133DF3" w:rsidRPr="004D6E50" w:rsidRDefault="00133DF3" w:rsidP="00D50F04">
            <w:pPr>
              <w:pStyle w:val="Tabletext"/>
              <w:spacing w:line="220" w:lineRule="exact"/>
              <w:jc w:val="center"/>
            </w:pPr>
            <w:r w:rsidRPr="004D6E50">
              <w:t>0.0</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F2F2F2"/>
            <w:vAlign w:val="center"/>
            <w:hideMark/>
          </w:tcPr>
          <w:p w14:paraId="1D7C97A7" w14:textId="77777777" w:rsidR="00133DF3" w:rsidRPr="004D6E50" w:rsidRDefault="00133DF3" w:rsidP="00D50F04">
            <w:pPr>
              <w:pStyle w:val="Tabletext"/>
              <w:spacing w:line="220" w:lineRule="exact"/>
              <w:jc w:val="center"/>
            </w:pPr>
            <w:r w:rsidRPr="004D6E50">
              <w:t>0.0</w:t>
            </w:r>
          </w:p>
        </w:tc>
      </w:tr>
      <w:tr w:rsidR="00133DF3" w:rsidRPr="009B2283" w14:paraId="4EA34338"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D9D9D9"/>
            <w:vAlign w:val="center"/>
            <w:hideMark/>
          </w:tcPr>
          <w:p w14:paraId="5FC9DA6B" w14:textId="77777777" w:rsidR="00133DF3" w:rsidRPr="004D6E50" w:rsidRDefault="00133DF3" w:rsidP="00D50F04">
            <w:pPr>
              <w:pStyle w:val="Tabletext"/>
              <w:spacing w:line="220" w:lineRule="exact"/>
              <w:ind w:left="321" w:hanging="284"/>
            </w:pPr>
            <w:r w:rsidRPr="004D6E50">
              <w:t>31d. Social security fund</w:t>
            </w:r>
          </w:p>
        </w:tc>
        <w:tc>
          <w:tcPr>
            <w:tcW w:w="186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5DCD21BF" w14:textId="77777777" w:rsidR="00133DF3" w:rsidRPr="004D6E50" w:rsidRDefault="00133DF3" w:rsidP="00D50F04">
            <w:pPr>
              <w:pStyle w:val="Tabletext"/>
              <w:spacing w:line="220" w:lineRule="exact"/>
            </w:pPr>
            <w:r w:rsidRPr="004D6E50">
              <w:t>B.9 (S.1314)</w:t>
            </w:r>
          </w:p>
        </w:tc>
        <w:tc>
          <w:tcPr>
            <w:tcW w:w="982" w:type="dxa"/>
            <w:tcBorders>
              <w:top w:val="single" w:sz="2" w:space="0" w:color="FFFFFF" w:themeColor="background1"/>
              <w:left w:val="single" w:sz="4" w:space="0" w:color="FFFFFF"/>
              <w:bottom w:val="single" w:sz="2" w:space="0" w:color="FFFFFF" w:themeColor="background1"/>
              <w:right w:val="single" w:sz="4" w:space="0" w:color="FFFFFF"/>
            </w:tcBorders>
            <w:shd w:val="clear" w:color="000000" w:fill="D9D9D9"/>
            <w:vAlign w:val="center"/>
            <w:hideMark/>
          </w:tcPr>
          <w:p w14:paraId="2194854A" w14:textId="77777777" w:rsidR="00133DF3" w:rsidRPr="004D6E50" w:rsidRDefault="00133DF3" w:rsidP="00D50F04">
            <w:pPr>
              <w:pStyle w:val="Tabletext"/>
              <w:spacing w:line="220" w:lineRule="exact"/>
              <w:jc w:val="center"/>
            </w:pPr>
            <w:r w:rsidRPr="004D6E50">
              <w:t>1.1</w:t>
            </w:r>
          </w:p>
        </w:tc>
        <w:tc>
          <w:tcPr>
            <w:tcW w:w="71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59CA26BF" w14:textId="77777777" w:rsidR="00133DF3" w:rsidRPr="004D6E50" w:rsidRDefault="00133DF3" w:rsidP="00D50F04">
            <w:pPr>
              <w:pStyle w:val="Tabletext"/>
              <w:spacing w:line="220" w:lineRule="exact"/>
              <w:jc w:val="center"/>
            </w:pPr>
            <w:r w:rsidRPr="004D6E50">
              <w:t>0.5</w:t>
            </w:r>
          </w:p>
        </w:tc>
        <w:tc>
          <w:tcPr>
            <w:tcW w:w="906"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3B3D5670" w14:textId="77777777" w:rsidR="00133DF3" w:rsidRPr="004D6E50" w:rsidRDefault="00133DF3" w:rsidP="00D50F04">
            <w:pPr>
              <w:pStyle w:val="Tabletext"/>
              <w:spacing w:line="220" w:lineRule="exact"/>
              <w:jc w:val="center"/>
            </w:pPr>
            <w:r w:rsidRPr="004D6E50">
              <w:t>0.8</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D9D9D9"/>
            <w:vAlign w:val="center"/>
            <w:hideMark/>
          </w:tcPr>
          <w:p w14:paraId="3B29D37D" w14:textId="77777777" w:rsidR="00133DF3" w:rsidRPr="004D6E50" w:rsidRDefault="00133DF3" w:rsidP="00D50F04">
            <w:pPr>
              <w:pStyle w:val="Tabletext"/>
              <w:spacing w:line="220" w:lineRule="exact"/>
              <w:jc w:val="center"/>
            </w:pPr>
            <w:r w:rsidRPr="004D6E50">
              <w:t>0.8</w:t>
            </w:r>
          </w:p>
        </w:tc>
      </w:tr>
      <w:tr w:rsidR="00133DF3" w:rsidRPr="009B2283" w14:paraId="519DB081" w14:textId="77777777" w:rsidTr="008167F5">
        <w:trPr>
          <w:trHeight w:val="284"/>
          <w:jc w:val="center"/>
        </w:trPr>
        <w:tc>
          <w:tcPr>
            <w:tcW w:w="3701" w:type="dxa"/>
            <w:tcBorders>
              <w:top w:val="single" w:sz="2" w:space="0" w:color="FFFFFF" w:themeColor="background1"/>
              <w:left w:val="single" w:sz="2" w:space="0" w:color="FFFFFF" w:themeColor="background1"/>
              <w:right w:val="nil"/>
            </w:tcBorders>
            <w:shd w:val="clear" w:color="000000" w:fill="F2F2F2"/>
            <w:vAlign w:val="center"/>
            <w:hideMark/>
          </w:tcPr>
          <w:p w14:paraId="685688E4" w14:textId="77777777" w:rsidR="00133DF3" w:rsidRPr="004D6E50" w:rsidRDefault="00133DF3" w:rsidP="00D50F04">
            <w:pPr>
              <w:pStyle w:val="Tabletext"/>
              <w:spacing w:line="220" w:lineRule="exact"/>
              <w:ind w:left="321" w:hanging="284"/>
            </w:pPr>
            <w:r w:rsidRPr="004D6E50">
              <w:t>32. Primary balance (= 31+14)</w:t>
            </w:r>
          </w:p>
        </w:tc>
        <w:tc>
          <w:tcPr>
            <w:tcW w:w="1868" w:type="dxa"/>
            <w:tcBorders>
              <w:top w:val="single" w:sz="2" w:space="0" w:color="FFFFFF" w:themeColor="background1"/>
              <w:left w:val="nil"/>
              <w:right w:val="nil"/>
            </w:tcBorders>
            <w:shd w:val="clear" w:color="000000" w:fill="F2F2F2"/>
            <w:vAlign w:val="center"/>
            <w:hideMark/>
          </w:tcPr>
          <w:p w14:paraId="5ACE92F4" w14:textId="77777777" w:rsidR="00133DF3" w:rsidRPr="004D6E50" w:rsidRDefault="00133DF3" w:rsidP="00D50F04">
            <w:pPr>
              <w:pStyle w:val="Tabletext"/>
              <w:spacing w:line="220" w:lineRule="exact"/>
            </w:pPr>
            <w:r w:rsidRPr="004D6E50">
              <w:t>B.9+D.41p</w:t>
            </w:r>
          </w:p>
        </w:tc>
        <w:tc>
          <w:tcPr>
            <w:tcW w:w="982" w:type="dxa"/>
            <w:tcBorders>
              <w:top w:val="single" w:sz="2" w:space="0" w:color="FFFFFF" w:themeColor="background1"/>
              <w:left w:val="single" w:sz="4" w:space="0" w:color="FFFFFF"/>
              <w:right w:val="single" w:sz="4" w:space="0" w:color="FFFFFF"/>
            </w:tcBorders>
            <w:shd w:val="clear" w:color="000000" w:fill="F2F2F2"/>
            <w:vAlign w:val="center"/>
            <w:hideMark/>
          </w:tcPr>
          <w:p w14:paraId="41E88BB5" w14:textId="77777777" w:rsidR="00133DF3" w:rsidRPr="004D6E50" w:rsidRDefault="00133DF3" w:rsidP="00D50F04">
            <w:pPr>
              <w:pStyle w:val="Tabletext"/>
              <w:spacing w:line="220" w:lineRule="exact"/>
              <w:jc w:val="center"/>
            </w:pPr>
            <w:r w:rsidRPr="004D6E50">
              <w:t>11.4</w:t>
            </w:r>
          </w:p>
        </w:tc>
        <w:tc>
          <w:tcPr>
            <w:tcW w:w="718" w:type="dxa"/>
            <w:tcBorders>
              <w:top w:val="single" w:sz="2" w:space="0" w:color="FFFFFF" w:themeColor="background1"/>
              <w:left w:val="nil"/>
              <w:right w:val="nil"/>
            </w:tcBorders>
            <w:shd w:val="clear" w:color="000000" w:fill="F2F2F2"/>
            <w:vAlign w:val="center"/>
            <w:hideMark/>
          </w:tcPr>
          <w:p w14:paraId="11447C45" w14:textId="77777777" w:rsidR="00133DF3" w:rsidRPr="004D6E50" w:rsidRDefault="00133DF3" w:rsidP="00D50F04">
            <w:pPr>
              <w:pStyle w:val="Tabletext"/>
              <w:spacing w:line="220" w:lineRule="exact"/>
              <w:jc w:val="center"/>
            </w:pPr>
            <w:r w:rsidRPr="004D6E50">
              <w:t>4.8</w:t>
            </w:r>
          </w:p>
        </w:tc>
        <w:tc>
          <w:tcPr>
            <w:tcW w:w="906" w:type="dxa"/>
            <w:tcBorders>
              <w:top w:val="single" w:sz="2" w:space="0" w:color="FFFFFF" w:themeColor="background1"/>
              <w:left w:val="nil"/>
              <w:right w:val="nil"/>
            </w:tcBorders>
            <w:shd w:val="clear" w:color="000000" w:fill="F2F2F2"/>
            <w:vAlign w:val="center"/>
            <w:hideMark/>
          </w:tcPr>
          <w:p w14:paraId="0B600A8F" w14:textId="77777777" w:rsidR="00133DF3" w:rsidRPr="004D6E50" w:rsidRDefault="00133DF3" w:rsidP="00D50F04">
            <w:pPr>
              <w:pStyle w:val="Tabletext"/>
              <w:spacing w:line="220" w:lineRule="exact"/>
              <w:jc w:val="center"/>
            </w:pPr>
            <w:r w:rsidRPr="004D6E50">
              <w:t>3.6</w:t>
            </w:r>
          </w:p>
        </w:tc>
        <w:tc>
          <w:tcPr>
            <w:tcW w:w="727" w:type="dxa"/>
            <w:tcBorders>
              <w:top w:val="single" w:sz="2" w:space="0" w:color="FFFFFF" w:themeColor="background1"/>
              <w:left w:val="nil"/>
              <w:right w:val="single" w:sz="2" w:space="0" w:color="FFFFFF" w:themeColor="background1"/>
            </w:tcBorders>
            <w:shd w:val="clear" w:color="000000" w:fill="F2F2F2"/>
            <w:vAlign w:val="center"/>
            <w:hideMark/>
          </w:tcPr>
          <w:p w14:paraId="7E81B8DB" w14:textId="77777777" w:rsidR="00133DF3" w:rsidRPr="004D6E50" w:rsidRDefault="00133DF3" w:rsidP="00D50F04">
            <w:pPr>
              <w:pStyle w:val="Tabletext"/>
              <w:spacing w:line="220" w:lineRule="exact"/>
              <w:jc w:val="center"/>
            </w:pPr>
            <w:r w:rsidRPr="004D6E50">
              <w:t>2.8</w:t>
            </w:r>
          </w:p>
        </w:tc>
      </w:tr>
      <w:tr w:rsidR="00133DF3" w:rsidRPr="00B50871" w14:paraId="151BAF7C" w14:textId="77777777" w:rsidTr="008167F5">
        <w:trPr>
          <w:trHeight w:val="284"/>
          <w:jc w:val="center"/>
        </w:trPr>
        <w:tc>
          <w:tcPr>
            <w:tcW w:w="3701" w:type="dxa"/>
            <w:shd w:val="clear" w:color="000000" w:fill="BFBFBF"/>
            <w:vAlign w:val="center"/>
            <w:hideMark/>
          </w:tcPr>
          <w:p w14:paraId="298923F3" w14:textId="77777777" w:rsidR="00133DF3" w:rsidRPr="004D6E50" w:rsidRDefault="00133DF3" w:rsidP="00D50F04">
            <w:pPr>
              <w:pStyle w:val="Tabletext"/>
              <w:spacing w:line="220" w:lineRule="exact"/>
              <w:ind w:left="321" w:hanging="284"/>
              <w:rPr>
                <w:b/>
                <w:sz w:val="24"/>
              </w:rPr>
            </w:pPr>
            <w:r w:rsidRPr="004D6E50">
              <w:rPr>
                <w:b/>
                <w:sz w:val="24"/>
              </w:rPr>
              <w:t>Cyclical adjustment</w:t>
            </w:r>
          </w:p>
        </w:tc>
        <w:tc>
          <w:tcPr>
            <w:tcW w:w="1868" w:type="dxa"/>
            <w:shd w:val="clear" w:color="000000" w:fill="BFBFBF"/>
            <w:vAlign w:val="center"/>
            <w:hideMark/>
          </w:tcPr>
          <w:p w14:paraId="0D34E803" w14:textId="77777777" w:rsidR="00133DF3" w:rsidRPr="004D6E50" w:rsidRDefault="00133DF3" w:rsidP="00D50F04">
            <w:pPr>
              <w:pStyle w:val="Tabletext"/>
              <w:spacing w:line="220" w:lineRule="exact"/>
              <w:rPr>
                <w:b/>
                <w:sz w:val="24"/>
              </w:rPr>
            </w:pPr>
            <w:r w:rsidRPr="004D6E50">
              <w:rPr>
                <w:b/>
                <w:sz w:val="24"/>
              </w:rPr>
              <w:t> </w:t>
            </w:r>
          </w:p>
        </w:tc>
        <w:tc>
          <w:tcPr>
            <w:tcW w:w="982" w:type="dxa"/>
            <w:shd w:val="clear" w:color="000000" w:fill="BFBFBF"/>
            <w:vAlign w:val="center"/>
            <w:hideMark/>
          </w:tcPr>
          <w:p w14:paraId="41B5808C" w14:textId="77777777" w:rsidR="00133DF3" w:rsidRPr="004D6E50" w:rsidRDefault="00133DF3" w:rsidP="00D50F04">
            <w:pPr>
              <w:pStyle w:val="Tabletext"/>
              <w:spacing w:line="220" w:lineRule="exact"/>
              <w:jc w:val="center"/>
              <w:rPr>
                <w:b/>
                <w:sz w:val="24"/>
              </w:rPr>
            </w:pPr>
          </w:p>
        </w:tc>
        <w:tc>
          <w:tcPr>
            <w:tcW w:w="2351" w:type="dxa"/>
            <w:gridSpan w:val="3"/>
            <w:shd w:val="clear" w:color="000000" w:fill="BFBFBF"/>
            <w:vAlign w:val="center"/>
            <w:hideMark/>
          </w:tcPr>
          <w:p w14:paraId="6B11634F" w14:textId="77777777" w:rsidR="00133DF3" w:rsidRPr="004D6E50" w:rsidRDefault="00133DF3" w:rsidP="00D50F04">
            <w:pPr>
              <w:pStyle w:val="Tabletext"/>
              <w:spacing w:line="220" w:lineRule="exact"/>
              <w:jc w:val="center"/>
              <w:rPr>
                <w:b/>
                <w:sz w:val="24"/>
              </w:rPr>
            </w:pPr>
          </w:p>
        </w:tc>
      </w:tr>
      <w:tr w:rsidR="00133DF3" w:rsidRPr="009B2283" w14:paraId="0C7ADBBC" w14:textId="77777777" w:rsidTr="008167F5">
        <w:trPr>
          <w:trHeight w:val="284"/>
          <w:jc w:val="center"/>
        </w:trPr>
        <w:tc>
          <w:tcPr>
            <w:tcW w:w="3701" w:type="dxa"/>
            <w:tcBorders>
              <w:left w:val="single" w:sz="2" w:space="0" w:color="FFFFFF" w:themeColor="background1"/>
              <w:bottom w:val="single" w:sz="2" w:space="0" w:color="FFFFFF" w:themeColor="background1"/>
              <w:right w:val="nil"/>
            </w:tcBorders>
            <w:shd w:val="clear" w:color="000000" w:fill="F2F2F2"/>
            <w:vAlign w:val="center"/>
            <w:hideMark/>
          </w:tcPr>
          <w:p w14:paraId="6227DD2B" w14:textId="77777777" w:rsidR="00133DF3" w:rsidRPr="004D6E50" w:rsidRDefault="00133DF3" w:rsidP="00D50F04">
            <w:pPr>
              <w:pStyle w:val="Tabletext"/>
              <w:spacing w:line="220" w:lineRule="exact"/>
              <w:ind w:left="321" w:hanging="284"/>
            </w:pPr>
            <w:r w:rsidRPr="004D6E50">
              <w:t>33. Structural balance</w:t>
            </w:r>
          </w:p>
        </w:tc>
        <w:tc>
          <w:tcPr>
            <w:tcW w:w="1868" w:type="dxa"/>
            <w:tcBorders>
              <w:left w:val="nil"/>
              <w:bottom w:val="single" w:sz="2" w:space="0" w:color="FFFFFF" w:themeColor="background1"/>
              <w:right w:val="nil"/>
            </w:tcBorders>
            <w:shd w:val="clear" w:color="000000" w:fill="F2F2F2"/>
            <w:vAlign w:val="center"/>
            <w:hideMark/>
          </w:tcPr>
          <w:p w14:paraId="2E5CB282" w14:textId="77777777" w:rsidR="00133DF3" w:rsidRPr="004D6E50" w:rsidRDefault="00133DF3" w:rsidP="00D50F04">
            <w:pPr>
              <w:pStyle w:val="Tabletext"/>
              <w:spacing w:line="220" w:lineRule="exact"/>
            </w:pPr>
            <w:r w:rsidRPr="004D6E50">
              <w:t> </w:t>
            </w:r>
          </w:p>
        </w:tc>
        <w:tc>
          <w:tcPr>
            <w:tcW w:w="982" w:type="dxa"/>
            <w:vMerge w:val="restart"/>
            <w:tcBorders>
              <w:left w:val="single" w:sz="4" w:space="0" w:color="FFFFFF"/>
              <w:bottom w:val="single" w:sz="2" w:space="0" w:color="FFFFFF" w:themeColor="background1"/>
              <w:right w:val="single" w:sz="4" w:space="0" w:color="FFFFFF"/>
            </w:tcBorders>
            <w:shd w:val="clear" w:color="000000" w:fill="A6A6A6"/>
            <w:vAlign w:val="center"/>
            <w:hideMark/>
          </w:tcPr>
          <w:p w14:paraId="3538F0AE" w14:textId="77777777" w:rsidR="00133DF3" w:rsidRPr="004D6E50" w:rsidRDefault="00133DF3" w:rsidP="00D50F04">
            <w:pPr>
              <w:pStyle w:val="Tabletext"/>
              <w:spacing w:line="220" w:lineRule="exact"/>
              <w:jc w:val="center"/>
            </w:pPr>
          </w:p>
        </w:tc>
        <w:tc>
          <w:tcPr>
            <w:tcW w:w="718" w:type="dxa"/>
            <w:tcBorders>
              <w:left w:val="nil"/>
              <w:bottom w:val="single" w:sz="2" w:space="0" w:color="FFFFFF" w:themeColor="background1"/>
              <w:right w:val="nil"/>
            </w:tcBorders>
            <w:shd w:val="clear" w:color="000000" w:fill="F2F2F2"/>
            <w:vAlign w:val="center"/>
            <w:hideMark/>
          </w:tcPr>
          <w:p w14:paraId="647619AD" w14:textId="77777777" w:rsidR="00133DF3" w:rsidRPr="004D6E50" w:rsidRDefault="00133DF3" w:rsidP="00D50F04">
            <w:pPr>
              <w:pStyle w:val="Tabletext"/>
              <w:spacing w:line="220" w:lineRule="exact"/>
              <w:jc w:val="center"/>
            </w:pPr>
            <w:r w:rsidRPr="004D6E50">
              <w:t>0.6</w:t>
            </w:r>
          </w:p>
        </w:tc>
        <w:tc>
          <w:tcPr>
            <w:tcW w:w="906" w:type="dxa"/>
            <w:tcBorders>
              <w:left w:val="nil"/>
              <w:bottom w:val="single" w:sz="2" w:space="0" w:color="FFFFFF" w:themeColor="background1"/>
              <w:right w:val="nil"/>
            </w:tcBorders>
            <w:shd w:val="clear" w:color="000000" w:fill="F2F2F2"/>
            <w:vAlign w:val="center"/>
            <w:hideMark/>
          </w:tcPr>
          <w:p w14:paraId="21C3F337" w14:textId="77777777" w:rsidR="00133DF3" w:rsidRPr="004D6E50" w:rsidRDefault="00133DF3" w:rsidP="00D50F04">
            <w:pPr>
              <w:pStyle w:val="Tabletext"/>
              <w:spacing w:line="220" w:lineRule="exact"/>
              <w:jc w:val="center"/>
            </w:pPr>
            <w:r w:rsidRPr="004D6E50">
              <w:t>0.0</w:t>
            </w:r>
          </w:p>
        </w:tc>
        <w:tc>
          <w:tcPr>
            <w:tcW w:w="727" w:type="dxa"/>
            <w:tcBorders>
              <w:left w:val="nil"/>
              <w:bottom w:val="single" w:sz="2" w:space="0" w:color="FFFFFF" w:themeColor="background1"/>
              <w:right w:val="single" w:sz="2" w:space="0" w:color="FFFFFF" w:themeColor="background1"/>
            </w:tcBorders>
            <w:shd w:val="clear" w:color="000000" w:fill="F2F2F2"/>
            <w:vAlign w:val="center"/>
            <w:hideMark/>
          </w:tcPr>
          <w:p w14:paraId="75565800" w14:textId="77777777" w:rsidR="00133DF3" w:rsidRPr="004D6E50" w:rsidRDefault="00133DF3" w:rsidP="00D50F04">
            <w:pPr>
              <w:pStyle w:val="Tabletext"/>
              <w:spacing w:line="220" w:lineRule="exact"/>
              <w:jc w:val="center"/>
            </w:pPr>
            <w:r w:rsidRPr="004D6E50">
              <w:t>-0.9</w:t>
            </w:r>
          </w:p>
        </w:tc>
      </w:tr>
      <w:tr w:rsidR="00133DF3" w:rsidRPr="009B2283" w14:paraId="53BAF740" w14:textId="77777777" w:rsidTr="008167F5">
        <w:trPr>
          <w:trHeight w:val="284"/>
          <w:jc w:val="center"/>
        </w:trPr>
        <w:tc>
          <w:tcPr>
            <w:tcW w:w="3701" w:type="dxa"/>
            <w:tcBorders>
              <w:top w:val="single" w:sz="2" w:space="0" w:color="FFFFFF" w:themeColor="background1"/>
              <w:left w:val="single" w:sz="2" w:space="0" w:color="FFFFFF" w:themeColor="background1"/>
              <w:right w:val="nil"/>
            </w:tcBorders>
            <w:shd w:val="clear" w:color="000000" w:fill="D9D9D9"/>
            <w:vAlign w:val="center"/>
            <w:hideMark/>
          </w:tcPr>
          <w:p w14:paraId="604C65C8" w14:textId="77777777" w:rsidR="00133DF3" w:rsidRPr="004D6E50" w:rsidRDefault="00133DF3" w:rsidP="00D50F04">
            <w:pPr>
              <w:pStyle w:val="Tabletext"/>
              <w:spacing w:line="220" w:lineRule="exact"/>
              <w:ind w:left="321" w:hanging="284"/>
            </w:pPr>
            <w:r w:rsidRPr="004D6E50">
              <w:t>34. Structural primary balance</w:t>
            </w:r>
          </w:p>
        </w:tc>
        <w:tc>
          <w:tcPr>
            <w:tcW w:w="1868" w:type="dxa"/>
            <w:tcBorders>
              <w:top w:val="single" w:sz="2" w:space="0" w:color="FFFFFF" w:themeColor="background1"/>
              <w:left w:val="nil"/>
              <w:right w:val="nil"/>
            </w:tcBorders>
            <w:shd w:val="clear" w:color="000000" w:fill="D9D9D9"/>
            <w:vAlign w:val="center"/>
            <w:hideMark/>
          </w:tcPr>
          <w:p w14:paraId="6DE9831E" w14:textId="77777777" w:rsidR="00133DF3" w:rsidRPr="004D6E50" w:rsidRDefault="00133DF3" w:rsidP="00D50F04">
            <w:pPr>
              <w:pStyle w:val="Tabletext"/>
              <w:spacing w:line="220" w:lineRule="exact"/>
            </w:pPr>
            <w:r w:rsidRPr="004D6E50">
              <w:t> </w:t>
            </w:r>
          </w:p>
        </w:tc>
        <w:tc>
          <w:tcPr>
            <w:tcW w:w="982" w:type="dxa"/>
            <w:vMerge/>
            <w:tcBorders>
              <w:top w:val="single" w:sz="2" w:space="0" w:color="FFFFFF" w:themeColor="background1"/>
              <w:left w:val="single" w:sz="4" w:space="0" w:color="FFFFFF"/>
              <w:right w:val="single" w:sz="4" w:space="0" w:color="FFFFFF"/>
            </w:tcBorders>
            <w:vAlign w:val="center"/>
            <w:hideMark/>
          </w:tcPr>
          <w:p w14:paraId="32581175" w14:textId="77777777" w:rsidR="00133DF3" w:rsidRPr="004D6E50" w:rsidRDefault="00133DF3" w:rsidP="00D50F04">
            <w:pPr>
              <w:pStyle w:val="Tabletext"/>
              <w:spacing w:line="220" w:lineRule="exact"/>
              <w:jc w:val="center"/>
            </w:pPr>
          </w:p>
        </w:tc>
        <w:tc>
          <w:tcPr>
            <w:tcW w:w="718" w:type="dxa"/>
            <w:tcBorders>
              <w:top w:val="single" w:sz="2" w:space="0" w:color="FFFFFF" w:themeColor="background1"/>
              <w:left w:val="nil"/>
              <w:right w:val="nil"/>
            </w:tcBorders>
            <w:shd w:val="clear" w:color="000000" w:fill="D9D9D9"/>
            <w:vAlign w:val="center"/>
            <w:hideMark/>
          </w:tcPr>
          <w:p w14:paraId="77A27D35" w14:textId="77777777" w:rsidR="00133DF3" w:rsidRPr="004D6E50" w:rsidRDefault="00133DF3" w:rsidP="00D50F04">
            <w:pPr>
              <w:pStyle w:val="Tabletext"/>
              <w:spacing w:line="220" w:lineRule="exact"/>
              <w:jc w:val="center"/>
            </w:pPr>
            <w:r w:rsidRPr="004D6E50">
              <w:t>4.0</w:t>
            </w:r>
          </w:p>
        </w:tc>
        <w:tc>
          <w:tcPr>
            <w:tcW w:w="906" w:type="dxa"/>
            <w:tcBorders>
              <w:top w:val="single" w:sz="2" w:space="0" w:color="FFFFFF" w:themeColor="background1"/>
              <w:left w:val="nil"/>
              <w:right w:val="nil"/>
            </w:tcBorders>
            <w:shd w:val="clear" w:color="000000" w:fill="D9D9D9"/>
            <w:vAlign w:val="center"/>
            <w:hideMark/>
          </w:tcPr>
          <w:p w14:paraId="2FAA53F0" w14:textId="77777777" w:rsidR="00133DF3" w:rsidRPr="004D6E50" w:rsidRDefault="00133DF3" w:rsidP="00D50F04">
            <w:pPr>
              <w:pStyle w:val="Tabletext"/>
              <w:spacing w:line="220" w:lineRule="exact"/>
              <w:jc w:val="center"/>
            </w:pPr>
            <w:r w:rsidRPr="004D6E50">
              <w:t>3.0</w:t>
            </w:r>
          </w:p>
        </w:tc>
        <w:tc>
          <w:tcPr>
            <w:tcW w:w="727" w:type="dxa"/>
            <w:tcBorders>
              <w:top w:val="single" w:sz="2" w:space="0" w:color="FFFFFF" w:themeColor="background1"/>
              <w:left w:val="nil"/>
              <w:right w:val="single" w:sz="2" w:space="0" w:color="FFFFFF" w:themeColor="background1"/>
            </w:tcBorders>
            <w:shd w:val="clear" w:color="000000" w:fill="D9D9D9"/>
            <w:vAlign w:val="center"/>
            <w:hideMark/>
          </w:tcPr>
          <w:p w14:paraId="3462F76E" w14:textId="77777777" w:rsidR="00133DF3" w:rsidRPr="004D6E50" w:rsidRDefault="00133DF3" w:rsidP="00D50F04">
            <w:pPr>
              <w:pStyle w:val="Tabletext"/>
              <w:spacing w:line="220" w:lineRule="exact"/>
              <w:jc w:val="center"/>
            </w:pPr>
            <w:r w:rsidRPr="004D6E50">
              <w:t>2.0</w:t>
            </w:r>
          </w:p>
        </w:tc>
      </w:tr>
      <w:tr w:rsidR="00133DF3" w:rsidRPr="00B50871" w14:paraId="49FFEFB1" w14:textId="77777777" w:rsidTr="008167F5">
        <w:trPr>
          <w:trHeight w:val="284"/>
          <w:jc w:val="center"/>
        </w:trPr>
        <w:tc>
          <w:tcPr>
            <w:tcW w:w="3701" w:type="dxa"/>
            <w:shd w:val="clear" w:color="000000" w:fill="BFBFBF"/>
            <w:vAlign w:val="center"/>
            <w:hideMark/>
          </w:tcPr>
          <w:p w14:paraId="46AC263F" w14:textId="77777777" w:rsidR="00133DF3" w:rsidRPr="004D6E50" w:rsidRDefault="00133DF3" w:rsidP="00D50F04">
            <w:pPr>
              <w:pStyle w:val="Tabletext"/>
              <w:spacing w:line="220" w:lineRule="exact"/>
              <w:ind w:left="321" w:hanging="284"/>
              <w:rPr>
                <w:b/>
                <w:sz w:val="24"/>
              </w:rPr>
            </w:pPr>
            <w:r w:rsidRPr="004D6E50">
              <w:rPr>
                <w:b/>
                <w:sz w:val="24"/>
              </w:rPr>
              <w:t>Debt</w:t>
            </w:r>
          </w:p>
        </w:tc>
        <w:tc>
          <w:tcPr>
            <w:tcW w:w="1868" w:type="dxa"/>
            <w:shd w:val="clear" w:color="000000" w:fill="BFBFBF"/>
            <w:vAlign w:val="center"/>
            <w:hideMark/>
          </w:tcPr>
          <w:p w14:paraId="55440A1D" w14:textId="77777777" w:rsidR="00133DF3" w:rsidRPr="004D6E50" w:rsidRDefault="00133DF3" w:rsidP="00D50F04">
            <w:pPr>
              <w:pStyle w:val="Tabletext"/>
              <w:spacing w:line="220" w:lineRule="exact"/>
              <w:rPr>
                <w:b/>
                <w:sz w:val="24"/>
              </w:rPr>
            </w:pPr>
            <w:r w:rsidRPr="004D6E50">
              <w:rPr>
                <w:b/>
                <w:sz w:val="24"/>
              </w:rPr>
              <w:t> </w:t>
            </w:r>
          </w:p>
        </w:tc>
        <w:tc>
          <w:tcPr>
            <w:tcW w:w="982" w:type="dxa"/>
            <w:shd w:val="clear" w:color="000000" w:fill="BFBFBF"/>
            <w:vAlign w:val="center"/>
            <w:hideMark/>
          </w:tcPr>
          <w:p w14:paraId="2E44E276" w14:textId="77777777" w:rsidR="00133DF3" w:rsidRPr="004D6E50" w:rsidRDefault="00133DF3" w:rsidP="00D50F04">
            <w:pPr>
              <w:pStyle w:val="Tabletext"/>
              <w:spacing w:line="220" w:lineRule="exact"/>
              <w:jc w:val="center"/>
              <w:rPr>
                <w:b/>
                <w:sz w:val="24"/>
              </w:rPr>
            </w:pPr>
          </w:p>
        </w:tc>
        <w:tc>
          <w:tcPr>
            <w:tcW w:w="2351" w:type="dxa"/>
            <w:gridSpan w:val="3"/>
            <w:shd w:val="clear" w:color="000000" w:fill="BFBFBF"/>
            <w:vAlign w:val="center"/>
            <w:hideMark/>
          </w:tcPr>
          <w:p w14:paraId="23B0A03C" w14:textId="77777777" w:rsidR="00133DF3" w:rsidRPr="004D6E50" w:rsidRDefault="00133DF3" w:rsidP="00D50F04">
            <w:pPr>
              <w:pStyle w:val="Tabletext"/>
              <w:spacing w:line="220" w:lineRule="exact"/>
              <w:jc w:val="center"/>
              <w:rPr>
                <w:b/>
                <w:sz w:val="24"/>
              </w:rPr>
            </w:pPr>
          </w:p>
        </w:tc>
      </w:tr>
      <w:tr w:rsidR="00133DF3" w:rsidRPr="009B2283" w14:paraId="47FE084C" w14:textId="77777777" w:rsidTr="008167F5">
        <w:trPr>
          <w:trHeight w:val="284"/>
          <w:jc w:val="center"/>
        </w:trPr>
        <w:tc>
          <w:tcPr>
            <w:tcW w:w="3701" w:type="dxa"/>
            <w:tcBorders>
              <w:left w:val="single" w:sz="2" w:space="0" w:color="FFFFFF" w:themeColor="background1"/>
              <w:bottom w:val="single" w:sz="2" w:space="0" w:color="FFFFFF" w:themeColor="background1"/>
              <w:right w:val="nil"/>
            </w:tcBorders>
            <w:shd w:val="clear" w:color="000000" w:fill="F2F2F2"/>
            <w:vAlign w:val="center"/>
            <w:hideMark/>
          </w:tcPr>
          <w:p w14:paraId="7A9B4798" w14:textId="77777777" w:rsidR="00133DF3" w:rsidRPr="004D6E50" w:rsidRDefault="00133DF3" w:rsidP="00D50F04">
            <w:pPr>
              <w:pStyle w:val="Tabletext"/>
              <w:spacing w:line="220" w:lineRule="exact"/>
              <w:ind w:left="321" w:hanging="284"/>
            </w:pPr>
            <w:r w:rsidRPr="004D6E50">
              <w:t xml:space="preserve">35. Gross debt </w:t>
            </w:r>
          </w:p>
        </w:tc>
        <w:tc>
          <w:tcPr>
            <w:tcW w:w="1868" w:type="dxa"/>
            <w:tcBorders>
              <w:left w:val="nil"/>
              <w:bottom w:val="single" w:sz="2" w:space="0" w:color="FFFFFF" w:themeColor="background1"/>
              <w:right w:val="nil"/>
            </w:tcBorders>
            <w:shd w:val="clear" w:color="000000" w:fill="F2F2F2"/>
            <w:vAlign w:val="center"/>
            <w:hideMark/>
          </w:tcPr>
          <w:p w14:paraId="32167A72" w14:textId="77777777" w:rsidR="00133DF3" w:rsidRPr="004D6E50" w:rsidRDefault="00133DF3" w:rsidP="00D50F04">
            <w:pPr>
              <w:pStyle w:val="Tabletext"/>
              <w:spacing w:line="220" w:lineRule="exact"/>
            </w:pPr>
            <w:r w:rsidRPr="004D6E50">
              <w:t> </w:t>
            </w:r>
          </w:p>
        </w:tc>
        <w:tc>
          <w:tcPr>
            <w:tcW w:w="982" w:type="dxa"/>
            <w:tcBorders>
              <w:left w:val="single" w:sz="4" w:space="0" w:color="FFFFFF"/>
              <w:bottom w:val="single" w:sz="2" w:space="0" w:color="FFFFFF" w:themeColor="background1"/>
              <w:right w:val="single" w:sz="4" w:space="0" w:color="FFFFFF"/>
            </w:tcBorders>
            <w:shd w:val="clear" w:color="000000" w:fill="F2F2F2"/>
            <w:vAlign w:val="center"/>
            <w:hideMark/>
          </w:tcPr>
          <w:p w14:paraId="2364345E" w14:textId="77777777" w:rsidR="00133DF3" w:rsidRPr="004D6E50" w:rsidRDefault="00133DF3" w:rsidP="00D50F04">
            <w:pPr>
              <w:pStyle w:val="Tabletext"/>
              <w:spacing w:line="220" w:lineRule="exact"/>
              <w:jc w:val="center"/>
            </w:pPr>
            <w:r w:rsidRPr="004D6E50">
              <w:t>364.9</w:t>
            </w:r>
          </w:p>
        </w:tc>
        <w:tc>
          <w:tcPr>
            <w:tcW w:w="718" w:type="dxa"/>
            <w:tcBorders>
              <w:left w:val="nil"/>
              <w:bottom w:val="single" w:sz="2" w:space="0" w:color="FFFFFF" w:themeColor="background1"/>
              <w:right w:val="nil"/>
            </w:tcBorders>
            <w:shd w:val="clear" w:color="000000" w:fill="F2F2F2"/>
            <w:vAlign w:val="center"/>
            <w:hideMark/>
          </w:tcPr>
          <w:p w14:paraId="5639C287" w14:textId="77777777" w:rsidR="00133DF3" w:rsidRPr="004D6E50" w:rsidRDefault="00133DF3" w:rsidP="00D50F04">
            <w:pPr>
              <w:pStyle w:val="Tabletext"/>
              <w:spacing w:line="220" w:lineRule="exact"/>
              <w:jc w:val="center"/>
            </w:pPr>
            <w:r w:rsidRPr="004D6E50">
              <w:t>153.6</w:t>
            </w:r>
          </w:p>
        </w:tc>
        <w:tc>
          <w:tcPr>
            <w:tcW w:w="906" w:type="dxa"/>
            <w:tcBorders>
              <w:left w:val="nil"/>
              <w:bottom w:val="single" w:sz="2" w:space="0" w:color="FFFFFF" w:themeColor="background1"/>
              <w:right w:val="nil"/>
            </w:tcBorders>
            <w:shd w:val="clear" w:color="000000" w:fill="F2F2F2"/>
            <w:vAlign w:val="center"/>
            <w:hideMark/>
          </w:tcPr>
          <w:p w14:paraId="00E8A0B8" w14:textId="77777777" w:rsidR="00133DF3" w:rsidRPr="004D6E50" w:rsidRDefault="00133DF3" w:rsidP="00D50F04">
            <w:pPr>
              <w:pStyle w:val="Tabletext"/>
              <w:spacing w:line="220" w:lineRule="exact"/>
              <w:jc w:val="center"/>
            </w:pPr>
            <w:r w:rsidRPr="004D6E50">
              <w:t>145.4</w:t>
            </w:r>
          </w:p>
        </w:tc>
        <w:tc>
          <w:tcPr>
            <w:tcW w:w="727" w:type="dxa"/>
            <w:tcBorders>
              <w:left w:val="nil"/>
              <w:bottom w:val="single" w:sz="2" w:space="0" w:color="FFFFFF" w:themeColor="background1"/>
              <w:right w:val="single" w:sz="2" w:space="0" w:color="FFFFFF" w:themeColor="background1"/>
            </w:tcBorders>
            <w:shd w:val="clear" w:color="000000" w:fill="F2F2F2"/>
            <w:vAlign w:val="center"/>
            <w:hideMark/>
          </w:tcPr>
          <w:p w14:paraId="776A66FE" w14:textId="77777777" w:rsidR="00133DF3" w:rsidRPr="004D6E50" w:rsidRDefault="00133DF3" w:rsidP="00D50F04">
            <w:pPr>
              <w:pStyle w:val="Tabletext"/>
              <w:spacing w:line="220" w:lineRule="exact"/>
              <w:jc w:val="center"/>
            </w:pPr>
            <w:r w:rsidRPr="004D6E50">
              <w:t>137.6</w:t>
            </w:r>
          </w:p>
        </w:tc>
      </w:tr>
      <w:tr w:rsidR="00133DF3" w:rsidRPr="009B2283" w14:paraId="2FA399FD" w14:textId="77777777" w:rsidTr="008167F5">
        <w:trPr>
          <w:trHeight w:val="284"/>
          <w:jc w:val="center"/>
        </w:trPr>
        <w:tc>
          <w:tcPr>
            <w:tcW w:w="3701" w:type="dxa"/>
            <w:tcBorders>
              <w:top w:val="single" w:sz="2" w:space="0" w:color="FFFFFF" w:themeColor="background1"/>
              <w:left w:val="single" w:sz="2" w:space="0" w:color="FFFFFF" w:themeColor="background1"/>
              <w:right w:val="nil"/>
            </w:tcBorders>
            <w:shd w:val="clear" w:color="000000" w:fill="D9D9D9"/>
            <w:vAlign w:val="center"/>
            <w:hideMark/>
          </w:tcPr>
          <w:p w14:paraId="779131E2" w14:textId="77777777" w:rsidR="00133DF3" w:rsidRPr="004D6E50" w:rsidRDefault="00133DF3" w:rsidP="00D50F04">
            <w:pPr>
              <w:pStyle w:val="Tabletext"/>
              <w:spacing w:line="220" w:lineRule="exact"/>
              <w:ind w:left="321" w:hanging="284"/>
            </w:pPr>
            <w:r w:rsidRPr="004D6E50">
              <w:t xml:space="preserve">36. Change in gross debt </w:t>
            </w:r>
          </w:p>
        </w:tc>
        <w:tc>
          <w:tcPr>
            <w:tcW w:w="1868" w:type="dxa"/>
            <w:tcBorders>
              <w:top w:val="single" w:sz="2" w:space="0" w:color="FFFFFF" w:themeColor="background1"/>
              <w:left w:val="nil"/>
              <w:right w:val="nil"/>
            </w:tcBorders>
            <w:shd w:val="clear" w:color="000000" w:fill="D9D9D9"/>
            <w:vAlign w:val="center"/>
            <w:hideMark/>
          </w:tcPr>
          <w:p w14:paraId="1833A8FC" w14:textId="77777777" w:rsidR="00133DF3" w:rsidRPr="004D6E50" w:rsidRDefault="00133DF3" w:rsidP="00D50F04">
            <w:pPr>
              <w:pStyle w:val="Tabletext"/>
              <w:spacing w:line="220" w:lineRule="exact"/>
            </w:pPr>
            <w:r w:rsidRPr="004D6E50">
              <w:t> </w:t>
            </w:r>
          </w:p>
        </w:tc>
        <w:tc>
          <w:tcPr>
            <w:tcW w:w="982" w:type="dxa"/>
            <w:tcBorders>
              <w:top w:val="single" w:sz="2" w:space="0" w:color="FFFFFF" w:themeColor="background1"/>
              <w:left w:val="single" w:sz="4" w:space="0" w:color="FFFFFF"/>
              <w:right w:val="single" w:sz="4" w:space="0" w:color="FFFFFF"/>
            </w:tcBorders>
            <w:shd w:val="clear" w:color="000000" w:fill="D9D9D9"/>
            <w:vAlign w:val="center"/>
            <w:hideMark/>
          </w:tcPr>
          <w:p w14:paraId="10E68505" w14:textId="77777777" w:rsidR="00133DF3" w:rsidRPr="004D6E50" w:rsidRDefault="00133DF3" w:rsidP="00D50F04">
            <w:pPr>
              <w:pStyle w:val="Tabletext"/>
              <w:spacing w:line="220" w:lineRule="exact"/>
              <w:jc w:val="center"/>
            </w:pPr>
            <w:r w:rsidRPr="004D6E50">
              <w:t>-4.2</w:t>
            </w:r>
          </w:p>
        </w:tc>
        <w:tc>
          <w:tcPr>
            <w:tcW w:w="718" w:type="dxa"/>
            <w:tcBorders>
              <w:top w:val="single" w:sz="2" w:space="0" w:color="FFFFFF" w:themeColor="background1"/>
              <w:left w:val="nil"/>
              <w:right w:val="nil"/>
            </w:tcBorders>
            <w:shd w:val="clear" w:color="000000" w:fill="D9D9D9"/>
            <w:vAlign w:val="center"/>
            <w:hideMark/>
          </w:tcPr>
          <w:p w14:paraId="7689D081" w14:textId="77777777" w:rsidR="00133DF3" w:rsidRPr="004D6E50" w:rsidRDefault="00133DF3" w:rsidP="00D50F04">
            <w:pPr>
              <w:pStyle w:val="Tabletext"/>
              <w:spacing w:line="220" w:lineRule="exact"/>
              <w:jc w:val="center"/>
            </w:pPr>
            <w:r w:rsidRPr="004D6E50">
              <w:t>-10.3</w:t>
            </w:r>
          </w:p>
        </w:tc>
        <w:tc>
          <w:tcPr>
            <w:tcW w:w="906" w:type="dxa"/>
            <w:tcBorders>
              <w:top w:val="single" w:sz="2" w:space="0" w:color="FFFFFF" w:themeColor="background1"/>
              <w:left w:val="nil"/>
              <w:right w:val="nil"/>
            </w:tcBorders>
            <w:shd w:val="clear" w:color="000000" w:fill="D9D9D9"/>
            <w:vAlign w:val="center"/>
            <w:hideMark/>
          </w:tcPr>
          <w:p w14:paraId="2010CDD7" w14:textId="77777777" w:rsidR="00133DF3" w:rsidRPr="004D6E50" w:rsidRDefault="00133DF3" w:rsidP="00D50F04">
            <w:pPr>
              <w:pStyle w:val="Tabletext"/>
              <w:spacing w:line="220" w:lineRule="exact"/>
              <w:jc w:val="center"/>
            </w:pPr>
            <w:r w:rsidRPr="004D6E50">
              <w:t>-8.2</w:t>
            </w:r>
          </w:p>
        </w:tc>
        <w:tc>
          <w:tcPr>
            <w:tcW w:w="727" w:type="dxa"/>
            <w:tcBorders>
              <w:top w:val="single" w:sz="2" w:space="0" w:color="FFFFFF" w:themeColor="background1"/>
              <w:left w:val="nil"/>
              <w:right w:val="single" w:sz="2" w:space="0" w:color="FFFFFF" w:themeColor="background1"/>
            </w:tcBorders>
            <w:shd w:val="clear" w:color="000000" w:fill="D9D9D9"/>
            <w:vAlign w:val="center"/>
            <w:hideMark/>
          </w:tcPr>
          <w:p w14:paraId="3FB57704" w14:textId="77777777" w:rsidR="00133DF3" w:rsidRPr="004D6E50" w:rsidRDefault="00133DF3" w:rsidP="00D50F04">
            <w:pPr>
              <w:pStyle w:val="Tabletext"/>
              <w:spacing w:line="220" w:lineRule="exact"/>
              <w:jc w:val="center"/>
            </w:pPr>
            <w:r w:rsidRPr="004D6E50">
              <w:t>-7.8</w:t>
            </w:r>
          </w:p>
        </w:tc>
      </w:tr>
      <w:tr w:rsidR="00133DF3" w:rsidRPr="00C14AE5" w14:paraId="566B93B6" w14:textId="77777777" w:rsidTr="008167F5">
        <w:trPr>
          <w:trHeight w:val="284"/>
          <w:jc w:val="center"/>
        </w:trPr>
        <w:tc>
          <w:tcPr>
            <w:tcW w:w="5569" w:type="dxa"/>
            <w:gridSpan w:val="2"/>
            <w:shd w:val="clear" w:color="000000" w:fill="BFBFBF"/>
            <w:vAlign w:val="center"/>
            <w:hideMark/>
          </w:tcPr>
          <w:p w14:paraId="325747F7" w14:textId="77777777" w:rsidR="00133DF3" w:rsidRPr="007F7C86" w:rsidRDefault="00133DF3" w:rsidP="00D50F04">
            <w:pPr>
              <w:pStyle w:val="Tabletext"/>
              <w:spacing w:line="220" w:lineRule="exact"/>
              <w:ind w:left="321" w:hanging="284"/>
              <w:rPr>
                <w:b/>
                <w:sz w:val="24"/>
              </w:rPr>
            </w:pPr>
            <w:r w:rsidRPr="007F7C86">
              <w:rPr>
                <w:b/>
                <w:sz w:val="24"/>
              </w:rPr>
              <w:t>37. Contributions to changes in gross debt</w:t>
            </w:r>
          </w:p>
        </w:tc>
        <w:tc>
          <w:tcPr>
            <w:tcW w:w="982" w:type="dxa"/>
            <w:shd w:val="clear" w:color="000000" w:fill="BFBFBF"/>
            <w:vAlign w:val="center"/>
            <w:hideMark/>
          </w:tcPr>
          <w:p w14:paraId="5970AC64" w14:textId="77777777" w:rsidR="00133DF3" w:rsidRPr="007F7C86" w:rsidRDefault="00133DF3" w:rsidP="00D50F04">
            <w:pPr>
              <w:pStyle w:val="Tabletext"/>
              <w:spacing w:line="220" w:lineRule="exact"/>
              <w:jc w:val="center"/>
              <w:rPr>
                <w:b/>
                <w:sz w:val="24"/>
              </w:rPr>
            </w:pPr>
          </w:p>
        </w:tc>
        <w:tc>
          <w:tcPr>
            <w:tcW w:w="718" w:type="dxa"/>
            <w:shd w:val="clear" w:color="000000" w:fill="BFBFBF"/>
            <w:vAlign w:val="center"/>
            <w:hideMark/>
          </w:tcPr>
          <w:p w14:paraId="5292541D" w14:textId="77777777" w:rsidR="00133DF3" w:rsidRPr="007F7C86" w:rsidRDefault="00133DF3" w:rsidP="00D50F04">
            <w:pPr>
              <w:pStyle w:val="Tabletext"/>
              <w:spacing w:line="220" w:lineRule="exact"/>
              <w:jc w:val="center"/>
              <w:rPr>
                <w:b/>
                <w:sz w:val="24"/>
              </w:rPr>
            </w:pPr>
          </w:p>
        </w:tc>
        <w:tc>
          <w:tcPr>
            <w:tcW w:w="906" w:type="dxa"/>
            <w:shd w:val="clear" w:color="000000" w:fill="BFBFBF"/>
            <w:vAlign w:val="center"/>
            <w:hideMark/>
          </w:tcPr>
          <w:p w14:paraId="52B1C9EE" w14:textId="77777777" w:rsidR="00133DF3" w:rsidRPr="007F7C86" w:rsidRDefault="00133DF3" w:rsidP="00D50F04">
            <w:pPr>
              <w:pStyle w:val="Tabletext"/>
              <w:spacing w:line="220" w:lineRule="exact"/>
              <w:jc w:val="center"/>
              <w:rPr>
                <w:b/>
                <w:sz w:val="24"/>
              </w:rPr>
            </w:pPr>
          </w:p>
        </w:tc>
        <w:tc>
          <w:tcPr>
            <w:tcW w:w="727" w:type="dxa"/>
            <w:shd w:val="clear" w:color="000000" w:fill="BFBFBF"/>
            <w:vAlign w:val="center"/>
            <w:hideMark/>
          </w:tcPr>
          <w:p w14:paraId="099C90CC" w14:textId="77777777" w:rsidR="00133DF3" w:rsidRPr="007F7C86" w:rsidRDefault="00133DF3" w:rsidP="00D50F04">
            <w:pPr>
              <w:pStyle w:val="Tabletext"/>
              <w:spacing w:line="220" w:lineRule="exact"/>
              <w:jc w:val="center"/>
              <w:rPr>
                <w:b/>
                <w:sz w:val="24"/>
              </w:rPr>
            </w:pPr>
          </w:p>
        </w:tc>
      </w:tr>
      <w:tr w:rsidR="00133DF3" w:rsidRPr="009B2283" w14:paraId="2064D9A3" w14:textId="77777777" w:rsidTr="008167F5">
        <w:trPr>
          <w:trHeight w:val="284"/>
          <w:jc w:val="center"/>
        </w:trPr>
        <w:tc>
          <w:tcPr>
            <w:tcW w:w="3701" w:type="dxa"/>
            <w:tcBorders>
              <w:left w:val="single" w:sz="2" w:space="0" w:color="FFFFFF" w:themeColor="background1"/>
              <w:bottom w:val="single" w:sz="2" w:space="0" w:color="FFFFFF" w:themeColor="background1"/>
              <w:right w:val="nil"/>
            </w:tcBorders>
            <w:shd w:val="clear" w:color="000000" w:fill="F2F2F2"/>
            <w:vAlign w:val="center"/>
            <w:hideMark/>
          </w:tcPr>
          <w:p w14:paraId="780E9065" w14:textId="77777777" w:rsidR="00133DF3" w:rsidRPr="004D6E50" w:rsidRDefault="00133DF3" w:rsidP="00D50F04">
            <w:pPr>
              <w:pStyle w:val="Tabletext"/>
              <w:spacing w:line="220" w:lineRule="exact"/>
              <w:ind w:left="321" w:hanging="284"/>
            </w:pPr>
            <w:r w:rsidRPr="004D6E50">
              <w:t>38. Primary balance (= minus 32)</w:t>
            </w:r>
          </w:p>
        </w:tc>
        <w:tc>
          <w:tcPr>
            <w:tcW w:w="1868" w:type="dxa"/>
            <w:tcBorders>
              <w:left w:val="nil"/>
              <w:bottom w:val="single" w:sz="2" w:space="0" w:color="FFFFFF" w:themeColor="background1"/>
              <w:right w:val="nil"/>
            </w:tcBorders>
            <w:shd w:val="clear" w:color="000000" w:fill="F2F2F2"/>
            <w:vAlign w:val="center"/>
            <w:hideMark/>
          </w:tcPr>
          <w:p w14:paraId="61C66661" w14:textId="77777777" w:rsidR="00133DF3" w:rsidRPr="004D6E50" w:rsidRDefault="00133DF3" w:rsidP="00D50F04">
            <w:pPr>
              <w:pStyle w:val="Tabletext"/>
              <w:spacing w:line="220" w:lineRule="exact"/>
            </w:pPr>
            <w:r w:rsidRPr="004D6E50">
              <w:t> </w:t>
            </w:r>
          </w:p>
        </w:tc>
        <w:tc>
          <w:tcPr>
            <w:tcW w:w="982" w:type="dxa"/>
            <w:vMerge w:val="restart"/>
            <w:tcBorders>
              <w:left w:val="single" w:sz="4" w:space="0" w:color="FFFFFF"/>
              <w:bottom w:val="single" w:sz="2" w:space="0" w:color="FFFFFF" w:themeColor="background1"/>
              <w:right w:val="single" w:sz="4" w:space="0" w:color="FFFFFF"/>
            </w:tcBorders>
            <w:shd w:val="clear" w:color="000000" w:fill="A6A6A6"/>
            <w:vAlign w:val="center"/>
            <w:hideMark/>
          </w:tcPr>
          <w:p w14:paraId="13528277" w14:textId="77777777" w:rsidR="00133DF3" w:rsidRPr="004D6E50" w:rsidRDefault="00133DF3" w:rsidP="00D50F04">
            <w:pPr>
              <w:pStyle w:val="Tabletext"/>
              <w:spacing w:line="220" w:lineRule="exact"/>
              <w:jc w:val="center"/>
            </w:pPr>
          </w:p>
        </w:tc>
        <w:tc>
          <w:tcPr>
            <w:tcW w:w="718" w:type="dxa"/>
            <w:tcBorders>
              <w:left w:val="nil"/>
              <w:bottom w:val="single" w:sz="2" w:space="0" w:color="FFFFFF" w:themeColor="background1"/>
              <w:right w:val="nil"/>
            </w:tcBorders>
            <w:shd w:val="clear" w:color="000000" w:fill="F2F2F2"/>
            <w:vAlign w:val="center"/>
            <w:hideMark/>
          </w:tcPr>
          <w:p w14:paraId="5F63BFEF" w14:textId="77777777" w:rsidR="00133DF3" w:rsidRPr="004D6E50" w:rsidRDefault="00133DF3" w:rsidP="00D50F04">
            <w:pPr>
              <w:pStyle w:val="Tabletext"/>
              <w:spacing w:line="220" w:lineRule="exact"/>
              <w:jc w:val="center"/>
            </w:pPr>
            <w:r w:rsidRPr="004D6E50">
              <w:t>-4.8</w:t>
            </w:r>
          </w:p>
        </w:tc>
        <w:tc>
          <w:tcPr>
            <w:tcW w:w="906" w:type="dxa"/>
            <w:tcBorders>
              <w:left w:val="nil"/>
              <w:bottom w:val="single" w:sz="2" w:space="0" w:color="FFFFFF" w:themeColor="background1"/>
              <w:right w:val="nil"/>
            </w:tcBorders>
            <w:shd w:val="clear" w:color="000000" w:fill="F2F2F2"/>
            <w:vAlign w:val="center"/>
            <w:hideMark/>
          </w:tcPr>
          <w:p w14:paraId="10C71037" w14:textId="77777777" w:rsidR="00133DF3" w:rsidRPr="004D6E50" w:rsidRDefault="00133DF3" w:rsidP="00D50F04">
            <w:pPr>
              <w:pStyle w:val="Tabletext"/>
              <w:spacing w:line="220" w:lineRule="exact"/>
              <w:jc w:val="center"/>
            </w:pPr>
            <w:r w:rsidRPr="004D6E50">
              <w:t>-3.6</w:t>
            </w:r>
          </w:p>
        </w:tc>
        <w:tc>
          <w:tcPr>
            <w:tcW w:w="727" w:type="dxa"/>
            <w:tcBorders>
              <w:left w:val="nil"/>
              <w:bottom w:val="single" w:sz="2" w:space="0" w:color="FFFFFF" w:themeColor="background1"/>
              <w:right w:val="single" w:sz="2" w:space="0" w:color="FFFFFF" w:themeColor="background1"/>
            </w:tcBorders>
            <w:shd w:val="clear" w:color="000000" w:fill="F2F2F2"/>
            <w:vAlign w:val="center"/>
            <w:hideMark/>
          </w:tcPr>
          <w:p w14:paraId="3FC5C008" w14:textId="77777777" w:rsidR="00133DF3" w:rsidRPr="004D6E50" w:rsidRDefault="00133DF3" w:rsidP="00D50F04">
            <w:pPr>
              <w:pStyle w:val="Tabletext"/>
              <w:spacing w:line="220" w:lineRule="exact"/>
              <w:jc w:val="center"/>
            </w:pPr>
            <w:r w:rsidRPr="004D6E50">
              <w:t>-2.8</w:t>
            </w:r>
          </w:p>
        </w:tc>
      </w:tr>
      <w:tr w:rsidR="00133DF3" w:rsidRPr="009B2283" w14:paraId="0271D898"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F2F2F2"/>
            <w:vAlign w:val="center"/>
            <w:hideMark/>
          </w:tcPr>
          <w:p w14:paraId="57FDF6D0" w14:textId="77777777" w:rsidR="00133DF3" w:rsidRPr="004D6E50" w:rsidRDefault="00133DF3" w:rsidP="00D50F04">
            <w:pPr>
              <w:pStyle w:val="Tabletext"/>
              <w:spacing w:line="220" w:lineRule="exact"/>
              <w:ind w:left="321" w:hanging="284"/>
            </w:pPr>
            <w:r w:rsidRPr="004D6E50">
              <w:t>39. Snowball effect</w:t>
            </w:r>
          </w:p>
        </w:tc>
        <w:tc>
          <w:tcPr>
            <w:tcW w:w="186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44F27708" w14:textId="77777777" w:rsidR="00133DF3" w:rsidRPr="004D6E50" w:rsidRDefault="00133DF3" w:rsidP="00D50F04">
            <w:pPr>
              <w:pStyle w:val="Tabletext"/>
              <w:spacing w:line="220" w:lineRule="exact"/>
            </w:pPr>
            <w:r w:rsidRPr="004D6E50">
              <w:t> </w:t>
            </w:r>
          </w:p>
        </w:tc>
        <w:tc>
          <w:tcPr>
            <w:tcW w:w="982" w:type="dxa"/>
            <w:vMerge/>
            <w:tcBorders>
              <w:top w:val="single" w:sz="2" w:space="0" w:color="FFFFFF" w:themeColor="background1"/>
              <w:left w:val="single" w:sz="4" w:space="0" w:color="FFFFFF"/>
              <w:bottom w:val="single" w:sz="2" w:space="0" w:color="FFFFFF" w:themeColor="background1"/>
              <w:right w:val="single" w:sz="4" w:space="0" w:color="FFFFFF"/>
            </w:tcBorders>
            <w:vAlign w:val="center"/>
            <w:hideMark/>
          </w:tcPr>
          <w:p w14:paraId="24CD5635" w14:textId="77777777" w:rsidR="00133DF3" w:rsidRPr="004D6E50" w:rsidRDefault="00133DF3" w:rsidP="00D50F04">
            <w:pPr>
              <w:pStyle w:val="Tabletext"/>
              <w:spacing w:line="220" w:lineRule="exact"/>
              <w:jc w:val="center"/>
            </w:pPr>
          </w:p>
        </w:tc>
        <w:tc>
          <w:tcPr>
            <w:tcW w:w="71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74710319" w14:textId="77777777" w:rsidR="00133DF3" w:rsidRPr="004D6E50" w:rsidRDefault="00133DF3" w:rsidP="00D50F04">
            <w:pPr>
              <w:pStyle w:val="Tabletext"/>
              <w:spacing w:line="220" w:lineRule="exact"/>
              <w:jc w:val="center"/>
            </w:pPr>
            <w:r w:rsidRPr="004D6E50">
              <w:t>-5.2</w:t>
            </w:r>
          </w:p>
        </w:tc>
        <w:tc>
          <w:tcPr>
            <w:tcW w:w="906"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2E90B9BD" w14:textId="77777777" w:rsidR="00133DF3" w:rsidRPr="004D6E50" w:rsidRDefault="00133DF3" w:rsidP="00D50F04">
            <w:pPr>
              <w:pStyle w:val="Tabletext"/>
              <w:spacing w:line="220" w:lineRule="exact"/>
              <w:jc w:val="center"/>
            </w:pPr>
            <w:r w:rsidRPr="004D6E50">
              <w:t>-4.4</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F2F2F2"/>
            <w:vAlign w:val="center"/>
            <w:hideMark/>
          </w:tcPr>
          <w:p w14:paraId="0132519E" w14:textId="77777777" w:rsidR="00133DF3" w:rsidRPr="004D6E50" w:rsidRDefault="00133DF3" w:rsidP="00D50F04">
            <w:pPr>
              <w:pStyle w:val="Tabletext"/>
              <w:spacing w:line="220" w:lineRule="exact"/>
              <w:jc w:val="center"/>
            </w:pPr>
            <w:r w:rsidRPr="004D6E50">
              <w:t>-3.4</w:t>
            </w:r>
          </w:p>
        </w:tc>
      </w:tr>
      <w:tr w:rsidR="00133DF3" w:rsidRPr="009B2283" w14:paraId="634F0C53"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D9D9D9"/>
            <w:vAlign w:val="center"/>
            <w:hideMark/>
          </w:tcPr>
          <w:p w14:paraId="648EE98D" w14:textId="77777777" w:rsidR="00133DF3" w:rsidRPr="004D6E50" w:rsidRDefault="00133DF3" w:rsidP="00D50F04">
            <w:pPr>
              <w:pStyle w:val="Tabletext"/>
              <w:spacing w:line="220" w:lineRule="exact"/>
              <w:ind w:left="321" w:hanging="284"/>
            </w:pPr>
            <w:r w:rsidRPr="004D6E50">
              <w:t>40. Interest expenditure (= 14)</w:t>
            </w:r>
          </w:p>
        </w:tc>
        <w:tc>
          <w:tcPr>
            <w:tcW w:w="186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59A2C39D" w14:textId="77777777" w:rsidR="00133DF3" w:rsidRPr="004D6E50" w:rsidRDefault="00133DF3" w:rsidP="00D50F04">
            <w:pPr>
              <w:pStyle w:val="Tabletext"/>
              <w:spacing w:line="220" w:lineRule="exact"/>
            </w:pPr>
            <w:r w:rsidRPr="004D6E50">
              <w:t> </w:t>
            </w:r>
          </w:p>
        </w:tc>
        <w:tc>
          <w:tcPr>
            <w:tcW w:w="982" w:type="dxa"/>
            <w:vMerge/>
            <w:tcBorders>
              <w:top w:val="single" w:sz="2" w:space="0" w:color="FFFFFF" w:themeColor="background1"/>
              <w:left w:val="single" w:sz="4" w:space="0" w:color="FFFFFF"/>
              <w:bottom w:val="single" w:sz="2" w:space="0" w:color="FFFFFF" w:themeColor="background1"/>
              <w:right w:val="single" w:sz="4" w:space="0" w:color="FFFFFF"/>
            </w:tcBorders>
            <w:vAlign w:val="center"/>
            <w:hideMark/>
          </w:tcPr>
          <w:p w14:paraId="54373327" w14:textId="77777777" w:rsidR="00133DF3" w:rsidRPr="004D6E50" w:rsidRDefault="00133DF3" w:rsidP="00D50F04">
            <w:pPr>
              <w:pStyle w:val="Tabletext"/>
              <w:spacing w:line="220" w:lineRule="exact"/>
              <w:jc w:val="center"/>
            </w:pPr>
          </w:p>
        </w:tc>
        <w:tc>
          <w:tcPr>
            <w:tcW w:w="71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64B24631" w14:textId="77777777" w:rsidR="00133DF3" w:rsidRPr="004D6E50" w:rsidRDefault="00133DF3" w:rsidP="00D50F04">
            <w:pPr>
              <w:pStyle w:val="Tabletext"/>
              <w:spacing w:line="220" w:lineRule="exact"/>
              <w:jc w:val="center"/>
            </w:pPr>
            <w:r w:rsidRPr="004D6E50">
              <w:t>3.5</w:t>
            </w:r>
          </w:p>
        </w:tc>
        <w:tc>
          <w:tcPr>
            <w:tcW w:w="906"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263BBCA4" w14:textId="77777777" w:rsidR="00133DF3" w:rsidRPr="004D6E50" w:rsidRDefault="00133DF3" w:rsidP="00D50F04">
            <w:pPr>
              <w:pStyle w:val="Tabletext"/>
              <w:spacing w:line="220" w:lineRule="exact"/>
              <w:jc w:val="center"/>
            </w:pPr>
            <w:r w:rsidRPr="004D6E50">
              <w:t>3.0</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D9D9D9"/>
            <w:vAlign w:val="center"/>
            <w:hideMark/>
          </w:tcPr>
          <w:p w14:paraId="5CC09633" w14:textId="77777777" w:rsidR="00133DF3" w:rsidRPr="004D6E50" w:rsidRDefault="00133DF3" w:rsidP="00D50F04">
            <w:pPr>
              <w:pStyle w:val="Tabletext"/>
              <w:spacing w:line="220" w:lineRule="exact"/>
              <w:jc w:val="center"/>
            </w:pPr>
            <w:r w:rsidRPr="004D6E50">
              <w:t>2.9</w:t>
            </w:r>
          </w:p>
        </w:tc>
      </w:tr>
      <w:tr w:rsidR="00133DF3" w:rsidRPr="009B2283" w14:paraId="13A31405"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F2F2F2"/>
            <w:vAlign w:val="center"/>
            <w:hideMark/>
          </w:tcPr>
          <w:p w14:paraId="6A98B846" w14:textId="77777777" w:rsidR="00133DF3" w:rsidRPr="004D6E50" w:rsidRDefault="00133DF3" w:rsidP="00D50F04">
            <w:pPr>
              <w:pStyle w:val="Tabletext"/>
              <w:spacing w:line="220" w:lineRule="exact"/>
              <w:ind w:left="321" w:hanging="284"/>
            </w:pPr>
            <w:r w:rsidRPr="004D6E50">
              <w:t>41. Growth</w:t>
            </w:r>
          </w:p>
        </w:tc>
        <w:tc>
          <w:tcPr>
            <w:tcW w:w="186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7FE23363" w14:textId="77777777" w:rsidR="00133DF3" w:rsidRPr="004D6E50" w:rsidRDefault="00133DF3" w:rsidP="00D50F04">
            <w:pPr>
              <w:pStyle w:val="Tabletext"/>
              <w:spacing w:line="220" w:lineRule="exact"/>
            </w:pPr>
            <w:r w:rsidRPr="004D6E50">
              <w:t> </w:t>
            </w:r>
          </w:p>
        </w:tc>
        <w:tc>
          <w:tcPr>
            <w:tcW w:w="982" w:type="dxa"/>
            <w:vMerge/>
            <w:tcBorders>
              <w:top w:val="single" w:sz="2" w:space="0" w:color="FFFFFF" w:themeColor="background1"/>
              <w:left w:val="single" w:sz="4" w:space="0" w:color="FFFFFF"/>
              <w:bottom w:val="single" w:sz="2" w:space="0" w:color="FFFFFF" w:themeColor="background1"/>
              <w:right w:val="single" w:sz="4" w:space="0" w:color="FFFFFF"/>
            </w:tcBorders>
            <w:vAlign w:val="center"/>
            <w:hideMark/>
          </w:tcPr>
          <w:p w14:paraId="23DA54A1" w14:textId="77777777" w:rsidR="00133DF3" w:rsidRPr="004D6E50" w:rsidRDefault="00133DF3" w:rsidP="00D50F04">
            <w:pPr>
              <w:pStyle w:val="Tabletext"/>
              <w:spacing w:line="220" w:lineRule="exact"/>
              <w:jc w:val="center"/>
            </w:pPr>
          </w:p>
        </w:tc>
        <w:tc>
          <w:tcPr>
            <w:tcW w:w="71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09ED5B1D" w14:textId="77777777" w:rsidR="00133DF3" w:rsidRPr="004D6E50" w:rsidRDefault="00133DF3" w:rsidP="00D50F04">
            <w:pPr>
              <w:pStyle w:val="Tabletext"/>
              <w:spacing w:line="220" w:lineRule="exact"/>
              <w:jc w:val="center"/>
            </w:pPr>
            <w:r w:rsidRPr="004D6E50">
              <w:t>-3.6</w:t>
            </w:r>
          </w:p>
        </w:tc>
        <w:tc>
          <w:tcPr>
            <w:tcW w:w="906"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71CD2AF8" w14:textId="77777777" w:rsidR="00133DF3" w:rsidRPr="004D6E50" w:rsidRDefault="00133DF3" w:rsidP="00D50F04">
            <w:pPr>
              <w:pStyle w:val="Tabletext"/>
              <w:spacing w:line="220" w:lineRule="exact"/>
              <w:jc w:val="center"/>
            </w:pPr>
            <w:r w:rsidRPr="004D6E50">
              <w:t>-3.2</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F2F2F2"/>
            <w:vAlign w:val="center"/>
            <w:hideMark/>
          </w:tcPr>
          <w:p w14:paraId="66F65837" w14:textId="77777777" w:rsidR="00133DF3" w:rsidRPr="004D6E50" w:rsidRDefault="00133DF3" w:rsidP="00D50F04">
            <w:pPr>
              <w:pStyle w:val="Tabletext"/>
              <w:spacing w:line="220" w:lineRule="exact"/>
              <w:jc w:val="center"/>
            </w:pPr>
            <w:r w:rsidRPr="004D6E50">
              <w:t>-3.3</w:t>
            </w:r>
          </w:p>
        </w:tc>
      </w:tr>
      <w:tr w:rsidR="00133DF3" w:rsidRPr="009B2283" w14:paraId="4540F2B2"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D9D9D9"/>
            <w:vAlign w:val="center"/>
            <w:hideMark/>
          </w:tcPr>
          <w:p w14:paraId="7243B5B7" w14:textId="77777777" w:rsidR="00133DF3" w:rsidRPr="004D6E50" w:rsidRDefault="00133DF3" w:rsidP="00D50F04">
            <w:pPr>
              <w:pStyle w:val="Tabletext"/>
              <w:spacing w:line="220" w:lineRule="exact"/>
              <w:ind w:left="321" w:hanging="284"/>
            </w:pPr>
            <w:r w:rsidRPr="004D6E50">
              <w:t>42. Inflation</w:t>
            </w:r>
          </w:p>
        </w:tc>
        <w:tc>
          <w:tcPr>
            <w:tcW w:w="186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2A9F2CA3" w14:textId="77777777" w:rsidR="00133DF3" w:rsidRPr="004D6E50" w:rsidRDefault="00133DF3" w:rsidP="00D50F04">
            <w:pPr>
              <w:pStyle w:val="Tabletext"/>
              <w:spacing w:line="220" w:lineRule="exact"/>
            </w:pPr>
            <w:r w:rsidRPr="004D6E50">
              <w:t> </w:t>
            </w:r>
          </w:p>
        </w:tc>
        <w:tc>
          <w:tcPr>
            <w:tcW w:w="982" w:type="dxa"/>
            <w:vMerge/>
            <w:tcBorders>
              <w:top w:val="single" w:sz="2" w:space="0" w:color="FFFFFF" w:themeColor="background1"/>
              <w:left w:val="single" w:sz="4" w:space="0" w:color="FFFFFF"/>
              <w:bottom w:val="single" w:sz="2" w:space="0" w:color="FFFFFF" w:themeColor="background1"/>
              <w:right w:val="single" w:sz="4" w:space="0" w:color="FFFFFF"/>
            </w:tcBorders>
            <w:vAlign w:val="center"/>
            <w:hideMark/>
          </w:tcPr>
          <w:p w14:paraId="37802622" w14:textId="77777777" w:rsidR="00133DF3" w:rsidRPr="004D6E50" w:rsidRDefault="00133DF3" w:rsidP="00D50F04">
            <w:pPr>
              <w:pStyle w:val="Tabletext"/>
              <w:spacing w:line="220" w:lineRule="exact"/>
              <w:jc w:val="center"/>
            </w:pPr>
          </w:p>
        </w:tc>
        <w:tc>
          <w:tcPr>
            <w:tcW w:w="71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4A43B3AD" w14:textId="77777777" w:rsidR="00133DF3" w:rsidRPr="004D6E50" w:rsidRDefault="00133DF3" w:rsidP="00D50F04">
            <w:pPr>
              <w:pStyle w:val="Tabletext"/>
              <w:spacing w:line="220" w:lineRule="exact"/>
              <w:jc w:val="center"/>
            </w:pPr>
            <w:r w:rsidRPr="004D6E50">
              <w:t>-5.1</w:t>
            </w:r>
          </w:p>
        </w:tc>
        <w:tc>
          <w:tcPr>
            <w:tcW w:w="906"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2250DF12" w14:textId="77777777" w:rsidR="00133DF3" w:rsidRPr="004D6E50" w:rsidRDefault="00133DF3" w:rsidP="00D50F04">
            <w:pPr>
              <w:pStyle w:val="Tabletext"/>
              <w:spacing w:line="220" w:lineRule="exact"/>
              <w:jc w:val="center"/>
            </w:pPr>
            <w:r w:rsidRPr="004D6E50">
              <w:t>-4.2</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D9D9D9"/>
            <w:vAlign w:val="center"/>
            <w:hideMark/>
          </w:tcPr>
          <w:p w14:paraId="138A8C9C" w14:textId="77777777" w:rsidR="00133DF3" w:rsidRPr="004D6E50" w:rsidRDefault="00133DF3" w:rsidP="00D50F04">
            <w:pPr>
              <w:pStyle w:val="Tabletext"/>
              <w:spacing w:line="220" w:lineRule="exact"/>
              <w:jc w:val="center"/>
            </w:pPr>
            <w:r w:rsidRPr="004D6E50">
              <w:t>-3.0</w:t>
            </w:r>
          </w:p>
        </w:tc>
      </w:tr>
      <w:tr w:rsidR="00133DF3" w:rsidRPr="009B2283" w14:paraId="16C8E136" w14:textId="77777777" w:rsidTr="008167F5">
        <w:trPr>
          <w:trHeight w:val="284"/>
          <w:jc w:val="center"/>
        </w:trPr>
        <w:tc>
          <w:tcPr>
            <w:tcW w:w="5569" w:type="dxa"/>
            <w:gridSpan w:val="2"/>
            <w:tcBorders>
              <w:top w:val="single" w:sz="2" w:space="0" w:color="FFFFFF" w:themeColor="background1"/>
              <w:left w:val="single" w:sz="2" w:space="0" w:color="FFFFFF" w:themeColor="background1"/>
              <w:bottom w:val="single" w:sz="2" w:space="0" w:color="FFFFFF" w:themeColor="background1"/>
              <w:right w:val="nil"/>
            </w:tcBorders>
            <w:shd w:val="clear" w:color="000000" w:fill="F2F2F2"/>
            <w:vAlign w:val="center"/>
            <w:hideMark/>
          </w:tcPr>
          <w:p w14:paraId="67AB6F14" w14:textId="77777777" w:rsidR="00133DF3" w:rsidRPr="004D6E50" w:rsidRDefault="00133DF3" w:rsidP="00D50F04">
            <w:pPr>
              <w:pStyle w:val="Tabletext"/>
              <w:spacing w:line="220" w:lineRule="exact"/>
              <w:ind w:left="321" w:hanging="284"/>
            </w:pPr>
            <w:r w:rsidRPr="004D6E50">
              <w:t>43. Stock-flow adjustment (= 36-38-39)</w:t>
            </w:r>
          </w:p>
        </w:tc>
        <w:tc>
          <w:tcPr>
            <w:tcW w:w="982" w:type="dxa"/>
            <w:vMerge/>
            <w:tcBorders>
              <w:top w:val="single" w:sz="2" w:space="0" w:color="FFFFFF" w:themeColor="background1"/>
              <w:left w:val="single" w:sz="4" w:space="0" w:color="FFFFFF"/>
              <w:bottom w:val="single" w:sz="2" w:space="0" w:color="FFFFFF" w:themeColor="background1"/>
              <w:right w:val="single" w:sz="4" w:space="0" w:color="FFFFFF"/>
            </w:tcBorders>
            <w:vAlign w:val="center"/>
            <w:hideMark/>
          </w:tcPr>
          <w:p w14:paraId="36D138FE" w14:textId="77777777" w:rsidR="00133DF3" w:rsidRPr="004D6E50" w:rsidRDefault="00133DF3" w:rsidP="00D50F04">
            <w:pPr>
              <w:pStyle w:val="Tabletext"/>
              <w:spacing w:line="220" w:lineRule="exact"/>
              <w:jc w:val="center"/>
            </w:pPr>
          </w:p>
        </w:tc>
        <w:tc>
          <w:tcPr>
            <w:tcW w:w="718"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1384433D" w14:textId="77777777" w:rsidR="00133DF3" w:rsidRPr="004D6E50" w:rsidRDefault="00133DF3" w:rsidP="00D50F04">
            <w:pPr>
              <w:pStyle w:val="Tabletext"/>
              <w:spacing w:line="220" w:lineRule="exact"/>
              <w:jc w:val="center"/>
            </w:pPr>
            <w:r w:rsidRPr="004D6E50">
              <w:t>-0.3</w:t>
            </w:r>
          </w:p>
        </w:tc>
        <w:tc>
          <w:tcPr>
            <w:tcW w:w="906" w:type="dxa"/>
            <w:tcBorders>
              <w:top w:val="single" w:sz="2" w:space="0" w:color="FFFFFF" w:themeColor="background1"/>
              <w:left w:val="nil"/>
              <w:bottom w:val="single" w:sz="2" w:space="0" w:color="FFFFFF" w:themeColor="background1"/>
              <w:right w:val="nil"/>
            </w:tcBorders>
            <w:shd w:val="clear" w:color="000000" w:fill="F2F2F2"/>
            <w:vAlign w:val="center"/>
            <w:hideMark/>
          </w:tcPr>
          <w:p w14:paraId="54144244" w14:textId="77777777" w:rsidR="00133DF3" w:rsidRPr="004D6E50" w:rsidRDefault="00133DF3" w:rsidP="00D50F04">
            <w:pPr>
              <w:pStyle w:val="Tabletext"/>
              <w:spacing w:line="220" w:lineRule="exact"/>
              <w:jc w:val="center"/>
            </w:pPr>
            <w:r w:rsidRPr="004D6E50">
              <w:t>-0.2</w:t>
            </w:r>
          </w:p>
        </w:tc>
        <w:tc>
          <w:tcPr>
            <w:tcW w:w="727" w:type="dxa"/>
            <w:tcBorders>
              <w:top w:val="single" w:sz="2" w:space="0" w:color="FFFFFF" w:themeColor="background1"/>
              <w:left w:val="nil"/>
              <w:bottom w:val="single" w:sz="2" w:space="0" w:color="FFFFFF" w:themeColor="background1"/>
              <w:right w:val="single" w:sz="2" w:space="0" w:color="FFFFFF" w:themeColor="background1"/>
            </w:tcBorders>
            <w:shd w:val="clear" w:color="000000" w:fill="F2F2F2"/>
            <w:vAlign w:val="center"/>
            <w:hideMark/>
          </w:tcPr>
          <w:p w14:paraId="283F1301" w14:textId="77777777" w:rsidR="00133DF3" w:rsidRPr="004D6E50" w:rsidRDefault="00133DF3" w:rsidP="00D50F04">
            <w:pPr>
              <w:pStyle w:val="Tabletext"/>
              <w:spacing w:line="220" w:lineRule="exact"/>
              <w:jc w:val="center"/>
            </w:pPr>
            <w:r w:rsidRPr="004D6E50">
              <w:t>-1.6</w:t>
            </w:r>
          </w:p>
        </w:tc>
      </w:tr>
      <w:tr w:rsidR="00133DF3" w:rsidRPr="005B5A1A" w14:paraId="388747A1" w14:textId="77777777" w:rsidTr="008167F5">
        <w:trPr>
          <w:trHeight w:val="284"/>
          <w:jc w:val="center"/>
        </w:trPr>
        <w:tc>
          <w:tcPr>
            <w:tcW w:w="3701" w:type="dxa"/>
            <w:tcBorders>
              <w:top w:val="single" w:sz="2" w:space="0" w:color="FFFFFF" w:themeColor="background1"/>
              <w:left w:val="single" w:sz="2" w:space="0" w:color="FFFFFF" w:themeColor="background1"/>
              <w:bottom w:val="single" w:sz="2" w:space="0" w:color="FFFFFF" w:themeColor="background1"/>
              <w:right w:val="nil"/>
            </w:tcBorders>
            <w:shd w:val="clear" w:color="000000" w:fill="D9D9D9"/>
            <w:vAlign w:val="center"/>
            <w:hideMark/>
          </w:tcPr>
          <w:p w14:paraId="337491E9" w14:textId="77777777" w:rsidR="00133DF3" w:rsidRPr="004D6E50" w:rsidRDefault="00133DF3" w:rsidP="00D50F04">
            <w:pPr>
              <w:pStyle w:val="Tabletext"/>
              <w:spacing w:line="220" w:lineRule="exact"/>
              <w:ind w:left="321" w:hanging="284"/>
            </w:pPr>
            <w:r w:rsidRPr="004D6E50">
              <w:t xml:space="preserve"> </w:t>
            </w:r>
          </w:p>
        </w:tc>
        <w:tc>
          <w:tcPr>
            <w:tcW w:w="1868" w:type="dxa"/>
            <w:tcBorders>
              <w:top w:val="single" w:sz="2" w:space="0" w:color="FFFFFF" w:themeColor="background1"/>
              <w:left w:val="nil"/>
              <w:bottom w:val="single" w:sz="2" w:space="0" w:color="FFFFFF" w:themeColor="background1"/>
              <w:right w:val="nil"/>
            </w:tcBorders>
            <w:shd w:val="clear" w:color="000000" w:fill="D9D9D9"/>
            <w:vAlign w:val="center"/>
            <w:hideMark/>
          </w:tcPr>
          <w:p w14:paraId="1A0E6174" w14:textId="77777777" w:rsidR="00133DF3" w:rsidRPr="004D6E50" w:rsidRDefault="00133DF3" w:rsidP="00D50F04">
            <w:pPr>
              <w:pStyle w:val="Tabletext"/>
              <w:spacing w:line="220" w:lineRule="exact"/>
            </w:pPr>
            <w:r w:rsidRPr="004D6E50">
              <w:t> </w:t>
            </w:r>
          </w:p>
        </w:tc>
        <w:tc>
          <w:tcPr>
            <w:tcW w:w="982" w:type="dxa"/>
            <w:vMerge/>
            <w:tcBorders>
              <w:top w:val="single" w:sz="2" w:space="0" w:color="FFFFFF" w:themeColor="background1"/>
              <w:left w:val="single" w:sz="4" w:space="0" w:color="FFFFFF"/>
              <w:bottom w:val="single" w:sz="2" w:space="0" w:color="FFFFFF" w:themeColor="background1"/>
              <w:right w:val="single" w:sz="4" w:space="0" w:color="FFFFFF"/>
            </w:tcBorders>
            <w:vAlign w:val="center"/>
            <w:hideMark/>
          </w:tcPr>
          <w:p w14:paraId="34BD4F65" w14:textId="77777777" w:rsidR="00133DF3" w:rsidRPr="004D6E50" w:rsidRDefault="00133DF3" w:rsidP="00D50F04">
            <w:pPr>
              <w:pStyle w:val="Tabletext"/>
              <w:spacing w:line="220" w:lineRule="exact"/>
              <w:jc w:val="center"/>
            </w:pPr>
          </w:p>
        </w:tc>
        <w:tc>
          <w:tcPr>
            <w:tcW w:w="2351" w:type="dxa"/>
            <w:gridSpan w:val="3"/>
            <w:tcBorders>
              <w:top w:val="single" w:sz="2" w:space="0" w:color="FFFFFF" w:themeColor="background1"/>
              <w:left w:val="nil"/>
              <w:bottom w:val="single" w:sz="2" w:space="0" w:color="FFFFFF" w:themeColor="background1"/>
              <w:right w:val="single" w:sz="2" w:space="0" w:color="FFFFFF" w:themeColor="background1"/>
            </w:tcBorders>
            <w:shd w:val="clear" w:color="000000" w:fill="D9D9D9"/>
            <w:vAlign w:val="center"/>
            <w:hideMark/>
          </w:tcPr>
          <w:p w14:paraId="5D9BAEA1" w14:textId="77777777" w:rsidR="00133DF3" w:rsidRPr="004D6E50" w:rsidRDefault="00133DF3" w:rsidP="00D50F04">
            <w:pPr>
              <w:pStyle w:val="Tabletext"/>
              <w:spacing w:line="220" w:lineRule="exact"/>
              <w:jc w:val="center"/>
            </w:pPr>
            <w:r w:rsidRPr="004D6E50">
              <w:t>%</w:t>
            </w:r>
          </w:p>
        </w:tc>
      </w:tr>
      <w:tr w:rsidR="00133DF3" w:rsidRPr="009B2283" w14:paraId="02FC2363" w14:textId="77777777" w:rsidTr="008167F5">
        <w:trPr>
          <w:trHeight w:val="284"/>
          <w:jc w:val="center"/>
        </w:trPr>
        <w:tc>
          <w:tcPr>
            <w:tcW w:w="3701" w:type="dxa"/>
            <w:tcBorders>
              <w:top w:val="single" w:sz="2" w:space="0" w:color="FFFFFF" w:themeColor="background1"/>
              <w:left w:val="single" w:sz="2" w:space="0" w:color="FFFFFF" w:themeColor="background1"/>
              <w:right w:val="nil"/>
            </w:tcBorders>
            <w:shd w:val="clear" w:color="000000" w:fill="F2F2F2"/>
            <w:vAlign w:val="center"/>
            <w:hideMark/>
          </w:tcPr>
          <w:p w14:paraId="38D3CFF8" w14:textId="77777777" w:rsidR="00133DF3" w:rsidRPr="004D6E50" w:rsidRDefault="00133DF3" w:rsidP="00D50F04">
            <w:pPr>
              <w:pStyle w:val="Tabletext"/>
              <w:spacing w:line="220" w:lineRule="exact"/>
              <w:ind w:left="321" w:hanging="284"/>
            </w:pPr>
            <w:r w:rsidRPr="004D6E50">
              <w:t xml:space="preserve">44. p.m. Implicit interest rate on debt </w:t>
            </w:r>
            <w:r w:rsidRPr="004D6E50">
              <w:br/>
              <w:t>(= 14 / DEBT(t-1))</w:t>
            </w:r>
          </w:p>
        </w:tc>
        <w:tc>
          <w:tcPr>
            <w:tcW w:w="1868" w:type="dxa"/>
            <w:tcBorders>
              <w:top w:val="single" w:sz="2" w:space="0" w:color="FFFFFF" w:themeColor="background1"/>
              <w:left w:val="nil"/>
              <w:right w:val="nil"/>
            </w:tcBorders>
            <w:shd w:val="clear" w:color="000000" w:fill="F2F2F2"/>
            <w:vAlign w:val="center"/>
            <w:hideMark/>
          </w:tcPr>
          <w:p w14:paraId="30DE26D3" w14:textId="77777777" w:rsidR="00133DF3" w:rsidRPr="004D6E50" w:rsidRDefault="00133DF3" w:rsidP="00D50F04">
            <w:pPr>
              <w:pStyle w:val="Tabletext"/>
              <w:spacing w:line="220" w:lineRule="exact"/>
            </w:pPr>
            <w:r w:rsidRPr="004D6E50">
              <w:t> </w:t>
            </w:r>
          </w:p>
        </w:tc>
        <w:tc>
          <w:tcPr>
            <w:tcW w:w="982" w:type="dxa"/>
            <w:vMerge/>
            <w:tcBorders>
              <w:top w:val="single" w:sz="2" w:space="0" w:color="FFFFFF" w:themeColor="background1"/>
              <w:left w:val="single" w:sz="4" w:space="0" w:color="FFFFFF"/>
              <w:right w:val="single" w:sz="4" w:space="0" w:color="FFFFFF"/>
            </w:tcBorders>
            <w:vAlign w:val="center"/>
            <w:hideMark/>
          </w:tcPr>
          <w:p w14:paraId="55843C4D" w14:textId="77777777" w:rsidR="00133DF3" w:rsidRPr="004D6E50" w:rsidRDefault="00133DF3" w:rsidP="00D50F04">
            <w:pPr>
              <w:pStyle w:val="Tabletext"/>
              <w:spacing w:line="220" w:lineRule="exact"/>
              <w:jc w:val="center"/>
            </w:pPr>
          </w:p>
        </w:tc>
        <w:tc>
          <w:tcPr>
            <w:tcW w:w="718" w:type="dxa"/>
            <w:tcBorders>
              <w:top w:val="single" w:sz="2" w:space="0" w:color="FFFFFF" w:themeColor="background1"/>
              <w:left w:val="nil"/>
              <w:right w:val="nil"/>
            </w:tcBorders>
            <w:shd w:val="clear" w:color="000000" w:fill="F2F2F2"/>
            <w:vAlign w:val="center"/>
            <w:hideMark/>
          </w:tcPr>
          <w:p w14:paraId="4D0A3308" w14:textId="77777777" w:rsidR="00133DF3" w:rsidRPr="004D6E50" w:rsidRDefault="00133DF3" w:rsidP="00D50F04">
            <w:pPr>
              <w:pStyle w:val="Tabletext"/>
              <w:spacing w:line="220" w:lineRule="exact"/>
              <w:jc w:val="center"/>
            </w:pPr>
            <w:r w:rsidRPr="004D6E50">
              <w:t>2.2</w:t>
            </w:r>
          </w:p>
        </w:tc>
        <w:tc>
          <w:tcPr>
            <w:tcW w:w="906" w:type="dxa"/>
            <w:tcBorders>
              <w:top w:val="single" w:sz="2" w:space="0" w:color="FFFFFF" w:themeColor="background1"/>
              <w:left w:val="nil"/>
              <w:right w:val="nil"/>
            </w:tcBorders>
            <w:shd w:val="clear" w:color="000000" w:fill="F2F2F2"/>
            <w:vAlign w:val="center"/>
            <w:hideMark/>
          </w:tcPr>
          <w:p w14:paraId="1B54AAAD" w14:textId="77777777" w:rsidR="00133DF3" w:rsidRPr="004D6E50" w:rsidRDefault="00133DF3" w:rsidP="00D50F04">
            <w:pPr>
              <w:pStyle w:val="Tabletext"/>
              <w:spacing w:line="220" w:lineRule="exact"/>
              <w:jc w:val="center"/>
            </w:pPr>
            <w:r w:rsidRPr="004D6E50">
              <w:t>2.1</w:t>
            </w:r>
          </w:p>
        </w:tc>
        <w:tc>
          <w:tcPr>
            <w:tcW w:w="727" w:type="dxa"/>
            <w:tcBorders>
              <w:top w:val="single" w:sz="2" w:space="0" w:color="FFFFFF" w:themeColor="background1"/>
              <w:left w:val="nil"/>
              <w:right w:val="single" w:sz="2" w:space="0" w:color="FFFFFF" w:themeColor="background1"/>
            </w:tcBorders>
            <w:shd w:val="clear" w:color="000000" w:fill="F2F2F2"/>
            <w:vAlign w:val="center"/>
            <w:hideMark/>
          </w:tcPr>
          <w:p w14:paraId="1A24707D" w14:textId="77777777" w:rsidR="00133DF3" w:rsidRPr="004D6E50" w:rsidRDefault="00133DF3" w:rsidP="00D50F04">
            <w:pPr>
              <w:pStyle w:val="Tabletext"/>
              <w:spacing w:line="220" w:lineRule="exact"/>
              <w:jc w:val="center"/>
            </w:pPr>
            <w:r w:rsidRPr="004D6E50">
              <w:t>2.1</w:t>
            </w:r>
          </w:p>
        </w:tc>
      </w:tr>
      <w:tr w:rsidR="008167F5" w:rsidRPr="00B50871" w14:paraId="1F25EBFB" w14:textId="77777777" w:rsidTr="008167F5">
        <w:trPr>
          <w:trHeight w:val="284"/>
          <w:jc w:val="center"/>
        </w:trPr>
        <w:tc>
          <w:tcPr>
            <w:tcW w:w="3701" w:type="dxa"/>
            <w:shd w:val="clear" w:color="000000" w:fill="BFBFBF"/>
            <w:vAlign w:val="center"/>
            <w:hideMark/>
          </w:tcPr>
          <w:p w14:paraId="1DE63461" w14:textId="77777777" w:rsidR="008167F5" w:rsidRPr="004D6E50" w:rsidRDefault="008167F5" w:rsidP="008167F5">
            <w:pPr>
              <w:pStyle w:val="Tabletext"/>
              <w:spacing w:line="220" w:lineRule="exact"/>
              <w:ind w:left="321" w:hanging="284"/>
              <w:rPr>
                <w:b/>
                <w:sz w:val="24"/>
              </w:rPr>
            </w:pPr>
            <w:r w:rsidRPr="004D6E50">
              <w:rPr>
                <w:b/>
                <w:sz w:val="24"/>
              </w:rPr>
              <w:t>Defence expenditure</w:t>
            </w:r>
          </w:p>
        </w:tc>
        <w:tc>
          <w:tcPr>
            <w:tcW w:w="1868" w:type="dxa"/>
            <w:shd w:val="clear" w:color="000000" w:fill="BFBFBF"/>
            <w:vAlign w:val="center"/>
            <w:hideMark/>
          </w:tcPr>
          <w:p w14:paraId="2374358C" w14:textId="77777777" w:rsidR="008167F5" w:rsidRPr="004D6E50" w:rsidRDefault="008167F5" w:rsidP="008167F5">
            <w:pPr>
              <w:pStyle w:val="Tabletext"/>
              <w:spacing w:line="220" w:lineRule="exact"/>
              <w:rPr>
                <w:b/>
                <w:sz w:val="24"/>
              </w:rPr>
            </w:pPr>
            <w:r w:rsidRPr="004D6E50">
              <w:rPr>
                <w:b/>
                <w:sz w:val="24"/>
              </w:rPr>
              <w:t> </w:t>
            </w:r>
          </w:p>
        </w:tc>
        <w:tc>
          <w:tcPr>
            <w:tcW w:w="982" w:type="dxa"/>
            <w:shd w:val="clear" w:color="000000" w:fill="BFBFBF"/>
            <w:vAlign w:val="center"/>
            <w:hideMark/>
          </w:tcPr>
          <w:p w14:paraId="3C371134" w14:textId="2B7E8C9F" w:rsidR="008167F5" w:rsidRPr="004D6E50" w:rsidRDefault="008167F5" w:rsidP="008167F5">
            <w:pPr>
              <w:pStyle w:val="Tabletext"/>
              <w:spacing w:line="220" w:lineRule="exact"/>
              <w:jc w:val="center"/>
              <w:rPr>
                <w:b/>
                <w:sz w:val="24"/>
              </w:rPr>
            </w:pPr>
            <w:r>
              <w:t>bn EUR</w:t>
            </w:r>
          </w:p>
        </w:tc>
        <w:tc>
          <w:tcPr>
            <w:tcW w:w="2351" w:type="dxa"/>
            <w:gridSpan w:val="3"/>
            <w:shd w:val="clear" w:color="000000" w:fill="BFBFBF"/>
            <w:vAlign w:val="center"/>
            <w:hideMark/>
          </w:tcPr>
          <w:p w14:paraId="279BCD76" w14:textId="30E581E2" w:rsidR="008167F5" w:rsidRPr="004D6E50" w:rsidRDefault="008167F5" w:rsidP="008167F5">
            <w:pPr>
              <w:pStyle w:val="Tabletext"/>
              <w:spacing w:line="220" w:lineRule="exact"/>
              <w:jc w:val="center"/>
              <w:rPr>
                <w:b/>
                <w:sz w:val="24"/>
              </w:rPr>
            </w:pPr>
            <w:r w:rsidRPr="004D6E50">
              <w:t>% of GDP</w:t>
            </w:r>
          </w:p>
        </w:tc>
      </w:tr>
      <w:tr w:rsidR="008167F5" w:rsidRPr="009B2283" w14:paraId="7253488D" w14:textId="77777777" w:rsidTr="008167F5">
        <w:trPr>
          <w:trHeight w:val="284"/>
          <w:jc w:val="center"/>
        </w:trPr>
        <w:tc>
          <w:tcPr>
            <w:tcW w:w="3701" w:type="dxa"/>
            <w:tcBorders>
              <w:left w:val="single" w:sz="2" w:space="0" w:color="FFFFFF" w:themeColor="background1"/>
              <w:bottom w:val="single" w:sz="2" w:space="0" w:color="FFFFFF" w:themeColor="background1"/>
              <w:right w:val="nil"/>
            </w:tcBorders>
            <w:shd w:val="clear" w:color="000000" w:fill="F2F2F2"/>
            <w:vAlign w:val="center"/>
            <w:hideMark/>
          </w:tcPr>
          <w:p w14:paraId="0CDAB3EF" w14:textId="77777777" w:rsidR="008167F5" w:rsidRPr="004D6E50" w:rsidRDefault="008167F5" w:rsidP="008167F5">
            <w:pPr>
              <w:pStyle w:val="Tabletext"/>
              <w:spacing w:line="220" w:lineRule="exact"/>
              <w:ind w:left="321" w:hanging="284"/>
            </w:pPr>
            <w:r w:rsidRPr="004D6E50">
              <w:t>45. Total defence expenditure</w:t>
            </w:r>
          </w:p>
        </w:tc>
        <w:tc>
          <w:tcPr>
            <w:tcW w:w="1868" w:type="dxa"/>
            <w:tcBorders>
              <w:left w:val="nil"/>
              <w:bottom w:val="single" w:sz="2" w:space="0" w:color="FFFFFF" w:themeColor="background1"/>
              <w:right w:val="nil"/>
            </w:tcBorders>
            <w:shd w:val="clear" w:color="000000" w:fill="F2F2F2"/>
            <w:vAlign w:val="center"/>
            <w:hideMark/>
          </w:tcPr>
          <w:p w14:paraId="3D3590B2" w14:textId="77777777" w:rsidR="008167F5" w:rsidRPr="004D6E50" w:rsidRDefault="008167F5" w:rsidP="008167F5">
            <w:pPr>
              <w:pStyle w:val="Tabletext"/>
              <w:spacing w:line="220" w:lineRule="exact"/>
            </w:pPr>
            <w:r w:rsidRPr="004D6E50">
              <w:t>COFOG 2</w:t>
            </w:r>
          </w:p>
        </w:tc>
        <w:tc>
          <w:tcPr>
            <w:tcW w:w="982" w:type="dxa"/>
            <w:tcBorders>
              <w:left w:val="single" w:sz="4" w:space="0" w:color="FFFFFF"/>
              <w:bottom w:val="single" w:sz="2" w:space="0" w:color="FFFFFF" w:themeColor="background1"/>
              <w:right w:val="single" w:sz="4" w:space="0" w:color="FFFFFF"/>
            </w:tcBorders>
            <w:shd w:val="clear" w:color="000000" w:fill="F2F2F2"/>
            <w:vAlign w:val="center"/>
            <w:hideMark/>
          </w:tcPr>
          <w:p w14:paraId="4AFCD155" w14:textId="77777777" w:rsidR="008167F5" w:rsidRPr="004D6E50" w:rsidRDefault="008167F5" w:rsidP="008167F5">
            <w:pPr>
              <w:pStyle w:val="Tabletext"/>
              <w:spacing w:line="220" w:lineRule="exact"/>
              <w:jc w:val="center"/>
            </w:pPr>
            <w:r w:rsidRPr="004D6E50">
              <w:t>5.3</w:t>
            </w:r>
          </w:p>
        </w:tc>
        <w:tc>
          <w:tcPr>
            <w:tcW w:w="718" w:type="dxa"/>
            <w:tcBorders>
              <w:left w:val="nil"/>
              <w:bottom w:val="single" w:sz="2" w:space="0" w:color="FFFFFF" w:themeColor="background1"/>
              <w:right w:val="nil"/>
            </w:tcBorders>
            <w:shd w:val="clear" w:color="000000" w:fill="F2F2F2"/>
            <w:vAlign w:val="center"/>
            <w:hideMark/>
          </w:tcPr>
          <w:p w14:paraId="5FF78D75" w14:textId="77777777" w:rsidR="008167F5" w:rsidRPr="004D6E50" w:rsidRDefault="008167F5" w:rsidP="008167F5">
            <w:pPr>
              <w:pStyle w:val="Tabletext"/>
              <w:spacing w:line="220" w:lineRule="exact"/>
              <w:jc w:val="center"/>
            </w:pPr>
            <w:r w:rsidRPr="004D6E50">
              <w:t>2.2</w:t>
            </w:r>
          </w:p>
        </w:tc>
        <w:tc>
          <w:tcPr>
            <w:tcW w:w="906" w:type="dxa"/>
            <w:tcBorders>
              <w:left w:val="nil"/>
              <w:bottom w:val="single" w:sz="2" w:space="0" w:color="FFFFFF" w:themeColor="background1"/>
              <w:right w:val="nil"/>
            </w:tcBorders>
            <w:shd w:val="clear" w:color="000000" w:fill="F2F2F2"/>
            <w:vAlign w:val="center"/>
            <w:hideMark/>
          </w:tcPr>
          <w:p w14:paraId="36FAAAB4" w14:textId="77777777" w:rsidR="008167F5" w:rsidRPr="004D6E50" w:rsidRDefault="008167F5" w:rsidP="008167F5">
            <w:pPr>
              <w:pStyle w:val="Tabletext"/>
              <w:spacing w:line="220" w:lineRule="exact"/>
              <w:jc w:val="center"/>
            </w:pPr>
            <w:r w:rsidRPr="004D6E50">
              <w:t>2.3</w:t>
            </w:r>
          </w:p>
        </w:tc>
        <w:tc>
          <w:tcPr>
            <w:tcW w:w="727" w:type="dxa"/>
            <w:tcBorders>
              <w:left w:val="nil"/>
              <w:bottom w:val="single" w:sz="2" w:space="0" w:color="FFFFFF" w:themeColor="background1"/>
              <w:right w:val="single" w:sz="2" w:space="0" w:color="FFFFFF" w:themeColor="background1"/>
            </w:tcBorders>
            <w:shd w:val="clear" w:color="000000" w:fill="F2F2F2"/>
            <w:vAlign w:val="center"/>
            <w:hideMark/>
          </w:tcPr>
          <w:p w14:paraId="49739621" w14:textId="77777777" w:rsidR="008167F5" w:rsidRPr="004D6E50" w:rsidRDefault="008167F5" w:rsidP="008167F5">
            <w:pPr>
              <w:pStyle w:val="Tabletext"/>
              <w:spacing w:line="220" w:lineRule="exact"/>
              <w:jc w:val="center"/>
            </w:pPr>
            <w:r w:rsidRPr="004D6E50">
              <w:t>2.6</w:t>
            </w:r>
          </w:p>
        </w:tc>
      </w:tr>
      <w:tr w:rsidR="008167F5" w:rsidRPr="009B2283" w14:paraId="77C8D40F" w14:textId="77777777" w:rsidTr="008167F5">
        <w:trPr>
          <w:trHeight w:val="284"/>
          <w:jc w:val="center"/>
        </w:trPr>
        <w:tc>
          <w:tcPr>
            <w:tcW w:w="3701" w:type="dxa"/>
            <w:tcBorders>
              <w:top w:val="single" w:sz="2" w:space="0" w:color="FFFFFF" w:themeColor="background1"/>
              <w:left w:val="single" w:sz="2" w:space="0" w:color="FFFFFF" w:themeColor="background1"/>
              <w:bottom w:val="single" w:sz="18" w:space="0" w:color="4F81BD" w:themeColor="accent1"/>
              <w:right w:val="nil"/>
            </w:tcBorders>
            <w:shd w:val="clear" w:color="000000" w:fill="D9D9D9"/>
            <w:vAlign w:val="center"/>
            <w:hideMark/>
          </w:tcPr>
          <w:p w14:paraId="00133DE4" w14:textId="77777777" w:rsidR="008167F5" w:rsidRPr="004D6E50" w:rsidRDefault="008167F5" w:rsidP="008167F5">
            <w:pPr>
              <w:pStyle w:val="Tabletext"/>
              <w:spacing w:line="220" w:lineRule="exact"/>
              <w:ind w:left="321" w:hanging="284"/>
            </w:pPr>
            <w:r w:rsidRPr="004D6E50">
              <w:t>46. Of which: Defence investment</w:t>
            </w:r>
          </w:p>
        </w:tc>
        <w:tc>
          <w:tcPr>
            <w:tcW w:w="1868" w:type="dxa"/>
            <w:tcBorders>
              <w:top w:val="single" w:sz="2" w:space="0" w:color="FFFFFF" w:themeColor="background1"/>
              <w:left w:val="nil"/>
              <w:bottom w:val="single" w:sz="18" w:space="0" w:color="4F81BD" w:themeColor="accent1"/>
              <w:right w:val="nil"/>
            </w:tcBorders>
            <w:shd w:val="clear" w:color="000000" w:fill="D9D9D9"/>
            <w:vAlign w:val="center"/>
            <w:hideMark/>
          </w:tcPr>
          <w:p w14:paraId="7D3A0042" w14:textId="77777777" w:rsidR="008167F5" w:rsidRPr="004D6E50" w:rsidRDefault="008167F5" w:rsidP="008167F5">
            <w:pPr>
              <w:pStyle w:val="Tabletext"/>
              <w:spacing w:line="220" w:lineRule="exact"/>
            </w:pPr>
            <w:r w:rsidRPr="004D6E50">
              <w:t>COFOG 2, P.51g</w:t>
            </w:r>
          </w:p>
        </w:tc>
        <w:tc>
          <w:tcPr>
            <w:tcW w:w="982" w:type="dxa"/>
            <w:tcBorders>
              <w:top w:val="single" w:sz="2" w:space="0" w:color="FFFFFF" w:themeColor="background1"/>
              <w:left w:val="single" w:sz="4" w:space="0" w:color="FFFFFF"/>
              <w:bottom w:val="single" w:sz="18" w:space="0" w:color="4F81BD" w:themeColor="accent1"/>
              <w:right w:val="single" w:sz="4" w:space="0" w:color="FFFFFF"/>
            </w:tcBorders>
            <w:shd w:val="clear" w:color="000000" w:fill="D9D9D9"/>
            <w:vAlign w:val="center"/>
            <w:hideMark/>
          </w:tcPr>
          <w:p w14:paraId="3528D92B" w14:textId="77777777" w:rsidR="008167F5" w:rsidRPr="004D6E50" w:rsidRDefault="008167F5" w:rsidP="008167F5">
            <w:pPr>
              <w:pStyle w:val="Tabletext"/>
              <w:spacing w:line="220" w:lineRule="exact"/>
              <w:jc w:val="center"/>
            </w:pPr>
            <w:r w:rsidRPr="004D6E50">
              <w:t>0.9</w:t>
            </w:r>
          </w:p>
        </w:tc>
        <w:tc>
          <w:tcPr>
            <w:tcW w:w="718" w:type="dxa"/>
            <w:tcBorders>
              <w:top w:val="single" w:sz="2" w:space="0" w:color="FFFFFF" w:themeColor="background1"/>
              <w:left w:val="nil"/>
              <w:bottom w:val="single" w:sz="18" w:space="0" w:color="4F81BD" w:themeColor="accent1"/>
              <w:right w:val="nil"/>
            </w:tcBorders>
            <w:shd w:val="clear" w:color="000000" w:fill="D9D9D9"/>
            <w:vAlign w:val="center"/>
            <w:hideMark/>
          </w:tcPr>
          <w:p w14:paraId="7B200B2D" w14:textId="77777777" w:rsidR="008167F5" w:rsidRPr="004D6E50" w:rsidRDefault="008167F5" w:rsidP="008167F5">
            <w:pPr>
              <w:pStyle w:val="Tabletext"/>
              <w:spacing w:line="220" w:lineRule="exact"/>
              <w:jc w:val="center"/>
            </w:pPr>
            <w:r w:rsidRPr="004D6E50">
              <w:t>0.4</w:t>
            </w:r>
          </w:p>
        </w:tc>
        <w:tc>
          <w:tcPr>
            <w:tcW w:w="906" w:type="dxa"/>
            <w:tcBorders>
              <w:top w:val="single" w:sz="2" w:space="0" w:color="FFFFFF" w:themeColor="background1"/>
              <w:left w:val="nil"/>
              <w:bottom w:val="single" w:sz="18" w:space="0" w:color="4F81BD" w:themeColor="accent1"/>
              <w:right w:val="nil"/>
            </w:tcBorders>
            <w:shd w:val="clear" w:color="000000" w:fill="D9D9D9"/>
            <w:vAlign w:val="center"/>
            <w:hideMark/>
          </w:tcPr>
          <w:p w14:paraId="1759C545" w14:textId="77777777" w:rsidR="008167F5" w:rsidRPr="004D6E50" w:rsidRDefault="008167F5" w:rsidP="008167F5">
            <w:pPr>
              <w:pStyle w:val="Tabletext"/>
              <w:spacing w:line="220" w:lineRule="exact"/>
              <w:jc w:val="center"/>
            </w:pPr>
            <w:r w:rsidRPr="004D6E50">
              <w:t>0.6</w:t>
            </w:r>
          </w:p>
        </w:tc>
        <w:tc>
          <w:tcPr>
            <w:tcW w:w="727" w:type="dxa"/>
            <w:tcBorders>
              <w:top w:val="single" w:sz="2" w:space="0" w:color="FFFFFF" w:themeColor="background1"/>
              <w:left w:val="nil"/>
              <w:bottom w:val="single" w:sz="18" w:space="0" w:color="4F81BD" w:themeColor="accent1"/>
              <w:right w:val="single" w:sz="2" w:space="0" w:color="FFFFFF" w:themeColor="background1"/>
            </w:tcBorders>
            <w:shd w:val="clear" w:color="000000" w:fill="D9D9D9"/>
            <w:vAlign w:val="center"/>
            <w:hideMark/>
          </w:tcPr>
          <w:p w14:paraId="69F1AEB9" w14:textId="77777777" w:rsidR="008167F5" w:rsidRPr="004D6E50" w:rsidRDefault="008167F5" w:rsidP="008167F5">
            <w:pPr>
              <w:pStyle w:val="Tabletext"/>
              <w:spacing w:line="220" w:lineRule="exact"/>
              <w:jc w:val="center"/>
            </w:pPr>
            <w:r w:rsidRPr="004D6E50">
              <w:t>0.8</w:t>
            </w:r>
          </w:p>
        </w:tc>
      </w:tr>
    </w:tbl>
    <w:p w14:paraId="6E7C3005" w14:textId="77777777" w:rsidR="00133DF3" w:rsidRDefault="00133DF3" w:rsidP="00582231">
      <w:pPr>
        <w:pStyle w:val="2"/>
        <w:numPr>
          <w:ilvl w:val="1"/>
          <w:numId w:val="2"/>
        </w:numPr>
        <w:spacing w:before="600" w:after="1440"/>
        <w:ind w:left="567" w:hanging="567"/>
        <w:rPr>
          <w:lang w:val="en-US"/>
        </w:rPr>
      </w:pPr>
      <w:bookmarkStart w:id="57" w:name="_Toc211249671"/>
      <w:bookmarkStart w:id="58" w:name="_Toc211418444"/>
      <w:r>
        <w:rPr>
          <w:lang w:val="en-US"/>
        </w:rPr>
        <w:lastRenderedPageBreak/>
        <w:t>Discretionary measures</w:t>
      </w:r>
      <w:bookmarkEnd w:id="57"/>
      <w:bookmarkEnd w:id="58"/>
    </w:p>
    <w:p w14:paraId="2D4B114D" w14:textId="77777777" w:rsidR="00133DF3" w:rsidRDefault="00133DF3" w:rsidP="00133DF3">
      <w:pPr>
        <w:rPr>
          <w:lang w:val="en-US"/>
        </w:rPr>
      </w:pPr>
      <w:r>
        <w:rPr>
          <w:lang w:val="en-US"/>
        </w:rPr>
        <w:t>The fiscal interventions for 2026 include a series of reforms primarily aimed at boosting income and reducing the tax burden, particularly for the middle class, the families with children and the young people. The main interventions include:</w:t>
      </w:r>
    </w:p>
    <w:p w14:paraId="33E37696" w14:textId="77777777" w:rsidR="00133DF3" w:rsidRPr="004E48C2" w:rsidRDefault="00133DF3" w:rsidP="00133DF3">
      <w:pPr>
        <w:pStyle w:val="a4"/>
        <w:numPr>
          <w:ilvl w:val="0"/>
          <w:numId w:val="20"/>
        </w:numPr>
        <w:rPr>
          <w:lang w:val="en-US"/>
        </w:rPr>
      </w:pPr>
      <w:r>
        <w:rPr>
          <w:lang w:val="en-US"/>
        </w:rPr>
        <w:t>T</w:t>
      </w:r>
      <w:r w:rsidRPr="004E48C2">
        <w:rPr>
          <w:lang w:val="en-US"/>
        </w:rPr>
        <w:t>he structural reform of the income tax scale for employees, pensioners, farmers and self-employed individuals.</w:t>
      </w:r>
    </w:p>
    <w:p w14:paraId="38493A80" w14:textId="77777777" w:rsidR="00133DF3" w:rsidRPr="00385F38" w:rsidRDefault="00133DF3" w:rsidP="00133DF3">
      <w:pPr>
        <w:pStyle w:val="a4"/>
        <w:numPr>
          <w:ilvl w:val="0"/>
          <w:numId w:val="20"/>
        </w:numPr>
        <w:rPr>
          <w:lang w:val="en-US"/>
        </w:rPr>
      </w:pPr>
      <w:r>
        <w:rPr>
          <w:rStyle w:val="rynqvb"/>
          <w:lang w:val="en-US"/>
        </w:rPr>
        <w:t>T</w:t>
      </w:r>
      <w:r w:rsidRPr="00385F38">
        <w:rPr>
          <w:rStyle w:val="rynqvb"/>
          <w:lang w:val="en-US"/>
        </w:rPr>
        <w:t>he gradual elimination of the pensioners’ personal difference offset</w:t>
      </w:r>
      <w:r>
        <w:rPr>
          <w:rStyle w:val="rynqvb"/>
          <w:lang w:val="en-US"/>
        </w:rPr>
        <w:t>.</w:t>
      </w:r>
    </w:p>
    <w:p w14:paraId="6C560A74" w14:textId="77777777" w:rsidR="00133DF3" w:rsidRDefault="00133DF3" w:rsidP="00133DF3">
      <w:pPr>
        <w:pStyle w:val="a4"/>
        <w:numPr>
          <w:ilvl w:val="0"/>
          <w:numId w:val="21"/>
        </w:numPr>
        <w:rPr>
          <w:lang w:val="en-US"/>
        </w:rPr>
      </w:pPr>
      <w:r>
        <w:rPr>
          <w:lang w:val="en-US"/>
        </w:rPr>
        <w:t xml:space="preserve">The reform of </w:t>
      </w:r>
      <w:r w:rsidRPr="004E48C2">
        <w:rPr>
          <w:lang w:val="en-US"/>
        </w:rPr>
        <w:t xml:space="preserve">the special wage grid of the Armed and Security Forces, as well as wage interventions for other employee categories. </w:t>
      </w:r>
    </w:p>
    <w:p w14:paraId="3BDBE8B2" w14:textId="77777777" w:rsidR="00133DF3" w:rsidRPr="00480EF8" w:rsidRDefault="00133DF3" w:rsidP="00133DF3">
      <w:pPr>
        <w:pStyle w:val="a4"/>
        <w:numPr>
          <w:ilvl w:val="0"/>
          <w:numId w:val="21"/>
        </w:numPr>
        <w:rPr>
          <w:lang w:val="en-US"/>
        </w:rPr>
      </w:pPr>
      <w:r>
        <w:rPr>
          <w:lang w:val="en-US"/>
        </w:rPr>
        <w:t>T</w:t>
      </w:r>
      <w:r w:rsidRPr="00480EF8">
        <w:rPr>
          <w:lang w:val="en-US"/>
        </w:rPr>
        <w:t xml:space="preserve">he gradual abolition of the property tax for small </w:t>
      </w:r>
      <w:r>
        <w:rPr>
          <w:lang w:val="en-US"/>
        </w:rPr>
        <w:t>communities</w:t>
      </w:r>
      <w:r w:rsidRPr="00480EF8">
        <w:rPr>
          <w:lang w:val="en-US"/>
        </w:rPr>
        <w:t xml:space="preserve"> up to 1,500 residents.</w:t>
      </w:r>
    </w:p>
    <w:p w14:paraId="7E7AC582" w14:textId="77777777" w:rsidR="00133DF3" w:rsidRPr="00480EF8" w:rsidRDefault="00133DF3" w:rsidP="00133DF3">
      <w:pPr>
        <w:pStyle w:val="a4"/>
        <w:numPr>
          <w:ilvl w:val="0"/>
          <w:numId w:val="21"/>
        </w:numPr>
        <w:rPr>
          <w:lang w:val="en-US"/>
        </w:rPr>
      </w:pPr>
      <w:r>
        <w:rPr>
          <w:lang w:val="en-US"/>
        </w:rPr>
        <w:t>The 30% reduction of VAT on remote islands with population up to 20,000.</w:t>
      </w:r>
    </w:p>
    <w:p w14:paraId="46F80C0E" w14:textId="77777777" w:rsidR="00133DF3" w:rsidRPr="004E48C2" w:rsidRDefault="00133DF3" w:rsidP="00133DF3">
      <w:pPr>
        <w:pStyle w:val="a4"/>
        <w:numPr>
          <w:ilvl w:val="0"/>
          <w:numId w:val="21"/>
        </w:numPr>
        <w:rPr>
          <w:lang w:val="en-US"/>
        </w:rPr>
      </w:pPr>
      <w:r>
        <w:rPr>
          <w:lang w:val="en-US"/>
        </w:rPr>
        <w:t>The introduction of an intermediate 25% tax rate on in</w:t>
      </w:r>
      <w:r w:rsidRPr="004E48C2">
        <w:rPr>
          <w:lang w:val="en-US"/>
        </w:rPr>
        <w:t xml:space="preserve">come from real estate. </w:t>
      </w:r>
    </w:p>
    <w:p w14:paraId="34F34A6E" w14:textId="77777777" w:rsidR="00133DF3" w:rsidRPr="00385F38" w:rsidRDefault="00133DF3" w:rsidP="00133DF3">
      <w:pPr>
        <w:pStyle w:val="a4"/>
        <w:numPr>
          <w:ilvl w:val="0"/>
          <w:numId w:val="21"/>
        </w:numPr>
        <w:rPr>
          <w:lang w:val="en-US"/>
        </w:rPr>
      </w:pPr>
      <w:r>
        <w:rPr>
          <w:lang w:val="en-US"/>
        </w:rPr>
        <w:t>T</w:t>
      </w:r>
      <w:r w:rsidRPr="007F1C05">
        <w:rPr>
          <w:lang w:val="en-US"/>
        </w:rPr>
        <w:t xml:space="preserve">he reform of the objective living expenses tax system. </w:t>
      </w:r>
    </w:p>
    <w:p w14:paraId="747B3387" w14:textId="77777777" w:rsidR="00133DF3" w:rsidRDefault="00133DF3" w:rsidP="00133DF3">
      <w:pPr>
        <w:rPr>
          <w:lang w:val="en-US"/>
        </w:rPr>
      </w:pPr>
      <w:r>
        <w:rPr>
          <w:lang w:val="en-US"/>
        </w:rPr>
        <w:t>The total cost of the new measures for 2026 amounts to €1.76 billion, with an additional cost of €0.7 billion for 2027.</w:t>
      </w:r>
    </w:p>
    <w:p w14:paraId="3574AC84" w14:textId="77777777" w:rsidR="00133DF3" w:rsidRDefault="00133DF3" w:rsidP="00133DF3">
      <w:pPr>
        <w:rPr>
          <w:lang w:val="en-US"/>
        </w:rPr>
      </w:pPr>
      <w:r>
        <w:rPr>
          <w:lang w:val="en-US"/>
        </w:rPr>
        <w:t>In addition, a further increase of the private sector’s minimum wage is envisaged from April 2026, aiming to reach €950 in April 2027, from the current level of €880. This increase affects the unemployment benefits, the maternity allowances, the seniority allowances, the overtime compensation and the public sector wage grid.</w:t>
      </w:r>
    </w:p>
    <w:p w14:paraId="580B2223" w14:textId="77777777" w:rsidR="00133DF3" w:rsidRDefault="00133DF3" w:rsidP="00133DF3">
      <w:pPr>
        <w:rPr>
          <w:lang w:val="en-US"/>
        </w:rPr>
      </w:pPr>
      <w:r>
        <w:rPr>
          <w:lang w:val="en-US"/>
        </w:rPr>
        <w:t>Additional interventions include:</w:t>
      </w:r>
    </w:p>
    <w:p w14:paraId="3E297EEB" w14:textId="77777777" w:rsidR="00133DF3" w:rsidRPr="004E48C2" w:rsidRDefault="00133DF3" w:rsidP="00133DF3">
      <w:pPr>
        <w:pStyle w:val="a4"/>
        <w:numPr>
          <w:ilvl w:val="0"/>
          <w:numId w:val="22"/>
        </w:numPr>
        <w:rPr>
          <w:lang w:val="en-US"/>
        </w:rPr>
      </w:pPr>
      <w:r>
        <w:rPr>
          <w:lang w:val="en-US"/>
        </w:rPr>
        <w:t>T</w:t>
      </w:r>
      <w:r w:rsidRPr="004E48C2">
        <w:rPr>
          <w:lang w:val="en-US"/>
        </w:rPr>
        <w:t>he extension of the "Marietta Giannakou" program for the renovation and upgrading of school infrastructure, after the €300 million donation from the four systemic banks, raising the total budget to €650 million, aiming to implement projects in more than 2,500 school units.</w:t>
      </w:r>
    </w:p>
    <w:p w14:paraId="58F6CDEB" w14:textId="77777777" w:rsidR="00133DF3" w:rsidRPr="004E48C2" w:rsidRDefault="00133DF3" w:rsidP="00133DF3">
      <w:pPr>
        <w:pStyle w:val="a4"/>
        <w:numPr>
          <w:ilvl w:val="0"/>
          <w:numId w:val="22"/>
        </w:numPr>
        <w:rPr>
          <w:lang w:val="en-US"/>
        </w:rPr>
      </w:pPr>
      <w:r>
        <w:rPr>
          <w:lang w:val="en-US"/>
        </w:rPr>
        <w:t>T</w:t>
      </w:r>
      <w:r w:rsidRPr="004E48C2">
        <w:rPr>
          <w:lang w:val="en-US"/>
        </w:rPr>
        <w:t>he</w:t>
      </w:r>
      <w:r>
        <w:rPr>
          <w:lang w:val="en-US"/>
        </w:rPr>
        <w:t xml:space="preserve"> </w:t>
      </w:r>
      <w:r w:rsidRPr="004E48C2">
        <w:rPr>
          <w:lang w:val="en-US"/>
        </w:rPr>
        <w:t>establishment of 100% super</w:t>
      </w:r>
      <w:r>
        <w:rPr>
          <w:lang w:val="en-US"/>
        </w:rPr>
        <w:t xml:space="preserve"> tax </w:t>
      </w:r>
      <w:r w:rsidRPr="004E48C2">
        <w:rPr>
          <w:lang w:val="en-US"/>
        </w:rPr>
        <w:t>deductions for investment expenditures in strategic sectors, such as defen</w:t>
      </w:r>
      <w:r>
        <w:rPr>
          <w:lang w:val="en-US"/>
        </w:rPr>
        <w:t>c</w:t>
      </w:r>
      <w:r w:rsidRPr="004E48C2">
        <w:rPr>
          <w:lang w:val="en-US"/>
        </w:rPr>
        <w:t>e and the construction of vehicles, aircraft and their components.</w:t>
      </w:r>
    </w:p>
    <w:p w14:paraId="0F469454" w14:textId="3CBB7375" w:rsidR="00133DF3" w:rsidRDefault="00133DF3" w:rsidP="00133DF3">
      <w:pPr>
        <w:rPr>
          <w:lang w:val="en-US"/>
        </w:rPr>
      </w:pPr>
      <w:r>
        <w:rPr>
          <w:lang w:val="en-US"/>
        </w:rPr>
        <w:fldChar w:fldCharType="begin"/>
      </w:r>
      <w:r>
        <w:rPr>
          <w:lang w:val="en-US"/>
        </w:rPr>
        <w:instrText xml:space="preserve"> REF _Ref211082556 \h </w:instrText>
      </w:r>
      <w:r>
        <w:rPr>
          <w:lang w:val="en-US"/>
        </w:rPr>
      </w:r>
      <w:r>
        <w:rPr>
          <w:lang w:val="en-US"/>
        </w:rPr>
        <w:fldChar w:fldCharType="separate"/>
      </w:r>
      <w:r w:rsidR="00AF0E6B" w:rsidRPr="00AF0E6B">
        <w:rPr>
          <w:lang w:val="en-US"/>
        </w:rPr>
        <w:t xml:space="preserve">Table </w:t>
      </w:r>
      <w:r w:rsidR="00AF0E6B" w:rsidRPr="00AF0E6B">
        <w:rPr>
          <w:noProof/>
          <w:lang w:val="en-US"/>
        </w:rPr>
        <w:t>6</w:t>
      </w:r>
      <w:r>
        <w:rPr>
          <w:lang w:val="en-US"/>
        </w:rPr>
        <w:fldChar w:fldCharType="end"/>
      </w:r>
      <w:r>
        <w:rPr>
          <w:lang w:val="en-US"/>
        </w:rPr>
        <w:t xml:space="preserve"> below, presents the permanent fiscal interventions and their estimated fiscal impact for the years 2025-2026. T</w:t>
      </w:r>
      <w:r w:rsidRPr="00A543B1">
        <w:rPr>
          <w:lang w:val="en-US"/>
        </w:rPr>
        <w:t>he estimated</w:t>
      </w:r>
      <w:r>
        <w:rPr>
          <w:lang w:val="en-US"/>
        </w:rPr>
        <w:t xml:space="preserve"> incremental impact of the discretionary revenue measures for the period 2024-2026 is presented in Annex II.</w:t>
      </w:r>
    </w:p>
    <w:p w14:paraId="21B519D5" w14:textId="77777777" w:rsidR="00133DF3" w:rsidRDefault="00133DF3" w:rsidP="00133DF3">
      <w:pPr>
        <w:rPr>
          <w:lang w:val="en-US"/>
        </w:rPr>
      </w:pPr>
    </w:p>
    <w:p w14:paraId="3BACC683" w14:textId="77777777" w:rsidR="00133DF3" w:rsidRDefault="00133DF3" w:rsidP="00133DF3">
      <w:pPr>
        <w:rPr>
          <w:lang w:val="en-US"/>
        </w:rPr>
      </w:pPr>
    </w:p>
    <w:p w14:paraId="6E486A07" w14:textId="2BDEB654" w:rsidR="00133DF3" w:rsidRDefault="00133DF3" w:rsidP="00133DF3">
      <w:pPr>
        <w:rPr>
          <w:lang w:val="en-US"/>
        </w:rPr>
      </w:pPr>
    </w:p>
    <w:p w14:paraId="38077C30" w14:textId="47FE7ABC" w:rsidR="00133DF3" w:rsidRDefault="00133DF3" w:rsidP="00133DF3">
      <w:pPr>
        <w:pStyle w:val="ae"/>
      </w:pPr>
      <w:bookmarkStart w:id="59" w:name="_Ref211082556"/>
      <w:bookmarkStart w:id="60" w:name="_Toc211249683"/>
      <w:bookmarkStart w:id="61" w:name="_Toc211355100"/>
      <w:r>
        <w:lastRenderedPageBreak/>
        <w:t xml:space="preserve">Table </w:t>
      </w:r>
      <w:r>
        <w:fldChar w:fldCharType="begin"/>
      </w:r>
      <w:r>
        <w:instrText xml:space="preserve"> SEQ Table \* ARABIC </w:instrText>
      </w:r>
      <w:r>
        <w:fldChar w:fldCharType="separate"/>
      </w:r>
      <w:r w:rsidR="00AF0E6B">
        <w:rPr>
          <w:noProof/>
        </w:rPr>
        <w:t>6</w:t>
      </w:r>
      <w:r>
        <w:fldChar w:fldCharType="end"/>
      </w:r>
      <w:bookmarkEnd w:id="59"/>
      <w:r>
        <w:t xml:space="preserve"> | </w:t>
      </w:r>
      <w:r w:rsidRPr="00BB2791">
        <w:t>Main permanent discretionary measures 2025-202</w:t>
      </w:r>
      <w:r>
        <w:t>6</w:t>
      </w:r>
      <w:bookmarkEnd w:id="60"/>
      <w:bookmarkEnd w:id="61"/>
    </w:p>
    <w:p w14:paraId="1234121C" w14:textId="77777777" w:rsidR="00133DF3" w:rsidRDefault="00133DF3" w:rsidP="00133DF3">
      <w:pPr>
        <w:pStyle w:val="Table"/>
        <w:jc w:val="right"/>
        <w:rPr>
          <w:b w:val="0"/>
        </w:rPr>
      </w:pPr>
      <w:r w:rsidRPr="00BB2791">
        <w:rPr>
          <w:b w:val="0"/>
          <w:lang w:val="el-GR"/>
        </w:rPr>
        <w:t>(</w:t>
      </w:r>
      <w:r w:rsidRPr="00BB2791">
        <w:rPr>
          <w:b w:val="0"/>
        </w:rPr>
        <w:t>in</w:t>
      </w:r>
      <w:r w:rsidRPr="00BB2791">
        <w:rPr>
          <w:b w:val="0"/>
          <w:lang w:val="el-GR"/>
        </w:rPr>
        <w:t xml:space="preserve"> </w:t>
      </w:r>
      <w:r w:rsidRPr="00BB2791">
        <w:rPr>
          <w:b w:val="0"/>
        </w:rPr>
        <w:t>million</w:t>
      </w:r>
      <w:r w:rsidRPr="00BB2791">
        <w:rPr>
          <w:b w:val="0"/>
          <w:lang w:val="el-GR"/>
        </w:rPr>
        <w:t xml:space="preserve"> </w:t>
      </w:r>
      <w:r w:rsidRPr="00BB2791">
        <w:rPr>
          <w:b w:val="0"/>
        </w:rPr>
        <w:t>euros</w:t>
      </w:r>
      <w:r>
        <w:rPr>
          <w:b w:val="0"/>
        </w:rPr>
        <w:t>)</w:t>
      </w:r>
    </w:p>
    <w:tbl>
      <w:tblPr>
        <w:tblW w:w="8884" w:type="dxa"/>
        <w:jc w:val="center"/>
        <w:tblLook w:val="04A0" w:firstRow="1" w:lastRow="0" w:firstColumn="1" w:lastColumn="0" w:noHBand="0" w:noVBand="1"/>
      </w:tblPr>
      <w:tblGrid>
        <w:gridCol w:w="7087"/>
        <w:gridCol w:w="894"/>
        <w:gridCol w:w="903"/>
      </w:tblGrid>
      <w:tr w:rsidR="00133DF3" w:rsidRPr="007F6489" w14:paraId="5D3ED433" w14:textId="77777777" w:rsidTr="00435CE7">
        <w:trPr>
          <w:trHeight w:val="431"/>
          <w:jc w:val="center"/>
        </w:trPr>
        <w:tc>
          <w:tcPr>
            <w:tcW w:w="7087" w:type="dxa"/>
            <w:tcBorders>
              <w:top w:val="nil"/>
              <w:left w:val="nil"/>
              <w:bottom w:val="nil"/>
              <w:right w:val="nil"/>
            </w:tcBorders>
            <w:shd w:val="clear" w:color="000000" w:fill="BFBFBF"/>
            <w:vAlign w:val="center"/>
            <w:hideMark/>
          </w:tcPr>
          <w:p w14:paraId="72A77963" w14:textId="77777777" w:rsidR="00133DF3" w:rsidRPr="007F6489" w:rsidRDefault="00133DF3" w:rsidP="00816D2C">
            <w:pPr>
              <w:pStyle w:val="Tabletext"/>
              <w:spacing w:line="260" w:lineRule="exact"/>
              <w:rPr>
                <w:b/>
                <w:sz w:val="24"/>
              </w:rPr>
            </w:pPr>
            <w:r w:rsidRPr="007F6489">
              <w:rPr>
                <w:b/>
                <w:sz w:val="24"/>
              </w:rPr>
              <w:t>Description</w:t>
            </w:r>
          </w:p>
        </w:tc>
        <w:tc>
          <w:tcPr>
            <w:tcW w:w="894" w:type="dxa"/>
            <w:tcBorders>
              <w:top w:val="nil"/>
              <w:left w:val="nil"/>
              <w:bottom w:val="nil"/>
              <w:right w:val="nil"/>
            </w:tcBorders>
            <w:shd w:val="clear" w:color="000000" w:fill="BFBFBF"/>
            <w:vAlign w:val="center"/>
            <w:hideMark/>
          </w:tcPr>
          <w:p w14:paraId="1DE8B42B" w14:textId="77777777" w:rsidR="00133DF3" w:rsidRPr="007F6489" w:rsidRDefault="00133DF3" w:rsidP="00816D2C">
            <w:pPr>
              <w:pStyle w:val="Tabletext"/>
              <w:spacing w:line="260" w:lineRule="exact"/>
              <w:jc w:val="center"/>
              <w:rPr>
                <w:b/>
                <w:sz w:val="24"/>
              </w:rPr>
            </w:pPr>
            <w:r w:rsidRPr="007F6489">
              <w:rPr>
                <w:b/>
                <w:sz w:val="24"/>
              </w:rPr>
              <w:t>2025</w:t>
            </w:r>
          </w:p>
        </w:tc>
        <w:tc>
          <w:tcPr>
            <w:tcW w:w="903" w:type="dxa"/>
            <w:tcBorders>
              <w:top w:val="nil"/>
              <w:left w:val="nil"/>
              <w:bottom w:val="nil"/>
              <w:right w:val="nil"/>
            </w:tcBorders>
            <w:shd w:val="clear" w:color="000000" w:fill="BFBFBF"/>
            <w:vAlign w:val="center"/>
            <w:hideMark/>
          </w:tcPr>
          <w:p w14:paraId="03548A00" w14:textId="77777777" w:rsidR="00133DF3" w:rsidRPr="007F6489" w:rsidRDefault="00133DF3" w:rsidP="00816D2C">
            <w:pPr>
              <w:pStyle w:val="Tabletext"/>
              <w:spacing w:line="260" w:lineRule="exact"/>
              <w:jc w:val="center"/>
              <w:rPr>
                <w:b/>
                <w:sz w:val="24"/>
              </w:rPr>
            </w:pPr>
            <w:r w:rsidRPr="007F6489">
              <w:rPr>
                <w:b/>
                <w:sz w:val="24"/>
              </w:rPr>
              <w:t>2026</w:t>
            </w:r>
          </w:p>
        </w:tc>
      </w:tr>
      <w:tr w:rsidR="00133DF3" w:rsidRPr="007F6489" w14:paraId="32875C76" w14:textId="77777777" w:rsidTr="00816D2C">
        <w:trPr>
          <w:trHeight w:val="369"/>
          <w:jc w:val="center"/>
        </w:trPr>
        <w:tc>
          <w:tcPr>
            <w:tcW w:w="7087" w:type="dxa"/>
            <w:tcBorders>
              <w:top w:val="nil"/>
              <w:left w:val="nil"/>
              <w:bottom w:val="nil"/>
              <w:right w:val="nil"/>
            </w:tcBorders>
            <w:shd w:val="clear" w:color="auto" w:fill="DDD9C3" w:themeFill="background2" w:themeFillShade="E6"/>
            <w:vAlign w:val="center"/>
            <w:hideMark/>
          </w:tcPr>
          <w:p w14:paraId="4E5F9D31" w14:textId="77777777" w:rsidR="00133DF3" w:rsidRPr="007F6489" w:rsidRDefault="00133DF3" w:rsidP="00816D2C">
            <w:pPr>
              <w:pStyle w:val="Tabletext"/>
              <w:spacing w:line="260" w:lineRule="exact"/>
              <w:rPr>
                <w:b/>
                <w:sz w:val="24"/>
              </w:rPr>
            </w:pPr>
            <w:r w:rsidRPr="007F6489">
              <w:rPr>
                <w:b/>
                <w:sz w:val="24"/>
              </w:rPr>
              <w:t>A. New Interventions</w:t>
            </w:r>
          </w:p>
        </w:tc>
        <w:tc>
          <w:tcPr>
            <w:tcW w:w="894" w:type="dxa"/>
            <w:tcBorders>
              <w:top w:val="nil"/>
              <w:left w:val="nil"/>
              <w:bottom w:val="nil"/>
              <w:right w:val="nil"/>
            </w:tcBorders>
            <w:shd w:val="clear" w:color="auto" w:fill="DDD9C3" w:themeFill="background2" w:themeFillShade="E6"/>
            <w:vAlign w:val="center"/>
            <w:hideMark/>
          </w:tcPr>
          <w:p w14:paraId="451E4A86" w14:textId="77777777" w:rsidR="00133DF3" w:rsidRPr="007F6489" w:rsidRDefault="00133DF3" w:rsidP="00816D2C">
            <w:pPr>
              <w:pStyle w:val="Tabletext"/>
              <w:spacing w:line="260" w:lineRule="exact"/>
              <w:jc w:val="center"/>
              <w:rPr>
                <w:b/>
                <w:sz w:val="24"/>
              </w:rPr>
            </w:pPr>
          </w:p>
        </w:tc>
        <w:tc>
          <w:tcPr>
            <w:tcW w:w="903" w:type="dxa"/>
            <w:tcBorders>
              <w:top w:val="nil"/>
              <w:left w:val="nil"/>
              <w:bottom w:val="nil"/>
              <w:right w:val="nil"/>
            </w:tcBorders>
            <w:shd w:val="clear" w:color="auto" w:fill="DDD9C3" w:themeFill="background2" w:themeFillShade="E6"/>
            <w:vAlign w:val="center"/>
            <w:hideMark/>
          </w:tcPr>
          <w:p w14:paraId="361DDBD5" w14:textId="77777777" w:rsidR="00133DF3" w:rsidRPr="007F6489" w:rsidRDefault="00133DF3" w:rsidP="00816D2C">
            <w:pPr>
              <w:pStyle w:val="Tabletext"/>
              <w:spacing w:line="260" w:lineRule="exact"/>
              <w:jc w:val="center"/>
              <w:rPr>
                <w:b/>
                <w:sz w:val="24"/>
              </w:rPr>
            </w:pPr>
          </w:p>
        </w:tc>
      </w:tr>
      <w:tr w:rsidR="00133DF3" w:rsidRPr="00BB2791" w14:paraId="0FCF2302"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0DF2EBCB" w14:textId="77777777" w:rsidR="00133DF3" w:rsidRPr="00BB2791" w:rsidRDefault="00133DF3" w:rsidP="00816D2C">
            <w:pPr>
              <w:pStyle w:val="Tabletext"/>
              <w:spacing w:line="260" w:lineRule="exact"/>
              <w:rPr>
                <w:rFonts w:cs="Calibri"/>
              </w:rPr>
            </w:pPr>
            <w:r w:rsidRPr="00BB2791">
              <w:rPr>
                <w:rFonts w:cs="Calibri"/>
              </w:rPr>
              <w:t>Reform of the income tax scale with emphasis on families with children, young people and the middle class</w:t>
            </w:r>
            <w:r w:rsidRPr="00BB2791">
              <w:rPr>
                <w:rFonts w:ascii="Times New Roman" w:hAnsi="Times New Roman" w:cs="Times New Roman"/>
              </w:rPr>
              <w:t xml:space="preserve"> </w:t>
            </w:r>
          </w:p>
        </w:tc>
        <w:tc>
          <w:tcPr>
            <w:tcW w:w="894" w:type="dxa"/>
            <w:tcBorders>
              <w:top w:val="nil"/>
              <w:left w:val="nil"/>
              <w:bottom w:val="single" w:sz="4" w:space="0" w:color="FFFFFF"/>
              <w:right w:val="nil"/>
            </w:tcBorders>
            <w:shd w:val="clear" w:color="000000" w:fill="F2F2F2"/>
            <w:vAlign w:val="center"/>
            <w:hideMark/>
          </w:tcPr>
          <w:p w14:paraId="3B4C84D1"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F2F2F2"/>
            <w:vAlign w:val="center"/>
            <w:hideMark/>
          </w:tcPr>
          <w:p w14:paraId="01901701" w14:textId="77777777" w:rsidR="00133DF3" w:rsidRPr="00BB2791" w:rsidRDefault="00133DF3" w:rsidP="00816D2C">
            <w:pPr>
              <w:pStyle w:val="Tabletext"/>
              <w:spacing w:line="260" w:lineRule="exact"/>
              <w:jc w:val="center"/>
              <w:rPr>
                <w:rFonts w:cs="Calibri"/>
              </w:rPr>
            </w:pPr>
            <w:r w:rsidRPr="00BB2791">
              <w:rPr>
                <w:rFonts w:cs="Calibri"/>
              </w:rPr>
              <w:t>-1,218</w:t>
            </w:r>
          </w:p>
        </w:tc>
      </w:tr>
      <w:tr w:rsidR="00133DF3" w:rsidRPr="00BB2791" w14:paraId="0AD13796" w14:textId="77777777" w:rsidTr="00E2601D">
        <w:trPr>
          <w:trHeight w:val="669"/>
          <w:jc w:val="center"/>
        </w:trPr>
        <w:tc>
          <w:tcPr>
            <w:tcW w:w="7087" w:type="dxa"/>
            <w:tcBorders>
              <w:top w:val="nil"/>
              <w:left w:val="nil"/>
              <w:bottom w:val="single" w:sz="4" w:space="0" w:color="FFFFFF"/>
              <w:right w:val="nil"/>
            </w:tcBorders>
            <w:shd w:val="clear" w:color="000000" w:fill="D9D9D9"/>
            <w:vAlign w:val="center"/>
            <w:hideMark/>
          </w:tcPr>
          <w:p w14:paraId="187ECC90" w14:textId="77777777" w:rsidR="00133DF3" w:rsidRPr="00BB2791" w:rsidRDefault="00133DF3" w:rsidP="00816D2C">
            <w:pPr>
              <w:pStyle w:val="Tabletext"/>
              <w:spacing w:line="260" w:lineRule="exact"/>
              <w:rPr>
                <w:rFonts w:cs="Calibri"/>
              </w:rPr>
            </w:pPr>
            <w:r w:rsidRPr="00BB2791">
              <w:rPr>
                <w:rFonts w:cs="Calibri"/>
              </w:rPr>
              <w:t>Reduction of property income tax</w:t>
            </w:r>
            <w:r w:rsidRPr="00BB2791">
              <w:rPr>
                <w:rFonts w:ascii="Times New Roman" w:hAnsi="Times New Roman" w:cs="Times New Roman"/>
              </w:rPr>
              <w:t xml:space="preserve"> </w:t>
            </w:r>
            <w:r w:rsidRPr="00BB2791">
              <w:t xml:space="preserve">with the introduction of an intermediate rate of 25% </w:t>
            </w:r>
            <w:r>
              <w:t>(fiscal impact of 90 €million from 2027 onwards)</w:t>
            </w:r>
          </w:p>
        </w:tc>
        <w:tc>
          <w:tcPr>
            <w:tcW w:w="894" w:type="dxa"/>
            <w:tcBorders>
              <w:top w:val="nil"/>
              <w:left w:val="nil"/>
              <w:bottom w:val="single" w:sz="4" w:space="0" w:color="FFFFFF"/>
              <w:right w:val="nil"/>
            </w:tcBorders>
            <w:shd w:val="clear" w:color="000000" w:fill="D9D9D9"/>
            <w:vAlign w:val="center"/>
            <w:hideMark/>
          </w:tcPr>
          <w:p w14:paraId="537A5E35"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D9D9D9"/>
            <w:vAlign w:val="center"/>
            <w:hideMark/>
          </w:tcPr>
          <w:p w14:paraId="187CE7B1" w14:textId="77777777" w:rsidR="00133DF3" w:rsidRPr="00BB2791" w:rsidRDefault="00133DF3" w:rsidP="00816D2C">
            <w:pPr>
              <w:pStyle w:val="Tabletext"/>
              <w:spacing w:line="260" w:lineRule="exact"/>
              <w:jc w:val="center"/>
              <w:rPr>
                <w:rFonts w:cs="Calibri"/>
              </w:rPr>
            </w:pPr>
            <w:r w:rsidRPr="00BB2791">
              <w:rPr>
                <w:rFonts w:cs="Calibri"/>
              </w:rPr>
              <w:t>0</w:t>
            </w:r>
          </w:p>
        </w:tc>
      </w:tr>
      <w:tr w:rsidR="00133DF3" w:rsidRPr="00BB2791" w14:paraId="3EF28FC8"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174E3782" w14:textId="77777777" w:rsidR="00133DF3" w:rsidRPr="00BB2791" w:rsidRDefault="00133DF3" w:rsidP="00816D2C">
            <w:pPr>
              <w:pStyle w:val="Tabletext"/>
              <w:spacing w:line="260" w:lineRule="exact"/>
              <w:rPr>
                <w:rFonts w:cs="Calibri"/>
              </w:rPr>
            </w:pPr>
            <w:r w:rsidRPr="00BB2791">
              <w:rPr>
                <w:rFonts w:cs="Calibri"/>
              </w:rPr>
              <w:t>Gradual abolition of property tax (ENFIA)</w:t>
            </w:r>
            <w:r w:rsidRPr="00BB2791">
              <w:rPr>
                <w:rFonts w:ascii="Times New Roman" w:hAnsi="Times New Roman" w:cs="Times New Roman"/>
              </w:rPr>
              <w:t xml:space="preserve"> </w:t>
            </w:r>
            <w:r w:rsidRPr="00BB2791">
              <w:t xml:space="preserve">for main residences in </w:t>
            </w:r>
            <w:r>
              <w:t>communities</w:t>
            </w:r>
            <w:r w:rsidRPr="00BB2791">
              <w:t xml:space="preserve"> with a population up to 1,500 inhabitants </w:t>
            </w:r>
            <w:r>
              <w:br/>
            </w:r>
            <w:r w:rsidRPr="00BB2791">
              <w:t xml:space="preserve">(50% reduction in 2026 and full abolition in 2027) </w:t>
            </w:r>
          </w:p>
        </w:tc>
        <w:tc>
          <w:tcPr>
            <w:tcW w:w="894" w:type="dxa"/>
            <w:tcBorders>
              <w:top w:val="nil"/>
              <w:left w:val="nil"/>
              <w:bottom w:val="single" w:sz="4" w:space="0" w:color="FFFFFF"/>
              <w:right w:val="nil"/>
            </w:tcBorders>
            <w:shd w:val="clear" w:color="000000" w:fill="F2F2F2"/>
            <w:vAlign w:val="center"/>
            <w:hideMark/>
          </w:tcPr>
          <w:p w14:paraId="2EB42AAE"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F2F2F2"/>
            <w:vAlign w:val="center"/>
            <w:hideMark/>
          </w:tcPr>
          <w:p w14:paraId="50D60E61" w14:textId="77777777" w:rsidR="00133DF3" w:rsidRPr="00BB2791" w:rsidRDefault="00133DF3" w:rsidP="00816D2C">
            <w:pPr>
              <w:pStyle w:val="Tabletext"/>
              <w:spacing w:line="260" w:lineRule="exact"/>
              <w:jc w:val="center"/>
              <w:rPr>
                <w:rFonts w:cs="Calibri"/>
              </w:rPr>
            </w:pPr>
            <w:r w:rsidRPr="00BB2791">
              <w:rPr>
                <w:rFonts w:cs="Calibri"/>
              </w:rPr>
              <w:t>-38</w:t>
            </w:r>
          </w:p>
        </w:tc>
      </w:tr>
      <w:tr w:rsidR="00133DF3" w:rsidRPr="00BB2791" w14:paraId="77DF1CD4"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7A82BEC0" w14:textId="77777777" w:rsidR="00133DF3" w:rsidRPr="00BB2791" w:rsidRDefault="00133DF3" w:rsidP="00816D2C">
            <w:pPr>
              <w:pStyle w:val="Tabletext"/>
              <w:spacing w:line="260" w:lineRule="exact"/>
              <w:rPr>
                <w:rFonts w:cs="Calibri"/>
              </w:rPr>
            </w:pPr>
            <w:r w:rsidRPr="00BB2791">
              <w:rPr>
                <w:rFonts w:cs="Calibri"/>
              </w:rPr>
              <w:t>Reform of the objective living expenses tax system</w:t>
            </w:r>
          </w:p>
        </w:tc>
        <w:tc>
          <w:tcPr>
            <w:tcW w:w="894" w:type="dxa"/>
            <w:tcBorders>
              <w:top w:val="nil"/>
              <w:left w:val="nil"/>
              <w:bottom w:val="single" w:sz="4" w:space="0" w:color="FFFFFF"/>
              <w:right w:val="nil"/>
            </w:tcBorders>
            <w:shd w:val="clear" w:color="000000" w:fill="D9D9D9"/>
            <w:vAlign w:val="center"/>
            <w:hideMark/>
          </w:tcPr>
          <w:p w14:paraId="04DCB674"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D9D9D9"/>
            <w:vAlign w:val="center"/>
            <w:hideMark/>
          </w:tcPr>
          <w:p w14:paraId="2250266E" w14:textId="77777777" w:rsidR="00133DF3" w:rsidRPr="00BB2791" w:rsidRDefault="00133DF3" w:rsidP="00816D2C">
            <w:pPr>
              <w:pStyle w:val="Tabletext"/>
              <w:spacing w:line="260" w:lineRule="exact"/>
              <w:jc w:val="center"/>
              <w:rPr>
                <w:rFonts w:cs="Calibri"/>
              </w:rPr>
            </w:pPr>
            <w:r w:rsidRPr="00BB2791">
              <w:rPr>
                <w:rFonts w:cs="Calibri"/>
              </w:rPr>
              <w:t>-40</w:t>
            </w:r>
          </w:p>
        </w:tc>
      </w:tr>
      <w:tr w:rsidR="00133DF3" w:rsidRPr="00BB2791" w14:paraId="62E030A2"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4561ED2C" w14:textId="77777777" w:rsidR="00133DF3" w:rsidRPr="009A03B6" w:rsidRDefault="00133DF3" w:rsidP="00816D2C">
            <w:pPr>
              <w:spacing w:line="260" w:lineRule="exact"/>
              <w:rPr>
                <w:rFonts w:cs="Calibri"/>
                <w:lang w:val="en-US"/>
              </w:rPr>
            </w:pPr>
            <w:r>
              <w:rPr>
                <w:rStyle w:val="rynqvb"/>
                <w:lang w:val="en-US"/>
              </w:rPr>
              <w:t>G</w:t>
            </w:r>
            <w:r w:rsidRPr="00385F38">
              <w:rPr>
                <w:rStyle w:val="rynqvb"/>
                <w:lang w:val="en-US"/>
              </w:rPr>
              <w:t>radual elimination of the pensioners’ personal difference offset</w:t>
            </w:r>
          </w:p>
        </w:tc>
        <w:tc>
          <w:tcPr>
            <w:tcW w:w="894" w:type="dxa"/>
            <w:tcBorders>
              <w:top w:val="nil"/>
              <w:left w:val="nil"/>
              <w:bottom w:val="single" w:sz="4" w:space="0" w:color="FFFFFF"/>
              <w:right w:val="nil"/>
            </w:tcBorders>
            <w:shd w:val="clear" w:color="000000" w:fill="F2F2F2"/>
            <w:vAlign w:val="center"/>
            <w:hideMark/>
          </w:tcPr>
          <w:p w14:paraId="58D48A13"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F2F2F2"/>
            <w:vAlign w:val="center"/>
            <w:hideMark/>
          </w:tcPr>
          <w:p w14:paraId="6CC1D39D" w14:textId="77777777" w:rsidR="00133DF3" w:rsidRPr="00BB2791" w:rsidRDefault="00133DF3" w:rsidP="00816D2C">
            <w:pPr>
              <w:pStyle w:val="Tabletext"/>
              <w:spacing w:line="260" w:lineRule="exact"/>
              <w:jc w:val="center"/>
              <w:rPr>
                <w:rFonts w:cs="Calibri"/>
              </w:rPr>
            </w:pPr>
            <w:r w:rsidRPr="00BB2791">
              <w:rPr>
                <w:rFonts w:cs="Calibri"/>
              </w:rPr>
              <w:t>-75</w:t>
            </w:r>
          </w:p>
        </w:tc>
      </w:tr>
      <w:tr w:rsidR="00133DF3" w:rsidRPr="00BB2791" w14:paraId="017BD597"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4DB6A7C5" w14:textId="77777777" w:rsidR="00133DF3" w:rsidRPr="00BB2791" w:rsidRDefault="00133DF3" w:rsidP="00816D2C">
            <w:pPr>
              <w:pStyle w:val="Tabletext"/>
              <w:spacing w:line="260" w:lineRule="exact"/>
              <w:rPr>
                <w:rFonts w:cs="Calibri"/>
              </w:rPr>
            </w:pPr>
            <w:r w:rsidRPr="00BB2791">
              <w:rPr>
                <w:rFonts w:cs="Calibri"/>
              </w:rPr>
              <w:t>Reduction of VAT by 30% on remote islands with population up to 20,000 inhabitants</w:t>
            </w:r>
            <w:r w:rsidRPr="00BB2791">
              <w:t xml:space="preserve"> </w:t>
            </w:r>
          </w:p>
        </w:tc>
        <w:tc>
          <w:tcPr>
            <w:tcW w:w="894" w:type="dxa"/>
            <w:tcBorders>
              <w:top w:val="nil"/>
              <w:left w:val="nil"/>
              <w:bottom w:val="single" w:sz="4" w:space="0" w:color="FFFFFF"/>
              <w:right w:val="nil"/>
            </w:tcBorders>
            <w:shd w:val="clear" w:color="000000" w:fill="D9D9D9"/>
            <w:vAlign w:val="center"/>
            <w:hideMark/>
          </w:tcPr>
          <w:p w14:paraId="734F0023"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D9D9D9"/>
            <w:vAlign w:val="center"/>
            <w:hideMark/>
          </w:tcPr>
          <w:p w14:paraId="38C53B2C" w14:textId="77777777" w:rsidR="00133DF3" w:rsidRPr="00BB2791" w:rsidRDefault="00133DF3" w:rsidP="00816D2C">
            <w:pPr>
              <w:pStyle w:val="Tabletext"/>
              <w:spacing w:line="260" w:lineRule="exact"/>
              <w:jc w:val="center"/>
              <w:rPr>
                <w:rFonts w:cs="Calibri"/>
              </w:rPr>
            </w:pPr>
            <w:r w:rsidRPr="00BB2791">
              <w:rPr>
                <w:rFonts w:cs="Calibri"/>
              </w:rPr>
              <w:t>-25</w:t>
            </w:r>
          </w:p>
        </w:tc>
      </w:tr>
      <w:tr w:rsidR="00133DF3" w:rsidRPr="00BB2791" w14:paraId="1946CAC3"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06BDA3BA" w14:textId="77777777" w:rsidR="00133DF3" w:rsidRPr="00BB2791" w:rsidRDefault="00133DF3" w:rsidP="00816D2C">
            <w:pPr>
              <w:pStyle w:val="Tabletext"/>
              <w:spacing w:line="260" w:lineRule="exact"/>
              <w:rPr>
                <w:rFonts w:cs="Calibri"/>
              </w:rPr>
            </w:pPr>
            <w:r w:rsidRPr="00BB2791">
              <w:rPr>
                <w:rFonts w:cs="Calibri"/>
              </w:rPr>
              <w:t xml:space="preserve">50% reduction of the objective income for self-employed for </w:t>
            </w:r>
            <w:r>
              <w:rPr>
                <w:rFonts w:cs="Calibri"/>
              </w:rPr>
              <w:t>communities</w:t>
            </w:r>
            <w:r w:rsidRPr="00BB2791">
              <w:rPr>
                <w:rFonts w:cs="Calibri"/>
              </w:rPr>
              <w:t xml:space="preserve"> outside Attica, with population up to 1,500 residents and exemption for self-employed new mothers during the year of childbirth and for the following two years</w:t>
            </w:r>
          </w:p>
        </w:tc>
        <w:tc>
          <w:tcPr>
            <w:tcW w:w="894" w:type="dxa"/>
            <w:tcBorders>
              <w:top w:val="nil"/>
              <w:left w:val="nil"/>
              <w:bottom w:val="single" w:sz="4" w:space="0" w:color="FFFFFF"/>
              <w:right w:val="nil"/>
            </w:tcBorders>
            <w:shd w:val="clear" w:color="000000" w:fill="F2F2F2"/>
            <w:vAlign w:val="center"/>
            <w:hideMark/>
          </w:tcPr>
          <w:p w14:paraId="343ECDF2"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F2F2F2"/>
            <w:vAlign w:val="center"/>
            <w:hideMark/>
          </w:tcPr>
          <w:p w14:paraId="686F84CE" w14:textId="77777777" w:rsidR="00133DF3" w:rsidRPr="00BB2791" w:rsidRDefault="00133DF3" w:rsidP="00816D2C">
            <w:pPr>
              <w:pStyle w:val="Tabletext"/>
              <w:spacing w:line="260" w:lineRule="exact"/>
              <w:jc w:val="center"/>
              <w:rPr>
                <w:rFonts w:cs="Calibri"/>
              </w:rPr>
            </w:pPr>
            <w:r w:rsidRPr="00BB2791">
              <w:rPr>
                <w:rFonts w:cs="Calibri"/>
              </w:rPr>
              <w:t>-10</w:t>
            </w:r>
          </w:p>
        </w:tc>
      </w:tr>
      <w:tr w:rsidR="00133DF3" w:rsidRPr="00BB2791" w14:paraId="7D88D1B0"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4BDD56A2" w14:textId="77777777" w:rsidR="00133DF3" w:rsidRPr="00BB2791" w:rsidRDefault="00133DF3" w:rsidP="00816D2C">
            <w:pPr>
              <w:pStyle w:val="Tabletext"/>
              <w:spacing w:line="260" w:lineRule="exact"/>
              <w:rPr>
                <w:rFonts w:cs="Calibri"/>
              </w:rPr>
            </w:pPr>
            <w:r w:rsidRPr="00BB2791">
              <w:rPr>
                <w:rFonts w:cs="Calibri"/>
              </w:rPr>
              <w:t>Reform of the wage grid of the Armed Forces</w:t>
            </w:r>
            <w:r w:rsidRPr="00BB2791">
              <w:t xml:space="preserve"> </w:t>
            </w:r>
          </w:p>
        </w:tc>
        <w:tc>
          <w:tcPr>
            <w:tcW w:w="894" w:type="dxa"/>
            <w:tcBorders>
              <w:top w:val="nil"/>
              <w:left w:val="nil"/>
              <w:bottom w:val="single" w:sz="4" w:space="0" w:color="FFFFFF"/>
              <w:right w:val="nil"/>
            </w:tcBorders>
            <w:shd w:val="clear" w:color="000000" w:fill="D9D9D9"/>
            <w:vAlign w:val="center"/>
            <w:hideMark/>
          </w:tcPr>
          <w:p w14:paraId="05515CBF" w14:textId="77777777" w:rsidR="00133DF3" w:rsidRPr="00BB2791" w:rsidRDefault="00133DF3" w:rsidP="00816D2C">
            <w:pPr>
              <w:pStyle w:val="Tabletext"/>
              <w:spacing w:line="260" w:lineRule="exact"/>
              <w:jc w:val="center"/>
              <w:rPr>
                <w:rFonts w:cs="Calibri"/>
              </w:rPr>
            </w:pPr>
            <w:r w:rsidRPr="00BB2791">
              <w:rPr>
                <w:rFonts w:cs="Calibri"/>
              </w:rPr>
              <w:t>-41</w:t>
            </w:r>
          </w:p>
        </w:tc>
        <w:tc>
          <w:tcPr>
            <w:tcW w:w="903" w:type="dxa"/>
            <w:tcBorders>
              <w:top w:val="nil"/>
              <w:left w:val="nil"/>
              <w:bottom w:val="single" w:sz="4" w:space="0" w:color="FFFFFF"/>
              <w:right w:val="nil"/>
            </w:tcBorders>
            <w:shd w:val="clear" w:color="000000" w:fill="D9D9D9"/>
            <w:vAlign w:val="center"/>
            <w:hideMark/>
          </w:tcPr>
          <w:p w14:paraId="1D5FC156" w14:textId="77777777" w:rsidR="00133DF3" w:rsidRPr="00BB2791" w:rsidRDefault="00133DF3" w:rsidP="00816D2C">
            <w:pPr>
              <w:pStyle w:val="Tabletext"/>
              <w:spacing w:line="260" w:lineRule="exact"/>
              <w:jc w:val="center"/>
              <w:rPr>
                <w:rFonts w:cs="Calibri"/>
              </w:rPr>
            </w:pPr>
            <w:r w:rsidRPr="00BB2791">
              <w:rPr>
                <w:rFonts w:cs="Calibri"/>
              </w:rPr>
              <w:t>-162</w:t>
            </w:r>
          </w:p>
        </w:tc>
      </w:tr>
      <w:tr w:rsidR="00133DF3" w:rsidRPr="00BB2791" w14:paraId="681B674B"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04E137CA" w14:textId="77777777" w:rsidR="00133DF3" w:rsidRPr="00BB2791" w:rsidRDefault="00133DF3" w:rsidP="00816D2C">
            <w:pPr>
              <w:pStyle w:val="Tabletext"/>
              <w:spacing w:line="260" w:lineRule="exact"/>
              <w:rPr>
                <w:rFonts w:cs="Calibri"/>
              </w:rPr>
            </w:pPr>
            <w:r w:rsidRPr="00BB2791">
              <w:rPr>
                <w:rFonts w:cs="Calibri"/>
              </w:rPr>
              <w:t>Savings from the restructuring of the Armed Forces</w:t>
            </w:r>
            <w:r w:rsidRPr="00BB2791">
              <w:t xml:space="preserve"> </w:t>
            </w:r>
          </w:p>
        </w:tc>
        <w:tc>
          <w:tcPr>
            <w:tcW w:w="894" w:type="dxa"/>
            <w:tcBorders>
              <w:top w:val="nil"/>
              <w:left w:val="nil"/>
              <w:bottom w:val="single" w:sz="4" w:space="0" w:color="FFFFFF"/>
              <w:right w:val="nil"/>
            </w:tcBorders>
            <w:shd w:val="clear" w:color="000000" w:fill="F2F2F2"/>
            <w:vAlign w:val="center"/>
            <w:hideMark/>
          </w:tcPr>
          <w:p w14:paraId="4F25F4C2" w14:textId="77777777" w:rsidR="00133DF3" w:rsidRPr="00BB2791" w:rsidRDefault="00133DF3" w:rsidP="00816D2C">
            <w:pPr>
              <w:pStyle w:val="Tabletext"/>
              <w:spacing w:line="260" w:lineRule="exact"/>
              <w:jc w:val="center"/>
              <w:rPr>
                <w:rFonts w:cs="Calibri"/>
              </w:rPr>
            </w:pPr>
            <w:r w:rsidRPr="00BB2791">
              <w:rPr>
                <w:rFonts w:cs="Calibri"/>
              </w:rPr>
              <w:t>19</w:t>
            </w:r>
          </w:p>
        </w:tc>
        <w:tc>
          <w:tcPr>
            <w:tcW w:w="903" w:type="dxa"/>
            <w:tcBorders>
              <w:top w:val="nil"/>
              <w:left w:val="nil"/>
              <w:bottom w:val="single" w:sz="4" w:space="0" w:color="FFFFFF"/>
              <w:right w:val="nil"/>
            </w:tcBorders>
            <w:shd w:val="clear" w:color="000000" w:fill="F2F2F2"/>
            <w:vAlign w:val="center"/>
            <w:hideMark/>
          </w:tcPr>
          <w:p w14:paraId="7E2B8F0A" w14:textId="77777777" w:rsidR="00133DF3" w:rsidRPr="00BB2791" w:rsidRDefault="00133DF3" w:rsidP="00816D2C">
            <w:pPr>
              <w:pStyle w:val="Tabletext"/>
              <w:spacing w:line="260" w:lineRule="exact"/>
              <w:jc w:val="center"/>
              <w:rPr>
                <w:rFonts w:cs="Calibri"/>
              </w:rPr>
            </w:pPr>
            <w:r w:rsidRPr="00BB2791">
              <w:rPr>
                <w:rFonts w:cs="Calibri"/>
              </w:rPr>
              <w:t>77</w:t>
            </w:r>
          </w:p>
        </w:tc>
      </w:tr>
      <w:tr w:rsidR="00133DF3" w:rsidRPr="00BB2791" w14:paraId="063BEACA"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7E56A167" w14:textId="77777777" w:rsidR="00133DF3" w:rsidRPr="00BB2791" w:rsidRDefault="00133DF3" w:rsidP="00816D2C">
            <w:pPr>
              <w:pStyle w:val="Tabletext"/>
              <w:spacing w:line="260" w:lineRule="exact"/>
              <w:rPr>
                <w:rFonts w:cs="Calibri"/>
              </w:rPr>
            </w:pPr>
            <w:r w:rsidRPr="00BB2791">
              <w:rPr>
                <w:rFonts w:cs="Calibri"/>
              </w:rPr>
              <w:t xml:space="preserve">Increase of the soldiers compensation </w:t>
            </w:r>
          </w:p>
        </w:tc>
        <w:tc>
          <w:tcPr>
            <w:tcW w:w="894" w:type="dxa"/>
            <w:tcBorders>
              <w:top w:val="nil"/>
              <w:left w:val="nil"/>
              <w:bottom w:val="single" w:sz="4" w:space="0" w:color="FFFFFF"/>
              <w:right w:val="nil"/>
            </w:tcBorders>
            <w:shd w:val="clear" w:color="000000" w:fill="D9D9D9"/>
            <w:vAlign w:val="center"/>
            <w:hideMark/>
          </w:tcPr>
          <w:p w14:paraId="5C7AE19B"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D9D9D9"/>
            <w:vAlign w:val="center"/>
            <w:hideMark/>
          </w:tcPr>
          <w:p w14:paraId="712DD471" w14:textId="77777777" w:rsidR="00133DF3" w:rsidRPr="00BB2791" w:rsidRDefault="00133DF3" w:rsidP="00816D2C">
            <w:pPr>
              <w:pStyle w:val="Tabletext"/>
              <w:spacing w:line="260" w:lineRule="exact"/>
              <w:jc w:val="center"/>
              <w:rPr>
                <w:rFonts w:cs="Calibri"/>
              </w:rPr>
            </w:pPr>
            <w:r w:rsidRPr="00BB2791">
              <w:rPr>
                <w:rFonts w:cs="Calibri"/>
              </w:rPr>
              <w:t>-25</w:t>
            </w:r>
          </w:p>
        </w:tc>
      </w:tr>
      <w:tr w:rsidR="00133DF3" w:rsidRPr="00BB2791" w14:paraId="105E9D7A"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43AB050D" w14:textId="77777777" w:rsidR="00133DF3" w:rsidRPr="00BB2791" w:rsidRDefault="00133DF3" w:rsidP="00816D2C">
            <w:pPr>
              <w:pStyle w:val="Tabletext"/>
              <w:spacing w:line="260" w:lineRule="exact"/>
              <w:rPr>
                <w:rFonts w:cs="Calibri"/>
              </w:rPr>
            </w:pPr>
            <w:r w:rsidRPr="00BB2791">
              <w:rPr>
                <w:rFonts w:cs="Calibri"/>
              </w:rPr>
              <w:t xml:space="preserve">Reform of the wage grid of the security forces </w:t>
            </w:r>
            <w:r>
              <w:rPr>
                <w:rFonts w:cs="Calibri"/>
              </w:rPr>
              <w:br/>
            </w:r>
            <w:r w:rsidRPr="00BB2791">
              <w:rPr>
                <w:rFonts w:cs="Calibri"/>
              </w:rPr>
              <w:t>(Police, Fire Brigade, Coast Guard)</w:t>
            </w:r>
          </w:p>
        </w:tc>
        <w:tc>
          <w:tcPr>
            <w:tcW w:w="894" w:type="dxa"/>
            <w:tcBorders>
              <w:top w:val="nil"/>
              <w:left w:val="nil"/>
              <w:bottom w:val="single" w:sz="4" w:space="0" w:color="FFFFFF"/>
              <w:right w:val="nil"/>
            </w:tcBorders>
            <w:shd w:val="clear" w:color="000000" w:fill="F2F2F2"/>
            <w:vAlign w:val="center"/>
            <w:hideMark/>
          </w:tcPr>
          <w:p w14:paraId="12ED8A02" w14:textId="77777777" w:rsidR="00133DF3" w:rsidRPr="00BB2791" w:rsidRDefault="00133DF3" w:rsidP="00816D2C">
            <w:pPr>
              <w:pStyle w:val="Tabletext"/>
              <w:spacing w:line="260" w:lineRule="exact"/>
              <w:jc w:val="center"/>
              <w:rPr>
                <w:rFonts w:cs="Calibri"/>
              </w:rPr>
            </w:pPr>
            <w:r w:rsidRPr="00BB2791">
              <w:rPr>
                <w:rFonts w:cs="Calibri"/>
              </w:rPr>
              <w:t>-32</w:t>
            </w:r>
          </w:p>
        </w:tc>
        <w:tc>
          <w:tcPr>
            <w:tcW w:w="903" w:type="dxa"/>
            <w:tcBorders>
              <w:top w:val="nil"/>
              <w:left w:val="nil"/>
              <w:bottom w:val="single" w:sz="4" w:space="0" w:color="FFFFFF"/>
              <w:right w:val="nil"/>
            </w:tcBorders>
            <w:shd w:val="clear" w:color="000000" w:fill="F2F2F2"/>
            <w:vAlign w:val="center"/>
            <w:hideMark/>
          </w:tcPr>
          <w:p w14:paraId="3DD430BD" w14:textId="77777777" w:rsidR="00133DF3" w:rsidRPr="00BB2791" w:rsidRDefault="00133DF3" w:rsidP="00816D2C">
            <w:pPr>
              <w:pStyle w:val="Tabletext"/>
              <w:spacing w:line="260" w:lineRule="exact"/>
              <w:jc w:val="center"/>
              <w:rPr>
                <w:rFonts w:cs="Calibri"/>
              </w:rPr>
            </w:pPr>
            <w:r w:rsidRPr="00BB2791">
              <w:rPr>
                <w:rFonts w:cs="Calibri"/>
              </w:rPr>
              <w:t>-127</w:t>
            </w:r>
          </w:p>
        </w:tc>
      </w:tr>
      <w:tr w:rsidR="00133DF3" w:rsidRPr="00BB2791" w14:paraId="34B482FF"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18CC0A7E" w14:textId="77777777" w:rsidR="00133DF3" w:rsidRPr="00BB2791" w:rsidRDefault="00133DF3" w:rsidP="00816D2C">
            <w:pPr>
              <w:pStyle w:val="Tabletext"/>
              <w:spacing w:line="260" w:lineRule="exact"/>
              <w:rPr>
                <w:rFonts w:cs="Calibri"/>
              </w:rPr>
            </w:pPr>
            <w:r w:rsidRPr="00BB2791">
              <w:rPr>
                <w:rFonts w:cs="Calibri"/>
              </w:rPr>
              <w:t>Reform of the compensation of Ministry of Foreign Affairs employees</w:t>
            </w:r>
            <w:r w:rsidRPr="00BB2791">
              <w:t xml:space="preserve"> </w:t>
            </w:r>
          </w:p>
        </w:tc>
        <w:tc>
          <w:tcPr>
            <w:tcW w:w="894" w:type="dxa"/>
            <w:tcBorders>
              <w:top w:val="nil"/>
              <w:left w:val="nil"/>
              <w:bottom w:val="single" w:sz="4" w:space="0" w:color="FFFFFF"/>
              <w:right w:val="nil"/>
            </w:tcBorders>
            <w:shd w:val="clear" w:color="000000" w:fill="D9D9D9"/>
            <w:vAlign w:val="center"/>
            <w:hideMark/>
          </w:tcPr>
          <w:p w14:paraId="66BB4DF3"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D9D9D9"/>
            <w:vAlign w:val="center"/>
            <w:hideMark/>
          </w:tcPr>
          <w:p w14:paraId="3AAA5CBD" w14:textId="77777777" w:rsidR="00133DF3" w:rsidRPr="00BB2791" w:rsidRDefault="00133DF3" w:rsidP="00816D2C">
            <w:pPr>
              <w:pStyle w:val="Tabletext"/>
              <w:spacing w:line="260" w:lineRule="exact"/>
              <w:jc w:val="center"/>
              <w:rPr>
                <w:rFonts w:cs="Calibri"/>
              </w:rPr>
            </w:pPr>
            <w:r w:rsidRPr="00BB2791">
              <w:rPr>
                <w:rFonts w:cs="Calibri"/>
              </w:rPr>
              <w:t>-30</w:t>
            </w:r>
          </w:p>
        </w:tc>
      </w:tr>
      <w:tr w:rsidR="00133DF3" w:rsidRPr="00BB2791" w14:paraId="32CEDC4C"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0C123D4B" w14:textId="77777777" w:rsidR="00133DF3" w:rsidRPr="00BB2791" w:rsidRDefault="00133DF3" w:rsidP="00816D2C">
            <w:pPr>
              <w:pStyle w:val="Tabletext"/>
              <w:spacing w:line="260" w:lineRule="exact"/>
              <w:rPr>
                <w:rFonts w:cs="Calibri"/>
              </w:rPr>
            </w:pPr>
            <w:r w:rsidRPr="00BB2791">
              <w:rPr>
                <w:rFonts w:cs="Calibri"/>
              </w:rPr>
              <w:t>Wage increase for graduates of Polytechnic and other University Schools offering a five-year programme of studies</w:t>
            </w:r>
          </w:p>
        </w:tc>
        <w:tc>
          <w:tcPr>
            <w:tcW w:w="894" w:type="dxa"/>
            <w:tcBorders>
              <w:top w:val="nil"/>
              <w:left w:val="nil"/>
              <w:bottom w:val="single" w:sz="4" w:space="0" w:color="FFFFFF"/>
              <w:right w:val="nil"/>
            </w:tcBorders>
            <w:shd w:val="clear" w:color="000000" w:fill="F2F2F2"/>
            <w:vAlign w:val="center"/>
            <w:hideMark/>
          </w:tcPr>
          <w:p w14:paraId="32C612C1"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F2F2F2"/>
            <w:vAlign w:val="center"/>
            <w:hideMark/>
          </w:tcPr>
          <w:p w14:paraId="73CA4BE7" w14:textId="77777777" w:rsidR="00133DF3" w:rsidRPr="00BB2791" w:rsidRDefault="00133DF3" w:rsidP="00816D2C">
            <w:pPr>
              <w:pStyle w:val="Tabletext"/>
              <w:spacing w:line="260" w:lineRule="exact"/>
              <w:jc w:val="center"/>
              <w:rPr>
                <w:rFonts w:cs="Calibri"/>
              </w:rPr>
            </w:pPr>
            <w:r w:rsidRPr="00BB2791">
              <w:rPr>
                <w:rFonts w:cs="Calibri"/>
              </w:rPr>
              <w:t>-7</w:t>
            </w:r>
          </w:p>
        </w:tc>
      </w:tr>
      <w:tr w:rsidR="00133DF3" w:rsidRPr="00BB2791" w14:paraId="28A50CF3"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44E6215B" w14:textId="77777777" w:rsidR="00133DF3" w:rsidRPr="00BB2791" w:rsidRDefault="00133DF3" w:rsidP="00816D2C">
            <w:pPr>
              <w:pStyle w:val="Tabletext"/>
              <w:spacing w:line="260" w:lineRule="exact"/>
              <w:rPr>
                <w:rFonts w:cs="Calibri"/>
              </w:rPr>
            </w:pPr>
            <w:r w:rsidRPr="00BB2791">
              <w:rPr>
                <w:rFonts w:cs="Calibri"/>
              </w:rPr>
              <w:t>Introduction of a tax exemption for the academic library allowance of faculty members and researchers</w:t>
            </w:r>
          </w:p>
        </w:tc>
        <w:tc>
          <w:tcPr>
            <w:tcW w:w="894" w:type="dxa"/>
            <w:tcBorders>
              <w:top w:val="nil"/>
              <w:left w:val="nil"/>
              <w:bottom w:val="single" w:sz="4" w:space="0" w:color="FFFFFF"/>
              <w:right w:val="nil"/>
            </w:tcBorders>
            <w:shd w:val="clear" w:color="000000" w:fill="D9D9D9"/>
            <w:vAlign w:val="center"/>
            <w:hideMark/>
          </w:tcPr>
          <w:p w14:paraId="4B9A806A"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D9D9D9"/>
            <w:vAlign w:val="center"/>
            <w:hideMark/>
          </w:tcPr>
          <w:p w14:paraId="013D52FB" w14:textId="77777777" w:rsidR="00133DF3" w:rsidRPr="00BB2791" w:rsidRDefault="00133DF3" w:rsidP="00816D2C">
            <w:pPr>
              <w:pStyle w:val="Tabletext"/>
              <w:spacing w:line="260" w:lineRule="exact"/>
              <w:jc w:val="center"/>
              <w:rPr>
                <w:rFonts w:cs="Calibri"/>
              </w:rPr>
            </w:pPr>
            <w:r w:rsidRPr="00BB2791">
              <w:rPr>
                <w:rFonts w:cs="Calibri"/>
              </w:rPr>
              <w:t>-6</w:t>
            </w:r>
          </w:p>
        </w:tc>
      </w:tr>
      <w:tr w:rsidR="00133DF3" w:rsidRPr="00BB2791" w14:paraId="20B62B6E"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5EEE8EBC" w14:textId="77777777" w:rsidR="00133DF3" w:rsidRPr="00BB2791" w:rsidRDefault="00133DF3" w:rsidP="00816D2C">
            <w:pPr>
              <w:pStyle w:val="Tabletext"/>
              <w:spacing w:line="260" w:lineRule="exact"/>
              <w:rPr>
                <w:rFonts w:cs="Calibri"/>
              </w:rPr>
            </w:pPr>
            <w:r w:rsidRPr="00BB2791">
              <w:rPr>
                <w:rFonts w:cs="Calibri"/>
              </w:rPr>
              <w:t>Exemption from income tax for foundations and legacies</w:t>
            </w:r>
            <w:r>
              <w:rPr>
                <w:rFonts w:cs="Calibri"/>
              </w:rPr>
              <w:t xml:space="preserve"> </w:t>
            </w:r>
            <w:r>
              <w:rPr>
                <w:rFonts w:cs="Calibri"/>
              </w:rPr>
              <w:br/>
            </w:r>
            <w:r>
              <w:t>(fiscal impact of 43 €million from 2027 onwards)</w:t>
            </w:r>
          </w:p>
        </w:tc>
        <w:tc>
          <w:tcPr>
            <w:tcW w:w="894" w:type="dxa"/>
            <w:tcBorders>
              <w:top w:val="nil"/>
              <w:left w:val="nil"/>
              <w:bottom w:val="single" w:sz="4" w:space="0" w:color="FFFFFF"/>
              <w:right w:val="nil"/>
            </w:tcBorders>
            <w:shd w:val="clear" w:color="000000" w:fill="F2F2F2"/>
            <w:vAlign w:val="center"/>
            <w:hideMark/>
          </w:tcPr>
          <w:p w14:paraId="00E69A14"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F2F2F2"/>
            <w:vAlign w:val="center"/>
            <w:hideMark/>
          </w:tcPr>
          <w:p w14:paraId="29B1AFE8" w14:textId="77777777" w:rsidR="00133DF3" w:rsidRPr="00BB2791" w:rsidRDefault="00133DF3" w:rsidP="00816D2C">
            <w:pPr>
              <w:pStyle w:val="Tabletext"/>
              <w:spacing w:line="260" w:lineRule="exact"/>
              <w:jc w:val="center"/>
              <w:rPr>
                <w:rFonts w:cs="Calibri"/>
              </w:rPr>
            </w:pPr>
            <w:r w:rsidRPr="00BB2791">
              <w:rPr>
                <w:rFonts w:cs="Calibri"/>
              </w:rPr>
              <w:t>0</w:t>
            </w:r>
          </w:p>
        </w:tc>
      </w:tr>
      <w:tr w:rsidR="00133DF3" w:rsidRPr="00BB2791" w14:paraId="00B80917"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07ACD945" w14:textId="77777777" w:rsidR="00133DF3" w:rsidRPr="00BB2791" w:rsidRDefault="00133DF3" w:rsidP="00816D2C">
            <w:pPr>
              <w:pStyle w:val="Tabletext"/>
              <w:spacing w:line="260" w:lineRule="exact"/>
              <w:rPr>
                <w:rFonts w:cs="Calibri"/>
              </w:rPr>
            </w:pPr>
            <w:r w:rsidRPr="00BB2791">
              <w:rPr>
                <w:rFonts w:cs="Calibri"/>
              </w:rPr>
              <w:t>Innovation Fund for Pharmaceuticals</w:t>
            </w:r>
            <w:r w:rsidRPr="00BB2791">
              <w:t xml:space="preserve"> </w:t>
            </w:r>
          </w:p>
        </w:tc>
        <w:tc>
          <w:tcPr>
            <w:tcW w:w="894" w:type="dxa"/>
            <w:tcBorders>
              <w:top w:val="nil"/>
              <w:left w:val="nil"/>
              <w:bottom w:val="single" w:sz="4" w:space="0" w:color="FFFFFF"/>
              <w:right w:val="nil"/>
            </w:tcBorders>
            <w:shd w:val="clear" w:color="000000" w:fill="D9D9D9"/>
            <w:vAlign w:val="center"/>
            <w:hideMark/>
          </w:tcPr>
          <w:p w14:paraId="0D17CDAD"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D9D9D9"/>
            <w:vAlign w:val="center"/>
            <w:hideMark/>
          </w:tcPr>
          <w:p w14:paraId="653A1803" w14:textId="77777777" w:rsidR="00133DF3" w:rsidRPr="00BB2791" w:rsidRDefault="00133DF3" w:rsidP="00816D2C">
            <w:pPr>
              <w:pStyle w:val="Tabletext"/>
              <w:spacing w:line="260" w:lineRule="exact"/>
              <w:jc w:val="center"/>
              <w:rPr>
                <w:rFonts w:cs="Calibri"/>
              </w:rPr>
            </w:pPr>
            <w:r w:rsidRPr="00BB2791">
              <w:rPr>
                <w:rFonts w:cs="Calibri"/>
              </w:rPr>
              <w:t>-50</w:t>
            </w:r>
          </w:p>
        </w:tc>
      </w:tr>
      <w:tr w:rsidR="00133DF3" w:rsidRPr="00BB2791" w14:paraId="588A2C45"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2F4178FE" w14:textId="77777777" w:rsidR="00133DF3" w:rsidRPr="00BB2791" w:rsidRDefault="00133DF3" w:rsidP="00816D2C">
            <w:pPr>
              <w:pStyle w:val="Tabletext"/>
              <w:spacing w:line="260" w:lineRule="exact"/>
              <w:rPr>
                <w:rFonts w:cs="Calibri"/>
              </w:rPr>
            </w:pPr>
            <w:r w:rsidRPr="00BB2791">
              <w:rPr>
                <w:rFonts w:cs="Calibri"/>
              </w:rPr>
              <w:t>Abolition of the cable tv fee</w:t>
            </w:r>
            <w:r w:rsidRPr="00BB2791">
              <w:t xml:space="preserve"> </w:t>
            </w:r>
          </w:p>
        </w:tc>
        <w:tc>
          <w:tcPr>
            <w:tcW w:w="894" w:type="dxa"/>
            <w:tcBorders>
              <w:top w:val="nil"/>
              <w:left w:val="nil"/>
              <w:bottom w:val="single" w:sz="4" w:space="0" w:color="FFFFFF"/>
              <w:right w:val="nil"/>
            </w:tcBorders>
            <w:shd w:val="clear" w:color="000000" w:fill="F2F2F2"/>
            <w:vAlign w:val="center"/>
            <w:hideMark/>
          </w:tcPr>
          <w:p w14:paraId="7DCB869B"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F2F2F2"/>
            <w:vAlign w:val="center"/>
            <w:hideMark/>
          </w:tcPr>
          <w:p w14:paraId="03F7E7F4" w14:textId="77777777" w:rsidR="00133DF3" w:rsidRPr="00BB2791" w:rsidRDefault="00133DF3" w:rsidP="00816D2C">
            <w:pPr>
              <w:pStyle w:val="Tabletext"/>
              <w:spacing w:line="260" w:lineRule="exact"/>
              <w:jc w:val="center"/>
              <w:rPr>
                <w:rFonts w:cs="Calibri"/>
              </w:rPr>
            </w:pPr>
            <w:r w:rsidRPr="00BB2791">
              <w:rPr>
                <w:rFonts w:cs="Calibri"/>
              </w:rPr>
              <w:t>-22</w:t>
            </w:r>
          </w:p>
        </w:tc>
      </w:tr>
      <w:tr w:rsidR="00133DF3" w:rsidRPr="007F6489" w14:paraId="48F9E02B" w14:textId="77777777" w:rsidTr="00816D2C">
        <w:trPr>
          <w:trHeight w:val="369"/>
          <w:jc w:val="center"/>
        </w:trPr>
        <w:tc>
          <w:tcPr>
            <w:tcW w:w="7087" w:type="dxa"/>
            <w:tcBorders>
              <w:top w:val="nil"/>
              <w:left w:val="nil"/>
              <w:bottom w:val="single" w:sz="4" w:space="0" w:color="FFFFFF"/>
              <w:right w:val="nil"/>
            </w:tcBorders>
            <w:shd w:val="clear" w:color="auto" w:fill="DDD9C3" w:themeFill="background2" w:themeFillShade="E6"/>
            <w:vAlign w:val="center"/>
            <w:hideMark/>
          </w:tcPr>
          <w:p w14:paraId="47D1287C" w14:textId="77777777" w:rsidR="00133DF3" w:rsidRPr="007F6489" w:rsidRDefault="00133DF3" w:rsidP="00816D2C">
            <w:pPr>
              <w:pStyle w:val="Tabletext"/>
              <w:spacing w:line="260" w:lineRule="exact"/>
              <w:rPr>
                <w:rFonts w:cs="Calibri"/>
                <w:b/>
                <w:sz w:val="24"/>
              </w:rPr>
            </w:pPr>
            <w:r w:rsidRPr="007F6489">
              <w:rPr>
                <w:rFonts w:cs="Calibri"/>
                <w:b/>
                <w:sz w:val="24"/>
              </w:rPr>
              <w:t>A. Total</w:t>
            </w:r>
          </w:p>
        </w:tc>
        <w:tc>
          <w:tcPr>
            <w:tcW w:w="894" w:type="dxa"/>
            <w:tcBorders>
              <w:top w:val="nil"/>
              <w:left w:val="nil"/>
              <w:bottom w:val="single" w:sz="4" w:space="0" w:color="FFFFFF"/>
              <w:right w:val="nil"/>
            </w:tcBorders>
            <w:shd w:val="clear" w:color="auto" w:fill="DDD9C3" w:themeFill="background2" w:themeFillShade="E6"/>
            <w:vAlign w:val="center"/>
            <w:hideMark/>
          </w:tcPr>
          <w:p w14:paraId="3E0AF995" w14:textId="77777777" w:rsidR="00133DF3" w:rsidRPr="007F6489" w:rsidRDefault="00133DF3" w:rsidP="00816D2C">
            <w:pPr>
              <w:pStyle w:val="Tabletext"/>
              <w:spacing w:line="260" w:lineRule="exact"/>
              <w:jc w:val="center"/>
              <w:rPr>
                <w:rFonts w:cs="Calibri"/>
                <w:b/>
                <w:sz w:val="24"/>
              </w:rPr>
            </w:pPr>
            <w:r w:rsidRPr="007F6489">
              <w:rPr>
                <w:rFonts w:cs="Calibri"/>
                <w:b/>
                <w:sz w:val="24"/>
              </w:rPr>
              <w:t>-53</w:t>
            </w:r>
          </w:p>
        </w:tc>
        <w:tc>
          <w:tcPr>
            <w:tcW w:w="903" w:type="dxa"/>
            <w:tcBorders>
              <w:top w:val="nil"/>
              <w:left w:val="nil"/>
              <w:bottom w:val="single" w:sz="4" w:space="0" w:color="FFFFFF"/>
              <w:right w:val="nil"/>
            </w:tcBorders>
            <w:shd w:val="clear" w:color="auto" w:fill="DDD9C3" w:themeFill="background2" w:themeFillShade="E6"/>
            <w:vAlign w:val="center"/>
            <w:hideMark/>
          </w:tcPr>
          <w:p w14:paraId="4615AF7B" w14:textId="77777777" w:rsidR="00133DF3" w:rsidRPr="007F6489" w:rsidRDefault="00133DF3" w:rsidP="00816D2C">
            <w:pPr>
              <w:pStyle w:val="Tabletext"/>
              <w:spacing w:line="260" w:lineRule="exact"/>
              <w:jc w:val="center"/>
              <w:rPr>
                <w:rFonts w:cs="Calibri"/>
                <w:b/>
                <w:sz w:val="24"/>
              </w:rPr>
            </w:pPr>
            <w:r w:rsidRPr="007F6489">
              <w:rPr>
                <w:rFonts w:cs="Calibri"/>
                <w:b/>
                <w:sz w:val="24"/>
              </w:rPr>
              <w:t>-1,758</w:t>
            </w:r>
          </w:p>
        </w:tc>
      </w:tr>
      <w:tr w:rsidR="00133DF3" w:rsidRPr="00B66587" w14:paraId="1A5799FA" w14:textId="77777777" w:rsidTr="00816D2C">
        <w:trPr>
          <w:trHeight w:val="369"/>
          <w:jc w:val="center"/>
        </w:trPr>
        <w:tc>
          <w:tcPr>
            <w:tcW w:w="7087" w:type="dxa"/>
            <w:tcBorders>
              <w:top w:val="nil"/>
              <w:left w:val="nil"/>
              <w:bottom w:val="single" w:sz="4" w:space="0" w:color="FFFFFF"/>
              <w:right w:val="nil"/>
            </w:tcBorders>
            <w:shd w:val="clear" w:color="auto" w:fill="EAF1DD" w:themeFill="accent3" w:themeFillTint="33"/>
            <w:vAlign w:val="center"/>
          </w:tcPr>
          <w:p w14:paraId="3519AD56" w14:textId="77777777" w:rsidR="00133DF3" w:rsidRPr="00385F38" w:rsidRDefault="00133DF3" w:rsidP="00816D2C">
            <w:pPr>
              <w:pStyle w:val="Tabletext"/>
              <w:spacing w:line="260" w:lineRule="exact"/>
              <w:rPr>
                <w:rFonts w:cs="Calibri"/>
                <w:b/>
                <w:sz w:val="24"/>
              </w:rPr>
            </w:pPr>
            <w:r w:rsidRPr="00385F38">
              <w:rPr>
                <w:rFonts w:cs="Calibri"/>
                <w:b/>
                <w:sz w:val="24"/>
              </w:rPr>
              <w:t>B. Interventions included in the Annual Progress Report 2025</w:t>
            </w:r>
          </w:p>
        </w:tc>
        <w:tc>
          <w:tcPr>
            <w:tcW w:w="894" w:type="dxa"/>
            <w:tcBorders>
              <w:top w:val="nil"/>
              <w:left w:val="nil"/>
              <w:bottom w:val="single" w:sz="4" w:space="0" w:color="FFFFFF"/>
              <w:right w:val="nil"/>
            </w:tcBorders>
            <w:shd w:val="clear" w:color="auto" w:fill="EAF1DD" w:themeFill="accent3" w:themeFillTint="33"/>
            <w:vAlign w:val="center"/>
          </w:tcPr>
          <w:p w14:paraId="351B7C4F" w14:textId="77777777" w:rsidR="00133DF3" w:rsidRPr="00385F38" w:rsidRDefault="00133DF3" w:rsidP="00816D2C">
            <w:pPr>
              <w:pStyle w:val="Tabletext"/>
              <w:spacing w:line="260" w:lineRule="exact"/>
              <w:jc w:val="center"/>
              <w:rPr>
                <w:rFonts w:cs="Calibri"/>
                <w:b/>
                <w:sz w:val="24"/>
              </w:rPr>
            </w:pPr>
            <w:r>
              <w:rPr>
                <w:rFonts w:cs="Calibri"/>
                <w:b/>
                <w:sz w:val="24"/>
              </w:rPr>
              <w:t>2025</w:t>
            </w:r>
          </w:p>
        </w:tc>
        <w:tc>
          <w:tcPr>
            <w:tcW w:w="903" w:type="dxa"/>
            <w:tcBorders>
              <w:top w:val="nil"/>
              <w:left w:val="nil"/>
              <w:bottom w:val="single" w:sz="4" w:space="0" w:color="FFFFFF"/>
              <w:right w:val="nil"/>
            </w:tcBorders>
            <w:shd w:val="clear" w:color="auto" w:fill="EAF1DD" w:themeFill="accent3" w:themeFillTint="33"/>
            <w:vAlign w:val="center"/>
          </w:tcPr>
          <w:p w14:paraId="7A7CA1C9" w14:textId="77777777" w:rsidR="00133DF3" w:rsidRPr="00385F38" w:rsidRDefault="00133DF3" w:rsidP="00816D2C">
            <w:pPr>
              <w:pStyle w:val="Tabletext"/>
              <w:spacing w:line="260" w:lineRule="exact"/>
              <w:jc w:val="center"/>
              <w:rPr>
                <w:rFonts w:cs="Calibri"/>
                <w:b/>
                <w:sz w:val="24"/>
              </w:rPr>
            </w:pPr>
            <w:r>
              <w:rPr>
                <w:rFonts w:cs="Calibri"/>
                <w:b/>
                <w:sz w:val="24"/>
              </w:rPr>
              <w:t>2026</w:t>
            </w:r>
          </w:p>
        </w:tc>
      </w:tr>
      <w:tr w:rsidR="00133DF3" w:rsidRPr="00BB2791" w14:paraId="19C8DB72"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2DBACC56" w14:textId="77777777" w:rsidR="00133DF3" w:rsidRPr="00BB2791" w:rsidRDefault="00133DF3" w:rsidP="00816D2C">
            <w:pPr>
              <w:pStyle w:val="Tabletext"/>
              <w:spacing w:line="260" w:lineRule="exact"/>
              <w:rPr>
                <w:rFonts w:cs="Calibri"/>
              </w:rPr>
            </w:pPr>
            <w:r w:rsidRPr="00BB2791">
              <w:rPr>
                <w:rFonts w:cs="Calibri"/>
              </w:rPr>
              <w:t>Return of one rent annually with income and property criteria</w:t>
            </w:r>
          </w:p>
        </w:tc>
        <w:tc>
          <w:tcPr>
            <w:tcW w:w="894" w:type="dxa"/>
            <w:tcBorders>
              <w:top w:val="nil"/>
              <w:left w:val="nil"/>
              <w:bottom w:val="single" w:sz="4" w:space="0" w:color="FFFFFF"/>
              <w:right w:val="nil"/>
            </w:tcBorders>
            <w:shd w:val="clear" w:color="000000" w:fill="F2F2F2"/>
            <w:vAlign w:val="center"/>
            <w:hideMark/>
          </w:tcPr>
          <w:p w14:paraId="723DC1C7" w14:textId="77777777" w:rsidR="00133DF3" w:rsidRPr="00BB2791" w:rsidRDefault="00133DF3" w:rsidP="00816D2C">
            <w:pPr>
              <w:pStyle w:val="Tabletext"/>
              <w:spacing w:line="260" w:lineRule="exact"/>
              <w:jc w:val="center"/>
              <w:rPr>
                <w:rFonts w:cs="Calibri"/>
              </w:rPr>
            </w:pPr>
            <w:r w:rsidRPr="00BB2791">
              <w:rPr>
                <w:rFonts w:cs="Calibri"/>
              </w:rPr>
              <w:t>-230</w:t>
            </w:r>
          </w:p>
        </w:tc>
        <w:tc>
          <w:tcPr>
            <w:tcW w:w="903" w:type="dxa"/>
            <w:tcBorders>
              <w:top w:val="nil"/>
              <w:left w:val="nil"/>
              <w:bottom w:val="single" w:sz="4" w:space="0" w:color="FFFFFF"/>
              <w:right w:val="nil"/>
            </w:tcBorders>
            <w:shd w:val="clear" w:color="000000" w:fill="F2F2F2"/>
            <w:vAlign w:val="center"/>
            <w:hideMark/>
          </w:tcPr>
          <w:p w14:paraId="463FD485" w14:textId="77777777" w:rsidR="00133DF3" w:rsidRPr="00BB2791" w:rsidRDefault="00133DF3" w:rsidP="00816D2C">
            <w:pPr>
              <w:pStyle w:val="Tabletext"/>
              <w:spacing w:line="260" w:lineRule="exact"/>
              <w:jc w:val="center"/>
              <w:rPr>
                <w:rFonts w:cs="Calibri"/>
              </w:rPr>
            </w:pPr>
            <w:r w:rsidRPr="00BB2791">
              <w:rPr>
                <w:rFonts w:cs="Calibri"/>
              </w:rPr>
              <w:t>-230</w:t>
            </w:r>
          </w:p>
        </w:tc>
      </w:tr>
      <w:tr w:rsidR="00133DF3" w:rsidRPr="00BB2791" w14:paraId="1892B2A2" w14:textId="77777777" w:rsidTr="00E2601D">
        <w:trPr>
          <w:trHeight w:val="633"/>
          <w:jc w:val="center"/>
        </w:trPr>
        <w:tc>
          <w:tcPr>
            <w:tcW w:w="7087" w:type="dxa"/>
            <w:tcBorders>
              <w:top w:val="nil"/>
              <w:left w:val="nil"/>
              <w:bottom w:val="single" w:sz="4" w:space="0" w:color="FFFFFF"/>
              <w:right w:val="nil"/>
            </w:tcBorders>
            <w:shd w:val="clear" w:color="000000" w:fill="D9D9D9"/>
            <w:vAlign w:val="center"/>
            <w:hideMark/>
          </w:tcPr>
          <w:p w14:paraId="499751D2" w14:textId="77777777" w:rsidR="00133DF3" w:rsidRPr="00BB2791" w:rsidRDefault="00133DF3" w:rsidP="00816D2C">
            <w:pPr>
              <w:pStyle w:val="Tabletext"/>
              <w:spacing w:line="260" w:lineRule="exact"/>
              <w:rPr>
                <w:rFonts w:cs="Calibri"/>
              </w:rPr>
            </w:pPr>
            <w:r w:rsidRPr="00BB2791">
              <w:rPr>
                <w:rFonts w:cs="Calibri"/>
              </w:rPr>
              <w:t xml:space="preserve">Social benefit of €250 to low income </w:t>
            </w:r>
            <w:r w:rsidRPr="00BB2791">
              <w:t xml:space="preserve">pensioners, uninsured elderlies and beneficiaries of disability allowances </w:t>
            </w:r>
          </w:p>
        </w:tc>
        <w:tc>
          <w:tcPr>
            <w:tcW w:w="894" w:type="dxa"/>
            <w:tcBorders>
              <w:top w:val="nil"/>
              <w:left w:val="nil"/>
              <w:bottom w:val="single" w:sz="4" w:space="0" w:color="FFFFFF"/>
              <w:right w:val="nil"/>
            </w:tcBorders>
            <w:shd w:val="clear" w:color="000000" w:fill="D9D9D9"/>
            <w:vAlign w:val="center"/>
            <w:hideMark/>
          </w:tcPr>
          <w:p w14:paraId="4D2AC1FA" w14:textId="77777777" w:rsidR="00133DF3" w:rsidRPr="00BB2791" w:rsidRDefault="00133DF3" w:rsidP="00816D2C">
            <w:pPr>
              <w:pStyle w:val="Tabletext"/>
              <w:spacing w:line="260" w:lineRule="exact"/>
              <w:jc w:val="center"/>
              <w:rPr>
                <w:rFonts w:cs="Calibri"/>
              </w:rPr>
            </w:pPr>
            <w:r w:rsidRPr="00BB2791">
              <w:rPr>
                <w:rFonts w:cs="Calibri"/>
              </w:rPr>
              <w:t>-360</w:t>
            </w:r>
          </w:p>
        </w:tc>
        <w:tc>
          <w:tcPr>
            <w:tcW w:w="903" w:type="dxa"/>
            <w:tcBorders>
              <w:top w:val="nil"/>
              <w:left w:val="nil"/>
              <w:bottom w:val="single" w:sz="4" w:space="0" w:color="FFFFFF"/>
              <w:right w:val="nil"/>
            </w:tcBorders>
            <w:shd w:val="clear" w:color="000000" w:fill="D9D9D9"/>
            <w:vAlign w:val="center"/>
            <w:hideMark/>
          </w:tcPr>
          <w:p w14:paraId="7C6061BE" w14:textId="77777777" w:rsidR="00133DF3" w:rsidRPr="00BB2791" w:rsidRDefault="00133DF3" w:rsidP="00816D2C">
            <w:pPr>
              <w:pStyle w:val="Tabletext"/>
              <w:spacing w:line="260" w:lineRule="exact"/>
              <w:jc w:val="center"/>
              <w:rPr>
                <w:rFonts w:cs="Calibri"/>
              </w:rPr>
            </w:pPr>
            <w:r w:rsidRPr="00BB2791">
              <w:rPr>
                <w:rFonts w:cs="Calibri"/>
              </w:rPr>
              <w:t>-360</w:t>
            </w:r>
          </w:p>
        </w:tc>
      </w:tr>
      <w:tr w:rsidR="00133DF3" w:rsidRPr="00BB2791" w14:paraId="50D0588A"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4EDBA706" w14:textId="77777777" w:rsidR="00133DF3" w:rsidRPr="00BB2791" w:rsidRDefault="00133DF3" w:rsidP="00816D2C">
            <w:pPr>
              <w:pStyle w:val="Tabletext"/>
              <w:spacing w:line="260" w:lineRule="exact"/>
              <w:rPr>
                <w:rFonts w:cs="Calibri"/>
              </w:rPr>
            </w:pPr>
            <w:r w:rsidRPr="00BB2791">
              <w:rPr>
                <w:rFonts w:cs="Calibri"/>
              </w:rPr>
              <w:t>Increase of the national Public Investment Budget</w:t>
            </w:r>
          </w:p>
        </w:tc>
        <w:tc>
          <w:tcPr>
            <w:tcW w:w="894" w:type="dxa"/>
            <w:tcBorders>
              <w:top w:val="nil"/>
              <w:left w:val="nil"/>
              <w:bottom w:val="single" w:sz="4" w:space="0" w:color="FFFFFF"/>
              <w:right w:val="nil"/>
            </w:tcBorders>
            <w:shd w:val="clear" w:color="000000" w:fill="F2F2F2"/>
            <w:vAlign w:val="center"/>
            <w:hideMark/>
          </w:tcPr>
          <w:p w14:paraId="5BA37788" w14:textId="77777777" w:rsidR="00133DF3" w:rsidRPr="00BB2791" w:rsidRDefault="00133DF3" w:rsidP="00816D2C">
            <w:pPr>
              <w:pStyle w:val="Tabletext"/>
              <w:spacing w:line="260" w:lineRule="exact"/>
              <w:jc w:val="center"/>
              <w:rPr>
                <w:rFonts w:cs="Calibri"/>
              </w:rPr>
            </w:pPr>
            <w:r w:rsidRPr="00BB2791">
              <w:rPr>
                <w:rFonts w:cs="Calibri"/>
              </w:rPr>
              <w:t>-500</w:t>
            </w:r>
          </w:p>
        </w:tc>
        <w:tc>
          <w:tcPr>
            <w:tcW w:w="903" w:type="dxa"/>
            <w:tcBorders>
              <w:top w:val="nil"/>
              <w:left w:val="nil"/>
              <w:bottom w:val="single" w:sz="4" w:space="0" w:color="FFFFFF"/>
              <w:right w:val="nil"/>
            </w:tcBorders>
            <w:shd w:val="clear" w:color="000000" w:fill="F2F2F2"/>
            <w:vAlign w:val="center"/>
            <w:hideMark/>
          </w:tcPr>
          <w:p w14:paraId="292D7AE4" w14:textId="77777777" w:rsidR="00133DF3" w:rsidRPr="00BB2791" w:rsidRDefault="00133DF3" w:rsidP="00816D2C">
            <w:pPr>
              <w:pStyle w:val="Tabletext"/>
              <w:spacing w:line="260" w:lineRule="exact"/>
              <w:jc w:val="center"/>
              <w:rPr>
                <w:rFonts w:cs="Calibri"/>
              </w:rPr>
            </w:pPr>
            <w:r w:rsidRPr="00BB2791">
              <w:rPr>
                <w:rFonts w:cs="Calibri"/>
              </w:rPr>
              <w:t>-500</w:t>
            </w:r>
          </w:p>
        </w:tc>
      </w:tr>
      <w:tr w:rsidR="00133DF3" w:rsidRPr="00BB2791" w14:paraId="45DEE587"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63E18C8F" w14:textId="77777777" w:rsidR="00133DF3" w:rsidRPr="00BB2791" w:rsidRDefault="00133DF3" w:rsidP="00816D2C">
            <w:pPr>
              <w:pStyle w:val="Tabletext"/>
              <w:spacing w:line="260" w:lineRule="exact"/>
              <w:rPr>
                <w:rFonts w:cs="Calibri"/>
              </w:rPr>
            </w:pPr>
            <w:r w:rsidRPr="00BB2791">
              <w:rPr>
                <w:rFonts w:cs="Calibri"/>
              </w:rPr>
              <w:t>Extension beyond 2025 of the annual increase of the pharmaceutical expenditure ceiling by €100 million</w:t>
            </w:r>
          </w:p>
        </w:tc>
        <w:tc>
          <w:tcPr>
            <w:tcW w:w="894" w:type="dxa"/>
            <w:tcBorders>
              <w:top w:val="nil"/>
              <w:left w:val="nil"/>
              <w:bottom w:val="single" w:sz="4" w:space="0" w:color="FFFFFF"/>
              <w:right w:val="nil"/>
            </w:tcBorders>
            <w:shd w:val="clear" w:color="000000" w:fill="D9D9D9"/>
            <w:vAlign w:val="center"/>
            <w:hideMark/>
          </w:tcPr>
          <w:p w14:paraId="5EDA2F67" w14:textId="77777777" w:rsidR="00133DF3" w:rsidRPr="00BB2791" w:rsidRDefault="00133DF3" w:rsidP="00816D2C">
            <w:pPr>
              <w:pStyle w:val="Tabletext"/>
              <w:spacing w:line="260" w:lineRule="exact"/>
              <w:jc w:val="center"/>
              <w:rPr>
                <w:rFonts w:cs="Calibri"/>
              </w:rPr>
            </w:pPr>
            <w:r w:rsidRPr="00BB2791">
              <w:rPr>
                <w:rFonts w:cs="Calibri"/>
              </w:rPr>
              <w:t>0</w:t>
            </w:r>
          </w:p>
        </w:tc>
        <w:tc>
          <w:tcPr>
            <w:tcW w:w="903" w:type="dxa"/>
            <w:tcBorders>
              <w:top w:val="nil"/>
              <w:left w:val="nil"/>
              <w:bottom w:val="single" w:sz="4" w:space="0" w:color="FFFFFF"/>
              <w:right w:val="nil"/>
            </w:tcBorders>
            <w:shd w:val="clear" w:color="000000" w:fill="D9D9D9"/>
            <w:vAlign w:val="center"/>
            <w:hideMark/>
          </w:tcPr>
          <w:p w14:paraId="73595A02" w14:textId="77777777" w:rsidR="00133DF3" w:rsidRPr="00BB2791" w:rsidRDefault="00133DF3" w:rsidP="00816D2C">
            <w:pPr>
              <w:pStyle w:val="Tabletext"/>
              <w:spacing w:line="260" w:lineRule="exact"/>
              <w:jc w:val="center"/>
              <w:rPr>
                <w:rFonts w:cs="Calibri"/>
              </w:rPr>
            </w:pPr>
            <w:r w:rsidRPr="00BB2791">
              <w:rPr>
                <w:rFonts w:cs="Calibri"/>
              </w:rPr>
              <w:t>-100</w:t>
            </w:r>
          </w:p>
        </w:tc>
      </w:tr>
      <w:tr w:rsidR="00133DF3" w:rsidRPr="00BB2791" w14:paraId="41B6FEEA"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13184DFA" w14:textId="77777777" w:rsidR="00133DF3" w:rsidRPr="00BB2791" w:rsidRDefault="00133DF3" w:rsidP="00816D2C">
            <w:pPr>
              <w:pStyle w:val="Tabletext"/>
              <w:spacing w:line="260" w:lineRule="exact"/>
              <w:rPr>
                <w:rFonts w:cs="Calibri"/>
              </w:rPr>
            </w:pPr>
            <w:r w:rsidRPr="00BB2791">
              <w:rPr>
                <w:rFonts w:cs="Calibri"/>
              </w:rPr>
              <w:t>Increase of the healthcare expenditure ceiling</w:t>
            </w:r>
            <w:r w:rsidRPr="00BB2791">
              <w:t xml:space="preserve"> for diagnostic centers and private clinics </w:t>
            </w:r>
          </w:p>
        </w:tc>
        <w:tc>
          <w:tcPr>
            <w:tcW w:w="894" w:type="dxa"/>
            <w:tcBorders>
              <w:top w:val="nil"/>
              <w:left w:val="nil"/>
              <w:bottom w:val="single" w:sz="4" w:space="0" w:color="FFFFFF"/>
              <w:right w:val="nil"/>
            </w:tcBorders>
            <w:shd w:val="clear" w:color="000000" w:fill="F2F2F2"/>
            <w:vAlign w:val="center"/>
            <w:hideMark/>
          </w:tcPr>
          <w:p w14:paraId="267432CF" w14:textId="77777777" w:rsidR="00133DF3" w:rsidRPr="00BB2791" w:rsidRDefault="00133DF3" w:rsidP="00816D2C">
            <w:pPr>
              <w:pStyle w:val="Tabletext"/>
              <w:spacing w:line="260" w:lineRule="exact"/>
              <w:jc w:val="center"/>
              <w:rPr>
                <w:rFonts w:cs="Calibri"/>
              </w:rPr>
            </w:pPr>
            <w:r w:rsidRPr="00BB2791">
              <w:rPr>
                <w:rFonts w:cs="Calibri"/>
              </w:rPr>
              <w:t>-35</w:t>
            </w:r>
          </w:p>
        </w:tc>
        <w:tc>
          <w:tcPr>
            <w:tcW w:w="903" w:type="dxa"/>
            <w:tcBorders>
              <w:top w:val="nil"/>
              <w:left w:val="nil"/>
              <w:bottom w:val="single" w:sz="4" w:space="0" w:color="FFFFFF"/>
              <w:right w:val="nil"/>
            </w:tcBorders>
            <w:shd w:val="clear" w:color="000000" w:fill="F2F2F2"/>
            <w:vAlign w:val="center"/>
            <w:hideMark/>
          </w:tcPr>
          <w:p w14:paraId="52CDF183" w14:textId="77777777" w:rsidR="00133DF3" w:rsidRPr="00BB2791" w:rsidRDefault="00133DF3" w:rsidP="00816D2C">
            <w:pPr>
              <w:pStyle w:val="Tabletext"/>
              <w:spacing w:line="260" w:lineRule="exact"/>
              <w:jc w:val="center"/>
              <w:rPr>
                <w:rFonts w:cs="Calibri"/>
              </w:rPr>
            </w:pPr>
            <w:r w:rsidRPr="00BB2791">
              <w:rPr>
                <w:rFonts w:cs="Calibri"/>
              </w:rPr>
              <w:t>-35</w:t>
            </w:r>
          </w:p>
        </w:tc>
      </w:tr>
      <w:tr w:rsidR="00133DF3" w:rsidRPr="00BB2791" w14:paraId="361B9AA4"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245E260F" w14:textId="77777777" w:rsidR="00133DF3" w:rsidRPr="00BB2791" w:rsidRDefault="00133DF3" w:rsidP="00816D2C">
            <w:pPr>
              <w:pStyle w:val="Tabletext"/>
              <w:spacing w:line="260" w:lineRule="exact"/>
              <w:rPr>
                <w:rFonts w:cs="Calibri"/>
              </w:rPr>
            </w:pPr>
            <w:r w:rsidRPr="00BB2791">
              <w:rPr>
                <w:rFonts w:cs="Calibri"/>
              </w:rPr>
              <w:lastRenderedPageBreak/>
              <w:t xml:space="preserve">Distribution of high-cost medicines </w:t>
            </w:r>
            <w:r w:rsidRPr="00BB2791">
              <w:t xml:space="preserve">through private pharmacies </w:t>
            </w:r>
          </w:p>
        </w:tc>
        <w:tc>
          <w:tcPr>
            <w:tcW w:w="894" w:type="dxa"/>
            <w:tcBorders>
              <w:top w:val="nil"/>
              <w:left w:val="nil"/>
              <w:bottom w:val="single" w:sz="4" w:space="0" w:color="FFFFFF"/>
              <w:right w:val="nil"/>
            </w:tcBorders>
            <w:shd w:val="clear" w:color="000000" w:fill="D9D9D9"/>
            <w:vAlign w:val="center"/>
            <w:hideMark/>
          </w:tcPr>
          <w:p w14:paraId="4AE6D920" w14:textId="77777777" w:rsidR="00133DF3" w:rsidRPr="00BB2791" w:rsidRDefault="00133DF3" w:rsidP="00816D2C">
            <w:pPr>
              <w:pStyle w:val="Tabletext"/>
              <w:spacing w:line="260" w:lineRule="exact"/>
              <w:jc w:val="center"/>
              <w:rPr>
                <w:rFonts w:cs="Calibri"/>
              </w:rPr>
            </w:pPr>
            <w:r w:rsidRPr="00BB2791">
              <w:rPr>
                <w:rFonts w:cs="Calibri"/>
              </w:rPr>
              <w:t>-12</w:t>
            </w:r>
          </w:p>
        </w:tc>
        <w:tc>
          <w:tcPr>
            <w:tcW w:w="903" w:type="dxa"/>
            <w:tcBorders>
              <w:top w:val="nil"/>
              <w:left w:val="nil"/>
              <w:bottom w:val="single" w:sz="4" w:space="0" w:color="FFFFFF"/>
              <w:right w:val="nil"/>
            </w:tcBorders>
            <w:shd w:val="clear" w:color="000000" w:fill="D9D9D9"/>
            <w:vAlign w:val="center"/>
            <w:hideMark/>
          </w:tcPr>
          <w:p w14:paraId="15248C00" w14:textId="77777777" w:rsidR="00133DF3" w:rsidRPr="00BB2791" w:rsidRDefault="00133DF3" w:rsidP="00816D2C">
            <w:pPr>
              <w:pStyle w:val="Tabletext"/>
              <w:spacing w:line="260" w:lineRule="exact"/>
              <w:jc w:val="center"/>
              <w:rPr>
                <w:rFonts w:cs="Calibri"/>
              </w:rPr>
            </w:pPr>
            <w:r w:rsidRPr="00BB2791">
              <w:rPr>
                <w:rFonts w:cs="Calibri"/>
              </w:rPr>
              <w:t>-12</w:t>
            </w:r>
          </w:p>
        </w:tc>
      </w:tr>
      <w:tr w:rsidR="00133DF3" w:rsidRPr="00BB2791" w14:paraId="5B6BE147"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5C0859B9" w14:textId="77777777" w:rsidR="00133DF3" w:rsidRPr="00BB2791" w:rsidRDefault="00133DF3" w:rsidP="00816D2C">
            <w:pPr>
              <w:pStyle w:val="Tabletext"/>
              <w:spacing w:line="260" w:lineRule="exact"/>
              <w:rPr>
                <w:rFonts w:cs="Calibri"/>
              </w:rPr>
            </w:pPr>
            <w:r w:rsidRPr="00BB2791">
              <w:rPr>
                <w:rFonts w:cs="Calibri"/>
              </w:rPr>
              <w:t>Hazardous allowance of €100 per month for uniformed personnel</w:t>
            </w:r>
            <w:r w:rsidRPr="00BB2791">
              <w:t xml:space="preserve"> </w:t>
            </w:r>
          </w:p>
        </w:tc>
        <w:tc>
          <w:tcPr>
            <w:tcW w:w="894" w:type="dxa"/>
            <w:tcBorders>
              <w:top w:val="nil"/>
              <w:left w:val="nil"/>
              <w:bottom w:val="single" w:sz="4" w:space="0" w:color="FFFFFF"/>
              <w:right w:val="nil"/>
            </w:tcBorders>
            <w:shd w:val="clear" w:color="000000" w:fill="F2F2F2"/>
            <w:vAlign w:val="center"/>
            <w:hideMark/>
          </w:tcPr>
          <w:p w14:paraId="4766E75F" w14:textId="77777777" w:rsidR="00133DF3" w:rsidRPr="00BB2791" w:rsidRDefault="00133DF3" w:rsidP="00816D2C">
            <w:pPr>
              <w:pStyle w:val="Tabletext"/>
              <w:spacing w:line="260" w:lineRule="exact"/>
              <w:jc w:val="center"/>
              <w:rPr>
                <w:rFonts w:cs="Calibri"/>
              </w:rPr>
            </w:pPr>
            <w:r w:rsidRPr="00BB2791">
              <w:rPr>
                <w:rFonts w:cs="Calibri"/>
              </w:rPr>
              <w:t>-111</w:t>
            </w:r>
          </w:p>
        </w:tc>
        <w:tc>
          <w:tcPr>
            <w:tcW w:w="903" w:type="dxa"/>
            <w:tcBorders>
              <w:top w:val="nil"/>
              <w:left w:val="nil"/>
              <w:bottom w:val="single" w:sz="4" w:space="0" w:color="FFFFFF"/>
              <w:right w:val="nil"/>
            </w:tcBorders>
            <w:shd w:val="clear" w:color="000000" w:fill="F2F2F2"/>
            <w:vAlign w:val="center"/>
            <w:hideMark/>
          </w:tcPr>
          <w:p w14:paraId="51C70732" w14:textId="77777777" w:rsidR="00133DF3" w:rsidRPr="00BB2791" w:rsidRDefault="00133DF3" w:rsidP="00816D2C">
            <w:pPr>
              <w:pStyle w:val="Tabletext"/>
              <w:spacing w:line="260" w:lineRule="exact"/>
              <w:jc w:val="center"/>
              <w:rPr>
                <w:rFonts w:cs="Calibri"/>
              </w:rPr>
            </w:pPr>
            <w:r w:rsidRPr="00BB2791">
              <w:rPr>
                <w:rFonts w:cs="Calibri"/>
              </w:rPr>
              <w:t>-222</w:t>
            </w:r>
          </w:p>
        </w:tc>
      </w:tr>
      <w:tr w:rsidR="00133DF3" w:rsidRPr="00BB2791" w14:paraId="0BEAB008"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54AE5202" w14:textId="77777777" w:rsidR="00133DF3" w:rsidRPr="00BB2791" w:rsidRDefault="00133DF3" w:rsidP="00816D2C">
            <w:pPr>
              <w:pStyle w:val="Tabletext"/>
              <w:spacing w:line="260" w:lineRule="exact"/>
              <w:rPr>
                <w:rFonts w:cs="Calibri"/>
              </w:rPr>
            </w:pPr>
            <w:r w:rsidRPr="00BB2791">
              <w:rPr>
                <w:rFonts w:cs="Calibri"/>
              </w:rPr>
              <w:t>Extension of the exemption from pharmaceutical expenditure</w:t>
            </w:r>
            <w:r w:rsidRPr="00BB2791">
              <w:t xml:space="preserve"> to low-income pensioners </w:t>
            </w:r>
          </w:p>
        </w:tc>
        <w:tc>
          <w:tcPr>
            <w:tcW w:w="894" w:type="dxa"/>
            <w:tcBorders>
              <w:top w:val="nil"/>
              <w:left w:val="nil"/>
              <w:bottom w:val="single" w:sz="4" w:space="0" w:color="FFFFFF"/>
              <w:right w:val="nil"/>
            </w:tcBorders>
            <w:shd w:val="clear" w:color="000000" w:fill="D9D9D9"/>
            <w:vAlign w:val="center"/>
            <w:hideMark/>
          </w:tcPr>
          <w:p w14:paraId="3E8D022D" w14:textId="77777777" w:rsidR="00133DF3" w:rsidRPr="00BB2791" w:rsidRDefault="00133DF3" w:rsidP="00816D2C">
            <w:pPr>
              <w:pStyle w:val="Tabletext"/>
              <w:spacing w:line="260" w:lineRule="exact"/>
              <w:jc w:val="center"/>
              <w:rPr>
                <w:rFonts w:cs="Calibri"/>
              </w:rPr>
            </w:pPr>
            <w:r w:rsidRPr="00BB2791">
              <w:rPr>
                <w:rFonts w:cs="Calibri"/>
              </w:rPr>
              <w:t>-23</w:t>
            </w:r>
          </w:p>
        </w:tc>
        <w:tc>
          <w:tcPr>
            <w:tcW w:w="903" w:type="dxa"/>
            <w:tcBorders>
              <w:top w:val="nil"/>
              <w:left w:val="nil"/>
              <w:bottom w:val="single" w:sz="4" w:space="0" w:color="FFFFFF"/>
              <w:right w:val="nil"/>
            </w:tcBorders>
            <w:shd w:val="clear" w:color="000000" w:fill="D9D9D9"/>
            <w:vAlign w:val="center"/>
            <w:hideMark/>
          </w:tcPr>
          <w:p w14:paraId="42993DF5" w14:textId="77777777" w:rsidR="00133DF3" w:rsidRPr="00BB2791" w:rsidRDefault="00133DF3" w:rsidP="00816D2C">
            <w:pPr>
              <w:pStyle w:val="Tabletext"/>
              <w:spacing w:line="260" w:lineRule="exact"/>
              <w:jc w:val="center"/>
              <w:rPr>
                <w:rFonts w:cs="Calibri"/>
              </w:rPr>
            </w:pPr>
            <w:r w:rsidRPr="00BB2791">
              <w:rPr>
                <w:rFonts w:cs="Calibri"/>
              </w:rPr>
              <w:t>-23</w:t>
            </w:r>
          </w:p>
        </w:tc>
      </w:tr>
      <w:tr w:rsidR="00133DF3" w:rsidRPr="00BB2791" w14:paraId="4E6DBAC7"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456FD615" w14:textId="77777777" w:rsidR="00133DF3" w:rsidRPr="00BB2791" w:rsidRDefault="00133DF3" w:rsidP="00816D2C">
            <w:pPr>
              <w:pStyle w:val="Tabletext"/>
              <w:spacing w:line="260" w:lineRule="exact"/>
              <w:rPr>
                <w:rFonts w:cs="Calibri"/>
              </w:rPr>
            </w:pPr>
            <w:r w:rsidRPr="00BB2791">
              <w:rPr>
                <w:rFonts w:cs="Calibri"/>
              </w:rPr>
              <w:t>Non-offsetting of the "personal difference"</w:t>
            </w:r>
            <w:r w:rsidRPr="00BB2791">
              <w:t xml:space="preserve"> for public sector employees</w:t>
            </w:r>
          </w:p>
        </w:tc>
        <w:tc>
          <w:tcPr>
            <w:tcW w:w="894" w:type="dxa"/>
            <w:tcBorders>
              <w:top w:val="nil"/>
              <w:left w:val="nil"/>
              <w:bottom w:val="single" w:sz="4" w:space="0" w:color="FFFFFF"/>
              <w:right w:val="nil"/>
            </w:tcBorders>
            <w:shd w:val="clear" w:color="000000" w:fill="F2F2F2"/>
            <w:vAlign w:val="center"/>
            <w:hideMark/>
          </w:tcPr>
          <w:p w14:paraId="6E74BFCA" w14:textId="77777777" w:rsidR="00133DF3" w:rsidRPr="00BB2791" w:rsidRDefault="00133DF3" w:rsidP="00816D2C">
            <w:pPr>
              <w:pStyle w:val="Tabletext"/>
              <w:spacing w:line="260" w:lineRule="exact"/>
              <w:jc w:val="center"/>
              <w:rPr>
                <w:rFonts w:cs="Calibri"/>
              </w:rPr>
            </w:pPr>
            <w:r w:rsidRPr="00BB2791">
              <w:rPr>
                <w:rFonts w:cs="Calibri"/>
              </w:rPr>
              <w:t>-12</w:t>
            </w:r>
          </w:p>
        </w:tc>
        <w:tc>
          <w:tcPr>
            <w:tcW w:w="903" w:type="dxa"/>
            <w:tcBorders>
              <w:top w:val="nil"/>
              <w:left w:val="nil"/>
              <w:bottom w:val="single" w:sz="4" w:space="0" w:color="FFFFFF"/>
              <w:right w:val="nil"/>
            </w:tcBorders>
            <w:shd w:val="clear" w:color="000000" w:fill="F2F2F2"/>
            <w:vAlign w:val="center"/>
            <w:hideMark/>
          </w:tcPr>
          <w:p w14:paraId="0FEE9242" w14:textId="77777777" w:rsidR="00133DF3" w:rsidRPr="00BB2791" w:rsidRDefault="00133DF3" w:rsidP="00816D2C">
            <w:pPr>
              <w:pStyle w:val="Tabletext"/>
              <w:spacing w:line="260" w:lineRule="exact"/>
              <w:jc w:val="center"/>
              <w:rPr>
                <w:rFonts w:cs="Calibri"/>
              </w:rPr>
            </w:pPr>
            <w:r w:rsidRPr="00BB2791">
              <w:rPr>
                <w:rFonts w:cs="Calibri"/>
              </w:rPr>
              <w:t>-17</w:t>
            </w:r>
          </w:p>
        </w:tc>
      </w:tr>
      <w:tr w:rsidR="00133DF3" w:rsidRPr="00BB2791" w14:paraId="4CA7251F"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62A34519" w14:textId="77777777" w:rsidR="00133DF3" w:rsidRPr="00BB2791" w:rsidRDefault="00133DF3" w:rsidP="00816D2C">
            <w:pPr>
              <w:pStyle w:val="Tabletext"/>
              <w:spacing w:line="260" w:lineRule="exact"/>
              <w:rPr>
                <w:rFonts w:cs="Calibri"/>
              </w:rPr>
            </w:pPr>
            <w:r w:rsidRPr="00BB2791">
              <w:rPr>
                <w:rFonts w:cs="Calibri"/>
              </w:rPr>
              <w:t>Abolition of age restrictions for the granting of the deafness - severe hearing loss allowance</w:t>
            </w:r>
            <w:r w:rsidRPr="00BB2791">
              <w:t xml:space="preserve"> </w:t>
            </w:r>
          </w:p>
        </w:tc>
        <w:tc>
          <w:tcPr>
            <w:tcW w:w="894" w:type="dxa"/>
            <w:tcBorders>
              <w:top w:val="nil"/>
              <w:left w:val="nil"/>
              <w:bottom w:val="single" w:sz="4" w:space="0" w:color="FFFFFF"/>
              <w:right w:val="nil"/>
            </w:tcBorders>
            <w:shd w:val="clear" w:color="000000" w:fill="D9D9D9"/>
            <w:vAlign w:val="center"/>
            <w:hideMark/>
          </w:tcPr>
          <w:p w14:paraId="2C9EC3FF" w14:textId="77777777" w:rsidR="00133DF3" w:rsidRPr="00BB2791" w:rsidRDefault="00133DF3" w:rsidP="00816D2C">
            <w:pPr>
              <w:pStyle w:val="Tabletext"/>
              <w:spacing w:line="260" w:lineRule="exact"/>
              <w:jc w:val="center"/>
              <w:rPr>
                <w:rFonts w:cs="Calibri"/>
              </w:rPr>
            </w:pPr>
            <w:r w:rsidRPr="00BB2791">
              <w:rPr>
                <w:rFonts w:cs="Calibri"/>
              </w:rPr>
              <w:t>-4</w:t>
            </w:r>
          </w:p>
        </w:tc>
        <w:tc>
          <w:tcPr>
            <w:tcW w:w="903" w:type="dxa"/>
            <w:tcBorders>
              <w:top w:val="nil"/>
              <w:left w:val="nil"/>
              <w:bottom w:val="single" w:sz="4" w:space="0" w:color="FFFFFF"/>
              <w:right w:val="nil"/>
            </w:tcBorders>
            <w:shd w:val="clear" w:color="000000" w:fill="D9D9D9"/>
            <w:vAlign w:val="center"/>
            <w:hideMark/>
          </w:tcPr>
          <w:p w14:paraId="61D1E766" w14:textId="77777777" w:rsidR="00133DF3" w:rsidRPr="00BB2791" w:rsidRDefault="00133DF3" w:rsidP="00816D2C">
            <w:pPr>
              <w:pStyle w:val="Tabletext"/>
              <w:spacing w:line="260" w:lineRule="exact"/>
              <w:jc w:val="center"/>
              <w:rPr>
                <w:rFonts w:cs="Calibri"/>
              </w:rPr>
            </w:pPr>
            <w:r w:rsidRPr="00BB2791">
              <w:rPr>
                <w:rFonts w:cs="Calibri"/>
              </w:rPr>
              <w:t>-4</w:t>
            </w:r>
          </w:p>
        </w:tc>
      </w:tr>
      <w:tr w:rsidR="00133DF3" w:rsidRPr="00BB2791" w14:paraId="1932960C"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4347F3C6" w14:textId="77777777" w:rsidR="00133DF3" w:rsidRPr="00BB2791" w:rsidRDefault="00133DF3" w:rsidP="00816D2C">
            <w:pPr>
              <w:pStyle w:val="Tabletext"/>
              <w:spacing w:line="260" w:lineRule="exact"/>
              <w:rPr>
                <w:rFonts w:cs="Calibri"/>
              </w:rPr>
            </w:pPr>
            <w:r w:rsidRPr="00BB2791">
              <w:rPr>
                <w:rFonts w:cs="Calibri"/>
              </w:rPr>
              <w:t>Extension of the income tax reduction for building upgrade expenses</w:t>
            </w:r>
            <w:r w:rsidRPr="00BB2791">
              <w:t xml:space="preserve"> for the years 2025 and 2026 </w:t>
            </w:r>
          </w:p>
        </w:tc>
        <w:tc>
          <w:tcPr>
            <w:tcW w:w="894" w:type="dxa"/>
            <w:tcBorders>
              <w:top w:val="nil"/>
              <w:left w:val="nil"/>
              <w:bottom w:val="single" w:sz="4" w:space="0" w:color="FFFFFF"/>
              <w:right w:val="nil"/>
            </w:tcBorders>
            <w:shd w:val="clear" w:color="000000" w:fill="F2F2F2"/>
            <w:vAlign w:val="center"/>
            <w:hideMark/>
          </w:tcPr>
          <w:p w14:paraId="3A5FC0C8" w14:textId="77777777" w:rsidR="00133DF3" w:rsidRPr="00BB2791" w:rsidRDefault="00133DF3" w:rsidP="00816D2C">
            <w:pPr>
              <w:pStyle w:val="Tabletext"/>
              <w:spacing w:line="260" w:lineRule="exact"/>
              <w:jc w:val="center"/>
              <w:rPr>
                <w:rFonts w:cs="Calibri"/>
              </w:rPr>
            </w:pPr>
            <w:r w:rsidRPr="00BB2791">
              <w:rPr>
                <w:rFonts w:cs="Calibri"/>
              </w:rPr>
              <w:t>-5</w:t>
            </w:r>
          </w:p>
        </w:tc>
        <w:tc>
          <w:tcPr>
            <w:tcW w:w="903" w:type="dxa"/>
            <w:tcBorders>
              <w:top w:val="nil"/>
              <w:left w:val="nil"/>
              <w:bottom w:val="single" w:sz="4" w:space="0" w:color="FFFFFF"/>
              <w:right w:val="nil"/>
            </w:tcBorders>
            <w:shd w:val="clear" w:color="000000" w:fill="F2F2F2"/>
            <w:vAlign w:val="center"/>
            <w:hideMark/>
          </w:tcPr>
          <w:p w14:paraId="067387EF" w14:textId="77777777" w:rsidR="00133DF3" w:rsidRPr="00BB2791" w:rsidRDefault="00133DF3" w:rsidP="00816D2C">
            <w:pPr>
              <w:pStyle w:val="Tabletext"/>
              <w:spacing w:line="260" w:lineRule="exact"/>
              <w:jc w:val="center"/>
              <w:rPr>
                <w:rFonts w:cs="Calibri"/>
              </w:rPr>
            </w:pPr>
            <w:r w:rsidRPr="00BB2791">
              <w:rPr>
                <w:rFonts w:cs="Calibri"/>
              </w:rPr>
              <w:t>-5</w:t>
            </w:r>
          </w:p>
        </w:tc>
      </w:tr>
      <w:tr w:rsidR="00133DF3" w:rsidRPr="00BB2791" w14:paraId="26EEFEC6"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44B30301" w14:textId="77777777" w:rsidR="00133DF3" w:rsidRPr="00BB2791" w:rsidRDefault="00133DF3" w:rsidP="00816D2C">
            <w:pPr>
              <w:pStyle w:val="Tabletext"/>
              <w:spacing w:line="260" w:lineRule="exact"/>
              <w:rPr>
                <w:rFonts w:cs="Calibri"/>
              </w:rPr>
            </w:pPr>
            <w:r w:rsidRPr="00BB2791">
              <w:rPr>
                <w:rFonts w:cs="Calibri"/>
              </w:rPr>
              <w:t>Horizontal increase of the public sector wages</w:t>
            </w:r>
            <w:r w:rsidRPr="00BB2791">
              <w:t xml:space="preserve"> so as to maintain the basic salary equal to the minimum wage </w:t>
            </w:r>
          </w:p>
        </w:tc>
        <w:tc>
          <w:tcPr>
            <w:tcW w:w="894" w:type="dxa"/>
            <w:tcBorders>
              <w:top w:val="nil"/>
              <w:left w:val="nil"/>
              <w:bottom w:val="single" w:sz="4" w:space="0" w:color="FFFFFF"/>
              <w:right w:val="nil"/>
            </w:tcBorders>
            <w:shd w:val="clear" w:color="000000" w:fill="D9D9D9"/>
            <w:vAlign w:val="center"/>
            <w:hideMark/>
          </w:tcPr>
          <w:p w14:paraId="2287237E" w14:textId="77777777" w:rsidR="00133DF3" w:rsidRPr="00BB2791" w:rsidRDefault="00133DF3" w:rsidP="00816D2C">
            <w:pPr>
              <w:pStyle w:val="Tabletext"/>
              <w:spacing w:line="260" w:lineRule="exact"/>
              <w:jc w:val="center"/>
              <w:rPr>
                <w:rFonts w:cs="Calibri"/>
              </w:rPr>
            </w:pPr>
            <w:r w:rsidRPr="00BB2791">
              <w:rPr>
                <w:rFonts w:cs="Calibri"/>
              </w:rPr>
              <w:t>-215</w:t>
            </w:r>
          </w:p>
        </w:tc>
        <w:tc>
          <w:tcPr>
            <w:tcW w:w="903" w:type="dxa"/>
            <w:tcBorders>
              <w:top w:val="nil"/>
              <w:left w:val="nil"/>
              <w:bottom w:val="single" w:sz="4" w:space="0" w:color="FFFFFF"/>
              <w:right w:val="nil"/>
            </w:tcBorders>
            <w:shd w:val="clear" w:color="000000" w:fill="D9D9D9"/>
            <w:vAlign w:val="center"/>
            <w:hideMark/>
          </w:tcPr>
          <w:p w14:paraId="3569625B" w14:textId="77777777" w:rsidR="00133DF3" w:rsidRPr="00BB2791" w:rsidRDefault="00133DF3" w:rsidP="00816D2C">
            <w:pPr>
              <w:pStyle w:val="Tabletext"/>
              <w:spacing w:line="260" w:lineRule="exact"/>
              <w:jc w:val="center"/>
              <w:rPr>
                <w:rFonts w:cs="Calibri"/>
              </w:rPr>
            </w:pPr>
            <w:r w:rsidRPr="00BB2791">
              <w:rPr>
                <w:rFonts w:cs="Calibri"/>
              </w:rPr>
              <w:t>-572</w:t>
            </w:r>
          </w:p>
        </w:tc>
      </w:tr>
      <w:tr w:rsidR="00133DF3" w:rsidRPr="00BB2791" w14:paraId="252DA5A8"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39B0B0DF" w14:textId="77777777" w:rsidR="00133DF3" w:rsidRPr="00BB2791" w:rsidRDefault="00133DF3" w:rsidP="00816D2C">
            <w:pPr>
              <w:pStyle w:val="Tabletext"/>
              <w:spacing w:line="260" w:lineRule="exact"/>
              <w:rPr>
                <w:rFonts w:cs="Calibri"/>
              </w:rPr>
            </w:pPr>
            <w:r w:rsidRPr="00BB2791">
              <w:rPr>
                <w:rFonts w:cs="Calibri"/>
              </w:rPr>
              <w:t>Increase of pensions based on GDP growth and inflation</w:t>
            </w:r>
            <w:r w:rsidRPr="00BB2791">
              <w:t xml:space="preserve"> </w:t>
            </w:r>
          </w:p>
        </w:tc>
        <w:tc>
          <w:tcPr>
            <w:tcW w:w="894" w:type="dxa"/>
            <w:tcBorders>
              <w:top w:val="nil"/>
              <w:left w:val="nil"/>
              <w:bottom w:val="single" w:sz="4" w:space="0" w:color="FFFFFF"/>
              <w:right w:val="nil"/>
            </w:tcBorders>
            <w:shd w:val="clear" w:color="000000" w:fill="F2F2F2"/>
            <w:vAlign w:val="center"/>
            <w:hideMark/>
          </w:tcPr>
          <w:p w14:paraId="4A7E24AA" w14:textId="77777777" w:rsidR="00133DF3" w:rsidRPr="00BB2791" w:rsidRDefault="00133DF3" w:rsidP="00816D2C">
            <w:pPr>
              <w:pStyle w:val="Tabletext"/>
              <w:spacing w:line="260" w:lineRule="exact"/>
              <w:jc w:val="center"/>
              <w:rPr>
                <w:rFonts w:cs="Calibri"/>
              </w:rPr>
            </w:pPr>
            <w:r w:rsidRPr="00BB2791">
              <w:rPr>
                <w:rFonts w:cs="Calibri"/>
              </w:rPr>
              <w:t>-474</w:t>
            </w:r>
          </w:p>
        </w:tc>
        <w:tc>
          <w:tcPr>
            <w:tcW w:w="903" w:type="dxa"/>
            <w:tcBorders>
              <w:top w:val="nil"/>
              <w:left w:val="nil"/>
              <w:bottom w:val="single" w:sz="4" w:space="0" w:color="FFFFFF"/>
              <w:right w:val="nil"/>
            </w:tcBorders>
            <w:shd w:val="clear" w:color="000000" w:fill="F2F2F2"/>
            <w:vAlign w:val="center"/>
            <w:hideMark/>
          </w:tcPr>
          <w:p w14:paraId="64517CCD" w14:textId="77777777" w:rsidR="00133DF3" w:rsidRPr="00BB2791" w:rsidRDefault="00133DF3" w:rsidP="00816D2C">
            <w:pPr>
              <w:pStyle w:val="Tabletext"/>
              <w:spacing w:line="260" w:lineRule="exact"/>
              <w:jc w:val="center"/>
              <w:rPr>
                <w:rFonts w:cs="Calibri"/>
              </w:rPr>
            </w:pPr>
            <w:r w:rsidRPr="00BB2791">
              <w:rPr>
                <w:rFonts w:cs="Calibri"/>
              </w:rPr>
              <w:t>-1,028</w:t>
            </w:r>
          </w:p>
        </w:tc>
      </w:tr>
      <w:tr w:rsidR="00133DF3" w:rsidRPr="00BB2791" w14:paraId="50D7302C"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6338E80F" w14:textId="77777777" w:rsidR="00133DF3" w:rsidRPr="00BB2791" w:rsidRDefault="00133DF3" w:rsidP="00816D2C">
            <w:pPr>
              <w:pStyle w:val="Tabletext"/>
              <w:spacing w:line="260" w:lineRule="exact"/>
              <w:rPr>
                <w:rFonts w:cs="Calibri"/>
              </w:rPr>
            </w:pPr>
            <w:r w:rsidRPr="00BB2791">
              <w:rPr>
                <w:rFonts w:cs="Calibri"/>
              </w:rPr>
              <w:t>Reduction of social security contributions by one pp</w:t>
            </w:r>
            <w:r>
              <w:rPr>
                <w:rFonts w:cs="Calibri"/>
              </w:rPr>
              <w:t xml:space="preserve"> </w:t>
            </w:r>
            <w:r w:rsidRPr="00BB2791">
              <w:rPr>
                <w:rFonts w:cs="Calibri"/>
              </w:rPr>
              <w:t>from January 2025</w:t>
            </w:r>
            <w:r w:rsidRPr="00BB2791">
              <w:t xml:space="preserve"> </w:t>
            </w:r>
          </w:p>
        </w:tc>
        <w:tc>
          <w:tcPr>
            <w:tcW w:w="894" w:type="dxa"/>
            <w:tcBorders>
              <w:top w:val="nil"/>
              <w:left w:val="nil"/>
              <w:bottom w:val="single" w:sz="4" w:space="0" w:color="FFFFFF"/>
              <w:right w:val="nil"/>
            </w:tcBorders>
            <w:shd w:val="clear" w:color="000000" w:fill="D9D9D9"/>
            <w:vAlign w:val="center"/>
            <w:hideMark/>
          </w:tcPr>
          <w:p w14:paraId="192B72F9" w14:textId="77777777" w:rsidR="00133DF3" w:rsidRPr="00BB2791" w:rsidRDefault="00133DF3" w:rsidP="00816D2C">
            <w:pPr>
              <w:pStyle w:val="Tabletext"/>
              <w:spacing w:line="260" w:lineRule="exact"/>
              <w:jc w:val="center"/>
              <w:rPr>
                <w:rFonts w:cs="Calibri"/>
              </w:rPr>
            </w:pPr>
            <w:r w:rsidRPr="00BB2791">
              <w:rPr>
                <w:rFonts w:cs="Calibri"/>
              </w:rPr>
              <w:t>-448</w:t>
            </w:r>
          </w:p>
        </w:tc>
        <w:tc>
          <w:tcPr>
            <w:tcW w:w="903" w:type="dxa"/>
            <w:tcBorders>
              <w:top w:val="nil"/>
              <w:left w:val="nil"/>
              <w:bottom w:val="single" w:sz="4" w:space="0" w:color="FFFFFF"/>
              <w:right w:val="nil"/>
            </w:tcBorders>
            <w:shd w:val="clear" w:color="000000" w:fill="D9D9D9"/>
            <w:vAlign w:val="center"/>
            <w:hideMark/>
          </w:tcPr>
          <w:p w14:paraId="32E68709" w14:textId="77777777" w:rsidR="00133DF3" w:rsidRPr="00BB2791" w:rsidRDefault="00133DF3" w:rsidP="00816D2C">
            <w:pPr>
              <w:pStyle w:val="Tabletext"/>
              <w:spacing w:line="260" w:lineRule="exact"/>
              <w:jc w:val="center"/>
              <w:rPr>
                <w:rFonts w:cs="Calibri"/>
              </w:rPr>
            </w:pPr>
            <w:r w:rsidRPr="00BB2791">
              <w:rPr>
                <w:rFonts w:cs="Calibri"/>
              </w:rPr>
              <w:t>-448</w:t>
            </w:r>
          </w:p>
        </w:tc>
      </w:tr>
      <w:tr w:rsidR="00133DF3" w:rsidRPr="00BB2791" w14:paraId="5AAECD13"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6A5FE1E5" w14:textId="77777777" w:rsidR="00133DF3" w:rsidRPr="00BB2791" w:rsidRDefault="00133DF3" w:rsidP="00816D2C">
            <w:pPr>
              <w:pStyle w:val="Tabletext"/>
              <w:spacing w:line="260" w:lineRule="exact"/>
              <w:rPr>
                <w:rFonts w:cs="Calibri"/>
              </w:rPr>
            </w:pPr>
            <w:r w:rsidRPr="00BB2791">
              <w:rPr>
                <w:rFonts w:cs="Calibri"/>
              </w:rPr>
              <w:t>Abolition of the overhead tax for self-employed</w:t>
            </w:r>
            <w:r w:rsidRPr="00BB2791">
              <w:t xml:space="preserve"> from 2025, following the 50% reduction in 2024 </w:t>
            </w:r>
          </w:p>
        </w:tc>
        <w:tc>
          <w:tcPr>
            <w:tcW w:w="894" w:type="dxa"/>
            <w:tcBorders>
              <w:top w:val="nil"/>
              <w:left w:val="nil"/>
              <w:bottom w:val="single" w:sz="4" w:space="0" w:color="FFFFFF"/>
              <w:right w:val="nil"/>
            </w:tcBorders>
            <w:shd w:val="clear" w:color="000000" w:fill="F2F2F2"/>
            <w:vAlign w:val="center"/>
            <w:hideMark/>
          </w:tcPr>
          <w:p w14:paraId="7B6A0D31" w14:textId="77777777" w:rsidR="00133DF3" w:rsidRPr="00BB2791" w:rsidRDefault="00133DF3" w:rsidP="00816D2C">
            <w:pPr>
              <w:pStyle w:val="Tabletext"/>
              <w:spacing w:line="260" w:lineRule="exact"/>
              <w:jc w:val="center"/>
              <w:rPr>
                <w:rFonts w:cs="Calibri"/>
              </w:rPr>
            </w:pPr>
            <w:r w:rsidRPr="00BB2791">
              <w:rPr>
                <w:rFonts w:cs="Calibri"/>
              </w:rPr>
              <w:t>-125</w:t>
            </w:r>
          </w:p>
        </w:tc>
        <w:tc>
          <w:tcPr>
            <w:tcW w:w="903" w:type="dxa"/>
            <w:tcBorders>
              <w:top w:val="nil"/>
              <w:left w:val="nil"/>
              <w:bottom w:val="single" w:sz="4" w:space="0" w:color="FFFFFF"/>
              <w:right w:val="nil"/>
            </w:tcBorders>
            <w:shd w:val="clear" w:color="000000" w:fill="F2F2F2"/>
            <w:vAlign w:val="center"/>
            <w:hideMark/>
          </w:tcPr>
          <w:p w14:paraId="2E890C6F" w14:textId="77777777" w:rsidR="00133DF3" w:rsidRPr="00BB2791" w:rsidRDefault="00133DF3" w:rsidP="00816D2C">
            <w:pPr>
              <w:pStyle w:val="Tabletext"/>
              <w:spacing w:line="260" w:lineRule="exact"/>
              <w:jc w:val="center"/>
              <w:rPr>
                <w:rFonts w:cs="Calibri"/>
              </w:rPr>
            </w:pPr>
            <w:r w:rsidRPr="00BB2791">
              <w:rPr>
                <w:rFonts w:cs="Calibri"/>
              </w:rPr>
              <w:t>-144</w:t>
            </w:r>
          </w:p>
        </w:tc>
      </w:tr>
      <w:tr w:rsidR="00133DF3" w:rsidRPr="00BB2791" w14:paraId="37520C52" w14:textId="77777777" w:rsidTr="00816D2C">
        <w:trPr>
          <w:trHeight w:val="702"/>
          <w:jc w:val="center"/>
        </w:trPr>
        <w:tc>
          <w:tcPr>
            <w:tcW w:w="7087" w:type="dxa"/>
            <w:tcBorders>
              <w:top w:val="nil"/>
              <w:left w:val="nil"/>
              <w:bottom w:val="single" w:sz="4" w:space="0" w:color="FFFFFF"/>
              <w:right w:val="nil"/>
            </w:tcBorders>
            <w:shd w:val="clear" w:color="000000" w:fill="D9D9D9"/>
            <w:vAlign w:val="center"/>
            <w:hideMark/>
          </w:tcPr>
          <w:p w14:paraId="7EFE2811" w14:textId="77777777" w:rsidR="00133DF3" w:rsidRPr="00BB2791" w:rsidRDefault="00133DF3" w:rsidP="00816D2C">
            <w:pPr>
              <w:pStyle w:val="Tabletext"/>
              <w:spacing w:line="260" w:lineRule="exact"/>
              <w:rPr>
                <w:rFonts w:cs="Calibri"/>
              </w:rPr>
            </w:pPr>
            <w:r w:rsidRPr="00BB2791">
              <w:rPr>
                <w:rFonts w:cs="Calibri"/>
              </w:rPr>
              <w:t>20% reduction of property tax (ENFIA)  for residences insured against natural disasters</w:t>
            </w:r>
          </w:p>
        </w:tc>
        <w:tc>
          <w:tcPr>
            <w:tcW w:w="894" w:type="dxa"/>
            <w:tcBorders>
              <w:top w:val="nil"/>
              <w:left w:val="nil"/>
              <w:bottom w:val="single" w:sz="4" w:space="0" w:color="FFFFFF"/>
              <w:right w:val="nil"/>
            </w:tcBorders>
            <w:shd w:val="clear" w:color="000000" w:fill="D9D9D9"/>
            <w:vAlign w:val="center"/>
            <w:hideMark/>
          </w:tcPr>
          <w:p w14:paraId="77541007" w14:textId="77777777" w:rsidR="00133DF3" w:rsidRPr="00BB2791" w:rsidRDefault="00133DF3" w:rsidP="00816D2C">
            <w:pPr>
              <w:pStyle w:val="Tabletext"/>
              <w:spacing w:line="260" w:lineRule="exact"/>
              <w:jc w:val="center"/>
              <w:rPr>
                <w:rFonts w:cs="Calibri"/>
              </w:rPr>
            </w:pPr>
            <w:r w:rsidRPr="00BB2791">
              <w:rPr>
                <w:rFonts w:cs="Calibri"/>
              </w:rPr>
              <w:t>-21</w:t>
            </w:r>
          </w:p>
        </w:tc>
        <w:tc>
          <w:tcPr>
            <w:tcW w:w="903" w:type="dxa"/>
            <w:tcBorders>
              <w:top w:val="nil"/>
              <w:left w:val="nil"/>
              <w:bottom w:val="single" w:sz="4" w:space="0" w:color="FFFFFF"/>
              <w:right w:val="nil"/>
            </w:tcBorders>
            <w:shd w:val="clear" w:color="000000" w:fill="D9D9D9"/>
            <w:vAlign w:val="center"/>
            <w:hideMark/>
          </w:tcPr>
          <w:p w14:paraId="6EF7E67C" w14:textId="77777777" w:rsidR="00133DF3" w:rsidRPr="00BB2791" w:rsidRDefault="00133DF3" w:rsidP="00816D2C">
            <w:pPr>
              <w:pStyle w:val="Tabletext"/>
              <w:spacing w:line="260" w:lineRule="exact"/>
              <w:jc w:val="center"/>
              <w:rPr>
                <w:rFonts w:cs="Calibri"/>
              </w:rPr>
            </w:pPr>
            <w:r w:rsidRPr="00BB2791">
              <w:rPr>
                <w:rFonts w:cs="Calibri"/>
              </w:rPr>
              <w:t>-41</w:t>
            </w:r>
          </w:p>
        </w:tc>
      </w:tr>
      <w:tr w:rsidR="00133DF3" w:rsidRPr="00BB2791" w14:paraId="759CB73C"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61AF8792" w14:textId="77777777" w:rsidR="00133DF3" w:rsidRPr="00BB2791" w:rsidRDefault="00133DF3" w:rsidP="00816D2C">
            <w:pPr>
              <w:pStyle w:val="Tabletext"/>
              <w:spacing w:line="260" w:lineRule="exact"/>
              <w:rPr>
                <w:rFonts w:cs="Calibri"/>
              </w:rPr>
            </w:pPr>
            <w:r w:rsidRPr="00BB2791">
              <w:rPr>
                <w:rFonts w:cs="Calibri"/>
              </w:rPr>
              <w:t xml:space="preserve">Permanent return of the special levy on diesel </w:t>
            </w:r>
            <w:r w:rsidRPr="00BB2791">
              <w:t xml:space="preserve">to farmers with a new system </w:t>
            </w:r>
          </w:p>
        </w:tc>
        <w:tc>
          <w:tcPr>
            <w:tcW w:w="894" w:type="dxa"/>
            <w:tcBorders>
              <w:top w:val="nil"/>
              <w:left w:val="nil"/>
              <w:bottom w:val="single" w:sz="4" w:space="0" w:color="FFFFFF"/>
              <w:right w:val="nil"/>
            </w:tcBorders>
            <w:shd w:val="clear" w:color="000000" w:fill="F2F2F2"/>
            <w:vAlign w:val="center"/>
            <w:hideMark/>
          </w:tcPr>
          <w:p w14:paraId="25F0C774" w14:textId="77777777" w:rsidR="00133DF3" w:rsidRPr="00BB2791" w:rsidRDefault="00133DF3" w:rsidP="00816D2C">
            <w:pPr>
              <w:pStyle w:val="Tabletext"/>
              <w:spacing w:line="260" w:lineRule="exact"/>
              <w:jc w:val="center"/>
              <w:rPr>
                <w:rFonts w:cs="Calibri"/>
              </w:rPr>
            </w:pPr>
            <w:r w:rsidRPr="00BB2791">
              <w:rPr>
                <w:rFonts w:cs="Calibri"/>
              </w:rPr>
              <w:t>-100</w:t>
            </w:r>
          </w:p>
        </w:tc>
        <w:tc>
          <w:tcPr>
            <w:tcW w:w="903" w:type="dxa"/>
            <w:tcBorders>
              <w:top w:val="nil"/>
              <w:left w:val="nil"/>
              <w:bottom w:val="single" w:sz="4" w:space="0" w:color="FFFFFF"/>
              <w:right w:val="nil"/>
            </w:tcBorders>
            <w:shd w:val="clear" w:color="000000" w:fill="F2F2F2"/>
            <w:vAlign w:val="center"/>
            <w:hideMark/>
          </w:tcPr>
          <w:p w14:paraId="212077B2" w14:textId="77777777" w:rsidR="00133DF3" w:rsidRPr="00BB2791" w:rsidRDefault="00133DF3" w:rsidP="00816D2C">
            <w:pPr>
              <w:pStyle w:val="Tabletext"/>
              <w:spacing w:line="260" w:lineRule="exact"/>
              <w:jc w:val="center"/>
              <w:rPr>
                <w:rFonts w:cs="Calibri"/>
              </w:rPr>
            </w:pPr>
            <w:r w:rsidRPr="00BB2791">
              <w:rPr>
                <w:rFonts w:cs="Calibri"/>
              </w:rPr>
              <w:t>-100</w:t>
            </w:r>
          </w:p>
        </w:tc>
      </w:tr>
      <w:tr w:rsidR="00133DF3" w:rsidRPr="00BB2791" w14:paraId="21FC585B"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182E7541" w14:textId="77777777" w:rsidR="00133DF3" w:rsidRPr="00BB2791" w:rsidRDefault="00133DF3" w:rsidP="00816D2C">
            <w:pPr>
              <w:pStyle w:val="Tabletext"/>
              <w:spacing w:line="260" w:lineRule="exact"/>
              <w:rPr>
                <w:rFonts w:cs="Calibri"/>
              </w:rPr>
            </w:pPr>
            <w:r w:rsidRPr="00BB2791">
              <w:rPr>
                <w:rFonts w:cs="Calibri"/>
              </w:rPr>
              <w:t>Decrease in taxation of overtime compensation for hospital doctors</w:t>
            </w:r>
          </w:p>
        </w:tc>
        <w:tc>
          <w:tcPr>
            <w:tcW w:w="894" w:type="dxa"/>
            <w:tcBorders>
              <w:top w:val="nil"/>
              <w:left w:val="nil"/>
              <w:bottom w:val="single" w:sz="4" w:space="0" w:color="FFFFFF"/>
              <w:right w:val="nil"/>
            </w:tcBorders>
            <w:shd w:val="clear" w:color="000000" w:fill="D9D9D9"/>
            <w:vAlign w:val="center"/>
            <w:hideMark/>
          </w:tcPr>
          <w:p w14:paraId="49550D36" w14:textId="77777777" w:rsidR="00133DF3" w:rsidRPr="00BB2791" w:rsidRDefault="00133DF3" w:rsidP="00816D2C">
            <w:pPr>
              <w:pStyle w:val="Tabletext"/>
              <w:spacing w:line="260" w:lineRule="exact"/>
              <w:jc w:val="center"/>
              <w:rPr>
                <w:rFonts w:cs="Calibri"/>
              </w:rPr>
            </w:pPr>
            <w:r w:rsidRPr="00BB2791">
              <w:rPr>
                <w:rFonts w:cs="Calibri"/>
              </w:rPr>
              <w:t>-40</w:t>
            </w:r>
          </w:p>
        </w:tc>
        <w:tc>
          <w:tcPr>
            <w:tcW w:w="903" w:type="dxa"/>
            <w:tcBorders>
              <w:top w:val="nil"/>
              <w:left w:val="nil"/>
              <w:bottom w:val="single" w:sz="4" w:space="0" w:color="FFFFFF"/>
              <w:right w:val="nil"/>
            </w:tcBorders>
            <w:shd w:val="clear" w:color="000000" w:fill="D9D9D9"/>
            <w:vAlign w:val="center"/>
            <w:hideMark/>
          </w:tcPr>
          <w:p w14:paraId="5EE8BF36" w14:textId="77777777" w:rsidR="00133DF3" w:rsidRPr="00BB2791" w:rsidRDefault="00133DF3" w:rsidP="00816D2C">
            <w:pPr>
              <w:pStyle w:val="Tabletext"/>
              <w:spacing w:line="260" w:lineRule="exact"/>
              <w:jc w:val="center"/>
              <w:rPr>
                <w:rFonts w:cs="Calibri"/>
              </w:rPr>
            </w:pPr>
            <w:r w:rsidRPr="00BB2791">
              <w:rPr>
                <w:rFonts w:cs="Calibri"/>
              </w:rPr>
              <w:t>-40</w:t>
            </w:r>
          </w:p>
        </w:tc>
      </w:tr>
      <w:tr w:rsidR="00133DF3" w:rsidRPr="00BB2791" w14:paraId="7F1C1467"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68D65773" w14:textId="77777777" w:rsidR="00133DF3" w:rsidRPr="00BB2791" w:rsidRDefault="00133DF3" w:rsidP="00816D2C">
            <w:pPr>
              <w:pStyle w:val="Tabletext"/>
              <w:spacing w:line="260" w:lineRule="exact"/>
              <w:rPr>
                <w:rFonts w:cs="Calibri"/>
              </w:rPr>
            </w:pPr>
            <w:r w:rsidRPr="00BB2791">
              <w:rPr>
                <w:rFonts w:cs="Calibri"/>
              </w:rPr>
              <w:t xml:space="preserve">Reduction of the digital fee for several </w:t>
            </w:r>
            <w:r>
              <w:rPr>
                <w:rFonts w:cs="Calibri"/>
              </w:rPr>
              <w:t>transactions</w:t>
            </w:r>
          </w:p>
        </w:tc>
        <w:tc>
          <w:tcPr>
            <w:tcW w:w="894" w:type="dxa"/>
            <w:tcBorders>
              <w:top w:val="nil"/>
              <w:left w:val="nil"/>
              <w:bottom w:val="single" w:sz="4" w:space="0" w:color="FFFFFF"/>
              <w:right w:val="nil"/>
            </w:tcBorders>
            <w:shd w:val="clear" w:color="000000" w:fill="F2F2F2"/>
            <w:vAlign w:val="center"/>
            <w:hideMark/>
          </w:tcPr>
          <w:p w14:paraId="01E5C00E" w14:textId="77777777" w:rsidR="00133DF3" w:rsidRPr="00BB2791" w:rsidRDefault="00133DF3" w:rsidP="00816D2C">
            <w:pPr>
              <w:pStyle w:val="Tabletext"/>
              <w:spacing w:line="260" w:lineRule="exact"/>
              <w:jc w:val="center"/>
              <w:rPr>
                <w:rFonts w:cs="Calibri"/>
              </w:rPr>
            </w:pPr>
            <w:r w:rsidRPr="00BB2791">
              <w:rPr>
                <w:rFonts w:cs="Calibri"/>
              </w:rPr>
              <w:t>-32</w:t>
            </w:r>
          </w:p>
        </w:tc>
        <w:tc>
          <w:tcPr>
            <w:tcW w:w="903" w:type="dxa"/>
            <w:tcBorders>
              <w:top w:val="nil"/>
              <w:left w:val="nil"/>
              <w:bottom w:val="single" w:sz="4" w:space="0" w:color="FFFFFF"/>
              <w:right w:val="nil"/>
            </w:tcBorders>
            <w:shd w:val="clear" w:color="000000" w:fill="F2F2F2"/>
            <w:vAlign w:val="center"/>
            <w:hideMark/>
          </w:tcPr>
          <w:p w14:paraId="6605946D" w14:textId="77777777" w:rsidR="00133DF3" w:rsidRPr="00BB2791" w:rsidRDefault="00133DF3" w:rsidP="00816D2C">
            <w:pPr>
              <w:pStyle w:val="Tabletext"/>
              <w:spacing w:line="260" w:lineRule="exact"/>
              <w:jc w:val="center"/>
              <w:rPr>
                <w:rFonts w:cs="Calibri"/>
              </w:rPr>
            </w:pPr>
            <w:r w:rsidRPr="00BB2791">
              <w:rPr>
                <w:rFonts w:cs="Calibri"/>
              </w:rPr>
              <w:t>-32</w:t>
            </w:r>
          </w:p>
        </w:tc>
      </w:tr>
      <w:tr w:rsidR="00133DF3" w:rsidRPr="00BB2791" w14:paraId="1257BF82"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7347BF75" w14:textId="77777777" w:rsidR="00133DF3" w:rsidRPr="00BB2791" w:rsidRDefault="00133DF3" w:rsidP="00816D2C">
            <w:pPr>
              <w:pStyle w:val="Tabletext"/>
              <w:spacing w:line="260" w:lineRule="exact"/>
              <w:rPr>
                <w:rFonts w:cs="Calibri"/>
              </w:rPr>
            </w:pPr>
            <w:r w:rsidRPr="00BB2791">
              <w:rPr>
                <w:rFonts w:cs="Calibri"/>
              </w:rPr>
              <w:t>Incentives for innovation, mergers and acquisitions</w:t>
            </w:r>
            <w:r w:rsidRPr="00BB2791">
              <w:t xml:space="preserve"> </w:t>
            </w:r>
          </w:p>
        </w:tc>
        <w:tc>
          <w:tcPr>
            <w:tcW w:w="894" w:type="dxa"/>
            <w:tcBorders>
              <w:top w:val="nil"/>
              <w:left w:val="nil"/>
              <w:bottom w:val="single" w:sz="4" w:space="0" w:color="FFFFFF"/>
              <w:right w:val="nil"/>
            </w:tcBorders>
            <w:shd w:val="clear" w:color="000000" w:fill="D9D9D9"/>
            <w:vAlign w:val="center"/>
            <w:hideMark/>
          </w:tcPr>
          <w:p w14:paraId="2288D814" w14:textId="77777777" w:rsidR="00133DF3" w:rsidRPr="00BB2791" w:rsidRDefault="00133DF3" w:rsidP="00816D2C">
            <w:pPr>
              <w:pStyle w:val="Tabletext"/>
              <w:spacing w:line="260" w:lineRule="exact"/>
              <w:jc w:val="center"/>
              <w:rPr>
                <w:rFonts w:cs="Calibri"/>
              </w:rPr>
            </w:pPr>
            <w:r w:rsidRPr="00BB2791">
              <w:rPr>
                <w:rFonts w:cs="Calibri"/>
              </w:rPr>
              <w:t>-41</w:t>
            </w:r>
          </w:p>
        </w:tc>
        <w:tc>
          <w:tcPr>
            <w:tcW w:w="903" w:type="dxa"/>
            <w:tcBorders>
              <w:top w:val="nil"/>
              <w:left w:val="nil"/>
              <w:bottom w:val="single" w:sz="4" w:space="0" w:color="FFFFFF"/>
              <w:right w:val="nil"/>
            </w:tcBorders>
            <w:shd w:val="clear" w:color="000000" w:fill="D9D9D9"/>
            <w:vAlign w:val="center"/>
            <w:hideMark/>
          </w:tcPr>
          <w:p w14:paraId="76D63262" w14:textId="77777777" w:rsidR="00133DF3" w:rsidRPr="00BB2791" w:rsidRDefault="00133DF3" w:rsidP="00816D2C">
            <w:pPr>
              <w:pStyle w:val="Tabletext"/>
              <w:spacing w:line="260" w:lineRule="exact"/>
              <w:jc w:val="center"/>
              <w:rPr>
                <w:rFonts w:cs="Calibri"/>
              </w:rPr>
            </w:pPr>
            <w:r w:rsidRPr="00BB2791">
              <w:rPr>
                <w:rFonts w:cs="Calibri"/>
              </w:rPr>
              <w:t>-41</w:t>
            </w:r>
          </w:p>
        </w:tc>
      </w:tr>
      <w:tr w:rsidR="00133DF3" w:rsidRPr="00BB2791" w14:paraId="4CE7B76F" w14:textId="77777777" w:rsidTr="00E2601D">
        <w:trPr>
          <w:trHeight w:val="643"/>
          <w:jc w:val="center"/>
        </w:trPr>
        <w:tc>
          <w:tcPr>
            <w:tcW w:w="7087" w:type="dxa"/>
            <w:tcBorders>
              <w:top w:val="nil"/>
              <w:left w:val="nil"/>
              <w:bottom w:val="single" w:sz="4" w:space="0" w:color="FFFFFF"/>
              <w:right w:val="nil"/>
            </w:tcBorders>
            <w:shd w:val="clear" w:color="000000" w:fill="F2F2F2"/>
            <w:vAlign w:val="center"/>
            <w:hideMark/>
          </w:tcPr>
          <w:p w14:paraId="4B5A92E7" w14:textId="77777777" w:rsidR="00133DF3" w:rsidRPr="00BB2791" w:rsidRDefault="00133DF3" w:rsidP="00816D2C">
            <w:pPr>
              <w:pStyle w:val="Tabletext"/>
              <w:spacing w:line="260" w:lineRule="exact"/>
              <w:rPr>
                <w:rFonts w:cs="Calibri"/>
              </w:rPr>
            </w:pPr>
            <w:r w:rsidRPr="00BB2791">
              <w:rPr>
                <w:rFonts w:cs="Calibri"/>
              </w:rPr>
              <w:t>Abolition of</w:t>
            </w:r>
            <w:r>
              <w:rPr>
                <w:rFonts w:cs="Calibri"/>
              </w:rPr>
              <w:t xml:space="preserve"> </w:t>
            </w:r>
            <w:r w:rsidRPr="00BB2791">
              <w:rPr>
                <w:rFonts w:cs="Calibri"/>
              </w:rPr>
              <w:t xml:space="preserve"> telecommunication fee (5%)</w:t>
            </w:r>
            <w:r w:rsidRPr="00BB2791">
              <w:t xml:space="preserve"> for fiber optic connections </w:t>
            </w:r>
            <w:r>
              <w:br/>
            </w:r>
            <w:r w:rsidRPr="00BB2791">
              <w:t>(≥100 mbps)</w:t>
            </w:r>
          </w:p>
        </w:tc>
        <w:tc>
          <w:tcPr>
            <w:tcW w:w="894" w:type="dxa"/>
            <w:tcBorders>
              <w:top w:val="nil"/>
              <w:left w:val="nil"/>
              <w:bottom w:val="single" w:sz="4" w:space="0" w:color="FFFFFF"/>
              <w:right w:val="nil"/>
            </w:tcBorders>
            <w:shd w:val="clear" w:color="000000" w:fill="F2F2F2"/>
            <w:vAlign w:val="center"/>
            <w:hideMark/>
          </w:tcPr>
          <w:p w14:paraId="6CC275FE" w14:textId="77777777" w:rsidR="00133DF3" w:rsidRPr="00BB2791" w:rsidRDefault="00133DF3" w:rsidP="00816D2C">
            <w:pPr>
              <w:pStyle w:val="Tabletext"/>
              <w:spacing w:line="260" w:lineRule="exact"/>
              <w:jc w:val="center"/>
              <w:rPr>
                <w:rFonts w:cs="Calibri"/>
              </w:rPr>
            </w:pPr>
            <w:r w:rsidRPr="00BB2791">
              <w:rPr>
                <w:rFonts w:cs="Calibri"/>
              </w:rPr>
              <w:t>-24</w:t>
            </w:r>
          </w:p>
        </w:tc>
        <w:tc>
          <w:tcPr>
            <w:tcW w:w="903" w:type="dxa"/>
            <w:tcBorders>
              <w:top w:val="nil"/>
              <w:left w:val="nil"/>
              <w:bottom w:val="single" w:sz="4" w:space="0" w:color="FFFFFF"/>
              <w:right w:val="nil"/>
            </w:tcBorders>
            <w:shd w:val="clear" w:color="000000" w:fill="F2F2F2"/>
            <w:vAlign w:val="center"/>
            <w:hideMark/>
          </w:tcPr>
          <w:p w14:paraId="7B357573" w14:textId="77777777" w:rsidR="00133DF3" w:rsidRPr="00BB2791" w:rsidRDefault="00133DF3" w:rsidP="00816D2C">
            <w:pPr>
              <w:pStyle w:val="Tabletext"/>
              <w:spacing w:line="260" w:lineRule="exact"/>
              <w:jc w:val="center"/>
              <w:rPr>
                <w:rFonts w:cs="Calibri"/>
              </w:rPr>
            </w:pPr>
            <w:r w:rsidRPr="00BB2791">
              <w:rPr>
                <w:rFonts w:cs="Calibri"/>
              </w:rPr>
              <w:t>-24</w:t>
            </w:r>
          </w:p>
        </w:tc>
      </w:tr>
      <w:tr w:rsidR="00133DF3" w:rsidRPr="00BB2791" w14:paraId="643CA383" w14:textId="77777777" w:rsidTr="00E2601D">
        <w:trPr>
          <w:trHeight w:val="680"/>
          <w:jc w:val="center"/>
        </w:trPr>
        <w:tc>
          <w:tcPr>
            <w:tcW w:w="7087" w:type="dxa"/>
            <w:tcBorders>
              <w:top w:val="nil"/>
              <w:left w:val="nil"/>
              <w:bottom w:val="single" w:sz="4" w:space="0" w:color="FFFFFF"/>
              <w:right w:val="nil"/>
            </w:tcBorders>
            <w:shd w:val="clear" w:color="000000" w:fill="D9D9D9"/>
            <w:vAlign w:val="center"/>
            <w:hideMark/>
          </w:tcPr>
          <w:p w14:paraId="7075047F" w14:textId="77777777" w:rsidR="00133DF3" w:rsidRPr="00BB2791" w:rsidRDefault="00133DF3" w:rsidP="00816D2C">
            <w:pPr>
              <w:pStyle w:val="Tabletext"/>
              <w:spacing w:line="260" w:lineRule="exact"/>
              <w:rPr>
                <w:rFonts w:cs="Calibri"/>
              </w:rPr>
            </w:pPr>
            <w:r w:rsidRPr="00BB2791">
              <w:rPr>
                <w:rFonts w:cs="Calibri"/>
              </w:rPr>
              <w:t>Abolishment of the insurance levy (15%)</w:t>
            </w:r>
            <w:r w:rsidRPr="00BB2791">
              <w:t xml:space="preserve"> for private healthcare contracts for children up to the age of 18 </w:t>
            </w:r>
          </w:p>
        </w:tc>
        <w:tc>
          <w:tcPr>
            <w:tcW w:w="894" w:type="dxa"/>
            <w:tcBorders>
              <w:top w:val="nil"/>
              <w:left w:val="nil"/>
              <w:bottom w:val="single" w:sz="4" w:space="0" w:color="FFFFFF"/>
              <w:right w:val="nil"/>
            </w:tcBorders>
            <w:shd w:val="clear" w:color="000000" w:fill="D9D9D9"/>
            <w:vAlign w:val="center"/>
            <w:hideMark/>
          </w:tcPr>
          <w:p w14:paraId="543A80E9" w14:textId="77777777" w:rsidR="00133DF3" w:rsidRPr="00BB2791" w:rsidRDefault="00133DF3" w:rsidP="00816D2C">
            <w:pPr>
              <w:pStyle w:val="Tabletext"/>
              <w:spacing w:line="260" w:lineRule="exact"/>
              <w:jc w:val="center"/>
              <w:rPr>
                <w:rFonts w:cs="Calibri"/>
              </w:rPr>
            </w:pPr>
            <w:r w:rsidRPr="00BB2791">
              <w:rPr>
                <w:rFonts w:cs="Calibri"/>
              </w:rPr>
              <w:t>-17</w:t>
            </w:r>
          </w:p>
        </w:tc>
        <w:tc>
          <w:tcPr>
            <w:tcW w:w="903" w:type="dxa"/>
            <w:tcBorders>
              <w:top w:val="nil"/>
              <w:left w:val="nil"/>
              <w:bottom w:val="single" w:sz="4" w:space="0" w:color="FFFFFF"/>
              <w:right w:val="nil"/>
            </w:tcBorders>
            <w:shd w:val="clear" w:color="000000" w:fill="D9D9D9"/>
            <w:vAlign w:val="center"/>
            <w:hideMark/>
          </w:tcPr>
          <w:p w14:paraId="63703F63" w14:textId="77777777" w:rsidR="00133DF3" w:rsidRPr="00BB2791" w:rsidRDefault="00133DF3" w:rsidP="00816D2C">
            <w:pPr>
              <w:pStyle w:val="Tabletext"/>
              <w:spacing w:line="260" w:lineRule="exact"/>
              <w:jc w:val="center"/>
              <w:rPr>
                <w:rFonts w:cs="Calibri"/>
              </w:rPr>
            </w:pPr>
            <w:r w:rsidRPr="00BB2791">
              <w:rPr>
                <w:rFonts w:cs="Calibri"/>
              </w:rPr>
              <w:t>-17</w:t>
            </w:r>
          </w:p>
        </w:tc>
      </w:tr>
      <w:tr w:rsidR="00133DF3" w:rsidRPr="00BB2791" w14:paraId="2BB4A62A"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0559BDAC" w14:textId="77777777" w:rsidR="00133DF3" w:rsidRPr="00BB2791" w:rsidRDefault="00133DF3" w:rsidP="00816D2C">
            <w:pPr>
              <w:pStyle w:val="Tabletext"/>
              <w:spacing w:line="260" w:lineRule="exact"/>
              <w:rPr>
                <w:rFonts w:cs="Calibri"/>
              </w:rPr>
            </w:pPr>
            <w:r w:rsidRPr="00BB2791">
              <w:rPr>
                <w:rFonts w:cs="Calibri"/>
              </w:rPr>
              <w:t>Tax exemption for voluntary benefits from employers to support new parents</w:t>
            </w:r>
          </w:p>
        </w:tc>
        <w:tc>
          <w:tcPr>
            <w:tcW w:w="894" w:type="dxa"/>
            <w:tcBorders>
              <w:top w:val="nil"/>
              <w:left w:val="nil"/>
              <w:bottom w:val="single" w:sz="4" w:space="0" w:color="FFFFFF"/>
              <w:right w:val="nil"/>
            </w:tcBorders>
            <w:shd w:val="clear" w:color="000000" w:fill="F2F2F2"/>
            <w:vAlign w:val="center"/>
            <w:hideMark/>
          </w:tcPr>
          <w:p w14:paraId="5ECE243B" w14:textId="77777777" w:rsidR="00133DF3" w:rsidRPr="00BB2791" w:rsidRDefault="00133DF3" w:rsidP="00816D2C">
            <w:pPr>
              <w:pStyle w:val="Tabletext"/>
              <w:spacing w:line="260" w:lineRule="exact"/>
              <w:jc w:val="center"/>
              <w:rPr>
                <w:rFonts w:cs="Calibri"/>
              </w:rPr>
            </w:pPr>
            <w:r w:rsidRPr="00BB2791">
              <w:rPr>
                <w:rFonts w:cs="Calibri"/>
              </w:rPr>
              <w:t>-6</w:t>
            </w:r>
          </w:p>
        </w:tc>
        <w:tc>
          <w:tcPr>
            <w:tcW w:w="903" w:type="dxa"/>
            <w:tcBorders>
              <w:top w:val="nil"/>
              <w:left w:val="nil"/>
              <w:bottom w:val="single" w:sz="4" w:space="0" w:color="FFFFFF"/>
              <w:right w:val="nil"/>
            </w:tcBorders>
            <w:shd w:val="clear" w:color="000000" w:fill="F2F2F2"/>
            <w:vAlign w:val="center"/>
            <w:hideMark/>
          </w:tcPr>
          <w:p w14:paraId="2550E6D8" w14:textId="77777777" w:rsidR="00133DF3" w:rsidRPr="00BB2791" w:rsidRDefault="00133DF3" w:rsidP="00816D2C">
            <w:pPr>
              <w:pStyle w:val="Tabletext"/>
              <w:spacing w:line="260" w:lineRule="exact"/>
              <w:jc w:val="center"/>
              <w:rPr>
                <w:rFonts w:cs="Calibri"/>
              </w:rPr>
            </w:pPr>
            <w:r w:rsidRPr="00BB2791">
              <w:rPr>
                <w:rFonts w:cs="Calibri"/>
              </w:rPr>
              <w:t>-6</w:t>
            </w:r>
          </w:p>
        </w:tc>
      </w:tr>
      <w:tr w:rsidR="00133DF3" w:rsidRPr="00BB2791" w14:paraId="488B14E5"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4C576DDA" w14:textId="77777777" w:rsidR="00133DF3" w:rsidRPr="00BB2791" w:rsidRDefault="00133DF3" w:rsidP="00816D2C">
            <w:pPr>
              <w:pStyle w:val="Tabletext"/>
              <w:spacing w:line="260" w:lineRule="exact"/>
              <w:rPr>
                <w:rFonts w:cs="Calibri"/>
              </w:rPr>
            </w:pPr>
            <w:r w:rsidRPr="00BB2791">
              <w:rPr>
                <w:rFonts w:cs="Calibri"/>
              </w:rPr>
              <w:t>Income tax exemption for vacant or short-term rental properties that will be rented on a lo</w:t>
            </w:r>
            <w:r>
              <w:rPr>
                <w:rFonts w:cs="Calibri"/>
              </w:rPr>
              <w:t>n</w:t>
            </w:r>
            <w:r w:rsidRPr="00BB2791">
              <w:rPr>
                <w:rFonts w:cs="Calibri"/>
              </w:rPr>
              <w:t>g-term lease</w:t>
            </w:r>
            <w:r w:rsidRPr="00BB2791">
              <w:t xml:space="preserve"> (extension for the year 2026) </w:t>
            </w:r>
          </w:p>
        </w:tc>
        <w:tc>
          <w:tcPr>
            <w:tcW w:w="894" w:type="dxa"/>
            <w:tcBorders>
              <w:top w:val="nil"/>
              <w:left w:val="nil"/>
              <w:bottom w:val="single" w:sz="4" w:space="0" w:color="FFFFFF"/>
              <w:right w:val="nil"/>
            </w:tcBorders>
            <w:shd w:val="clear" w:color="000000" w:fill="D9D9D9"/>
            <w:vAlign w:val="center"/>
            <w:hideMark/>
          </w:tcPr>
          <w:p w14:paraId="511E20CE" w14:textId="77777777" w:rsidR="00133DF3" w:rsidRPr="00BB2791" w:rsidRDefault="00133DF3" w:rsidP="00816D2C">
            <w:pPr>
              <w:pStyle w:val="Tabletext"/>
              <w:spacing w:line="260" w:lineRule="exact"/>
              <w:jc w:val="center"/>
              <w:rPr>
                <w:rFonts w:cs="Calibri"/>
              </w:rPr>
            </w:pPr>
            <w:r w:rsidRPr="00BB2791">
              <w:rPr>
                <w:rFonts w:cs="Calibri"/>
              </w:rPr>
              <w:t>-3</w:t>
            </w:r>
          </w:p>
        </w:tc>
        <w:tc>
          <w:tcPr>
            <w:tcW w:w="903" w:type="dxa"/>
            <w:tcBorders>
              <w:top w:val="nil"/>
              <w:left w:val="nil"/>
              <w:bottom w:val="single" w:sz="4" w:space="0" w:color="FFFFFF"/>
              <w:right w:val="nil"/>
            </w:tcBorders>
            <w:shd w:val="clear" w:color="000000" w:fill="D9D9D9"/>
            <w:vAlign w:val="center"/>
            <w:hideMark/>
          </w:tcPr>
          <w:p w14:paraId="0BDD6C29" w14:textId="77777777" w:rsidR="00133DF3" w:rsidRPr="00BB2791" w:rsidRDefault="00133DF3" w:rsidP="00816D2C">
            <w:pPr>
              <w:pStyle w:val="Tabletext"/>
              <w:spacing w:line="260" w:lineRule="exact"/>
              <w:jc w:val="center"/>
              <w:rPr>
                <w:rFonts w:cs="Calibri"/>
              </w:rPr>
            </w:pPr>
            <w:r w:rsidRPr="00BB2791">
              <w:rPr>
                <w:rFonts w:cs="Calibri"/>
              </w:rPr>
              <w:t>-13</w:t>
            </w:r>
          </w:p>
        </w:tc>
      </w:tr>
      <w:tr w:rsidR="00133DF3" w:rsidRPr="00BB2791" w14:paraId="20D80CD7"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1AAD7148" w14:textId="77777777" w:rsidR="00133DF3" w:rsidRPr="00BB2791" w:rsidRDefault="00133DF3" w:rsidP="00816D2C">
            <w:pPr>
              <w:pStyle w:val="Tabletext"/>
              <w:spacing w:line="260" w:lineRule="exact"/>
              <w:rPr>
                <w:rFonts w:cs="Calibri"/>
              </w:rPr>
            </w:pPr>
            <w:r w:rsidRPr="00BB2791">
              <w:rPr>
                <w:rFonts w:cs="Calibri"/>
              </w:rPr>
              <w:t>Extension for 2026 of VAT exemption on new buildings</w:t>
            </w:r>
          </w:p>
        </w:tc>
        <w:tc>
          <w:tcPr>
            <w:tcW w:w="894" w:type="dxa"/>
            <w:tcBorders>
              <w:top w:val="nil"/>
              <w:left w:val="nil"/>
              <w:bottom w:val="single" w:sz="4" w:space="0" w:color="FFFFFF"/>
              <w:right w:val="nil"/>
            </w:tcBorders>
            <w:shd w:val="clear" w:color="000000" w:fill="F2F2F2"/>
            <w:vAlign w:val="center"/>
            <w:hideMark/>
          </w:tcPr>
          <w:p w14:paraId="0ADF93B4" w14:textId="77777777" w:rsidR="00133DF3" w:rsidRPr="00BB2791" w:rsidRDefault="00133DF3" w:rsidP="00816D2C">
            <w:pPr>
              <w:pStyle w:val="Tabletext"/>
              <w:spacing w:line="260" w:lineRule="exact"/>
              <w:jc w:val="center"/>
              <w:rPr>
                <w:rFonts w:cs="Calibri"/>
              </w:rPr>
            </w:pPr>
            <w:r w:rsidRPr="00BB2791">
              <w:rPr>
                <w:rFonts w:cs="Calibri"/>
              </w:rPr>
              <w:t>-18</w:t>
            </w:r>
          </w:p>
        </w:tc>
        <w:tc>
          <w:tcPr>
            <w:tcW w:w="903" w:type="dxa"/>
            <w:tcBorders>
              <w:top w:val="nil"/>
              <w:left w:val="nil"/>
              <w:bottom w:val="single" w:sz="4" w:space="0" w:color="FFFFFF"/>
              <w:right w:val="nil"/>
            </w:tcBorders>
            <w:shd w:val="clear" w:color="000000" w:fill="F2F2F2"/>
            <w:vAlign w:val="center"/>
            <w:hideMark/>
          </w:tcPr>
          <w:p w14:paraId="3E320AE0" w14:textId="77777777" w:rsidR="00133DF3" w:rsidRPr="00BB2791" w:rsidRDefault="00133DF3" w:rsidP="00816D2C">
            <w:pPr>
              <w:pStyle w:val="Tabletext"/>
              <w:spacing w:line="260" w:lineRule="exact"/>
              <w:jc w:val="center"/>
              <w:rPr>
                <w:rFonts w:cs="Calibri"/>
              </w:rPr>
            </w:pPr>
            <w:r w:rsidRPr="00BB2791">
              <w:rPr>
                <w:rFonts w:cs="Calibri"/>
              </w:rPr>
              <w:t>-18</w:t>
            </w:r>
          </w:p>
        </w:tc>
      </w:tr>
      <w:tr w:rsidR="00133DF3" w:rsidRPr="00BB2791" w14:paraId="274404C2"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1B71694D" w14:textId="77777777" w:rsidR="00133DF3" w:rsidRPr="00BB2791" w:rsidRDefault="00133DF3" w:rsidP="00816D2C">
            <w:pPr>
              <w:pStyle w:val="Tabletext"/>
              <w:spacing w:line="260" w:lineRule="exact"/>
              <w:rPr>
                <w:rFonts w:cs="Calibri"/>
              </w:rPr>
            </w:pPr>
            <w:r w:rsidRPr="00BB2791">
              <w:rPr>
                <w:rFonts w:cs="Calibri"/>
              </w:rPr>
              <w:t>Incentive to attract doctors to remote and problematic regions</w:t>
            </w:r>
            <w:r w:rsidRPr="00BB2791">
              <w:t xml:space="preserve"> </w:t>
            </w:r>
          </w:p>
        </w:tc>
        <w:tc>
          <w:tcPr>
            <w:tcW w:w="894" w:type="dxa"/>
            <w:tcBorders>
              <w:top w:val="nil"/>
              <w:left w:val="nil"/>
              <w:bottom w:val="single" w:sz="4" w:space="0" w:color="FFFFFF"/>
              <w:right w:val="nil"/>
            </w:tcBorders>
            <w:shd w:val="clear" w:color="000000" w:fill="D9D9D9"/>
            <w:vAlign w:val="center"/>
            <w:hideMark/>
          </w:tcPr>
          <w:p w14:paraId="68E1769A" w14:textId="77777777" w:rsidR="00133DF3" w:rsidRPr="00BB2791" w:rsidRDefault="00133DF3" w:rsidP="00816D2C">
            <w:pPr>
              <w:pStyle w:val="Tabletext"/>
              <w:spacing w:line="260" w:lineRule="exact"/>
              <w:jc w:val="center"/>
              <w:rPr>
                <w:rFonts w:cs="Calibri"/>
              </w:rPr>
            </w:pPr>
            <w:r w:rsidRPr="00BB2791">
              <w:rPr>
                <w:rFonts w:cs="Calibri"/>
              </w:rPr>
              <w:t>-16</w:t>
            </w:r>
          </w:p>
        </w:tc>
        <w:tc>
          <w:tcPr>
            <w:tcW w:w="903" w:type="dxa"/>
            <w:tcBorders>
              <w:top w:val="nil"/>
              <w:left w:val="nil"/>
              <w:bottom w:val="single" w:sz="4" w:space="0" w:color="FFFFFF"/>
              <w:right w:val="nil"/>
            </w:tcBorders>
            <w:shd w:val="clear" w:color="000000" w:fill="D9D9D9"/>
            <w:vAlign w:val="center"/>
            <w:hideMark/>
          </w:tcPr>
          <w:p w14:paraId="2C8FE4A9" w14:textId="77777777" w:rsidR="00133DF3" w:rsidRPr="00BB2791" w:rsidRDefault="00133DF3" w:rsidP="00816D2C">
            <w:pPr>
              <w:pStyle w:val="Tabletext"/>
              <w:spacing w:line="260" w:lineRule="exact"/>
              <w:jc w:val="center"/>
              <w:rPr>
                <w:rFonts w:cs="Calibri"/>
              </w:rPr>
            </w:pPr>
            <w:r w:rsidRPr="00BB2791">
              <w:rPr>
                <w:rFonts w:cs="Calibri"/>
              </w:rPr>
              <w:t>-16</w:t>
            </w:r>
          </w:p>
        </w:tc>
      </w:tr>
      <w:tr w:rsidR="00133DF3" w:rsidRPr="00BB2791" w14:paraId="285FFF07"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77774663" w14:textId="77777777" w:rsidR="00133DF3" w:rsidRPr="00BB2791" w:rsidRDefault="00133DF3" w:rsidP="00816D2C">
            <w:pPr>
              <w:pStyle w:val="Tabletext"/>
              <w:spacing w:line="260" w:lineRule="exact"/>
              <w:rPr>
                <w:rFonts w:cs="Calibri"/>
              </w:rPr>
            </w:pPr>
            <w:r w:rsidRPr="00BB2791">
              <w:rPr>
                <w:rFonts w:cs="Calibri"/>
              </w:rPr>
              <w:t>Increase of the nightshifts compensation by 20%</w:t>
            </w:r>
            <w:r w:rsidRPr="00BB2791">
              <w:t xml:space="preserve"> for uniformed personnel starting from January 2025 </w:t>
            </w:r>
          </w:p>
        </w:tc>
        <w:tc>
          <w:tcPr>
            <w:tcW w:w="894" w:type="dxa"/>
            <w:tcBorders>
              <w:top w:val="nil"/>
              <w:left w:val="nil"/>
              <w:bottom w:val="single" w:sz="4" w:space="0" w:color="FFFFFF"/>
              <w:right w:val="nil"/>
            </w:tcBorders>
            <w:shd w:val="clear" w:color="000000" w:fill="F2F2F2"/>
            <w:vAlign w:val="center"/>
            <w:hideMark/>
          </w:tcPr>
          <w:p w14:paraId="35D441D8" w14:textId="77777777" w:rsidR="00133DF3" w:rsidRPr="00BB2791" w:rsidRDefault="00133DF3" w:rsidP="00816D2C">
            <w:pPr>
              <w:pStyle w:val="Tabletext"/>
              <w:spacing w:line="260" w:lineRule="exact"/>
              <w:jc w:val="center"/>
              <w:rPr>
                <w:rFonts w:cs="Calibri"/>
              </w:rPr>
            </w:pPr>
            <w:r w:rsidRPr="00BB2791">
              <w:rPr>
                <w:rFonts w:cs="Calibri"/>
              </w:rPr>
              <w:t>-25</w:t>
            </w:r>
          </w:p>
        </w:tc>
        <w:tc>
          <w:tcPr>
            <w:tcW w:w="903" w:type="dxa"/>
            <w:tcBorders>
              <w:top w:val="nil"/>
              <w:left w:val="nil"/>
              <w:bottom w:val="single" w:sz="4" w:space="0" w:color="FFFFFF"/>
              <w:right w:val="nil"/>
            </w:tcBorders>
            <w:shd w:val="clear" w:color="000000" w:fill="F2F2F2"/>
            <w:vAlign w:val="center"/>
            <w:hideMark/>
          </w:tcPr>
          <w:p w14:paraId="2AEEDB4E" w14:textId="77777777" w:rsidR="00133DF3" w:rsidRPr="00BB2791" w:rsidRDefault="00133DF3" w:rsidP="00816D2C">
            <w:pPr>
              <w:pStyle w:val="Tabletext"/>
              <w:spacing w:line="260" w:lineRule="exact"/>
              <w:jc w:val="center"/>
              <w:rPr>
                <w:rFonts w:cs="Calibri"/>
              </w:rPr>
            </w:pPr>
            <w:r w:rsidRPr="00BB2791">
              <w:rPr>
                <w:rFonts w:cs="Calibri"/>
              </w:rPr>
              <w:t>-25</w:t>
            </w:r>
          </w:p>
        </w:tc>
      </w:tr>
      <w:tr w:rsidR="00133DF3" w:rsidRPr="00BB2791" w14:paraId="2BC45BA8" w14:textId="77777777" w:rsidTr="00816D2C">
        <w:trPr>
          <w:trHeight w:val="369"/>
          <w:jc w:val="center"/>
        </w:trPr>
        <w:tc>
          <w:tcPr>
            <w:tcW w:w="7087" w:type="dxa"/>
            <w:tcBorders>
              <w:top w:val="nil"/>
              <w:left w:val="nil"/>
              <w:bottom w:val="single" w:sz="4" w:space="0" w:color="FFFFFF"/>
              <w:right w:val="nil"/>
            </w:tcBorders>
            <w:shd w:val="clear" w:color="000000" w:fill="D9D9D9"/>
            <w:vAlign w:val="center"/>
            <w:hideMark/>
          </w:tcPr>
          <w:p w14:paraId="05C77228" w14:textId="77777777" w:rsidR="00133DF3" w:rsidRPr="00BB2791" w:rsidRDefault="00133DF3" w:rsidP="00816D2C">
            <w:pPr>
              <w:pStyle w:val="Tabletext"/>
              <w:spacing w:line="260" w:lineRule="exact"/>
              <w:rPr>
                <w:rFonts w:cs="Calibri"/>
              </w:rPr>
            </w:pPr>
            <w:r w:rsidRPr="00BB2791">
              <w:rPr>
                <w:rFonts w:cs="Calibri"/>
              </w:rPr>
              <w:t>Increase of the student housing benefit</w:t>
            </w:r>
            <w:r w:rsidRPr="00BB2791">
              <w:t xml:space="preserve"> for regional universities</w:t>
            </w:r>
          </w:p>
        </w:tc>
        <w:tc>
          <w:tcPr>
            <w:tcW w:w="894" w:type="dxa"/>
            <w:tcBorders>
              <w:top w:val="nil"/>
              <w:left w:val="nil"/>
              <w:bottom w:val="single" w:sz="4" w:space="0" w:color="FFFFFF"/>
              <w:right w:val="nil"/>
            </w:tcBorders>
            <w:shd w:val="clear" w:color="000000" w:fill="D9D9D9"/>
            <w:vAlign w:val="center"/>
            <w:hideMark/>
          </w:tcPr>
          <w:p w14:paraId="4F732E5D" w14:textId="77777777" w:rsidR="00133DF3" w:rsidRPr="00BB2791" w:rsidRDefault="00133DF3" w:rsidP="00816D2C">
            <w:pPr>
              <w:pStyle w:val="Tabletext"/>
              <w:spacing w:line="260" w:lineRule="exact"/>
              <w:jc w:val="center"/>
              <w:rPr>
                <w:rFonts w:cs="Calibri"/>
              </w:rPr>
            </w:pPr>
            <w:r w:rsidRPr="00BB2791">
              <w:rPr>
                <w:rFonts w:cs="Calibri"/>
              </w:rPr>
              <w:t>-15</w:t>
            </w:r>
          </w:p>
        </w:tc>
        <w:tc>
          <w:tcPr>
            <w:tcW w:w="903" w:type="dxa"/>
            <w:tcBorders>
              <w:top w:val="nil"/>
              <w:left w:val="nil"/>
              <w:bottom w:val="single" w:sz="4" w:space="0" w:color="FFFFFF"/>
              <w:right w:val="nil"/>
            </w:tcBorders>
            <w:shd w:val="clear" w:color="000000" w:fill="D9D9D9"/>
            <w:vAlign w:val="center"/>
            <w:hideMark/>
          </w:tcPr>
          <w:p w14:paraId="10C68AB7" w14:textId="77777777" w:rsidR="00133DF3" w:rsidRPr="00BB2791" w:rsidRDefault="00133DF3" w:rsidP="00816D2C">
            <w:pPr>
              <w:pStyle w:val="Tabletext"/>
              <w:spacing w:line="260" w:lineRule="exact"/>
              <w:jc w:val="center"/>
              <w:rPr>
                <w:rFonts w:cs="Calibri"/>
              </w:rPr>
            </w:pPr>
            <w:r w:rsidRPr="00BB2791">
              <w:rPr>
                <w:rFonts w:cs="Calibri"/>
              </w:rPr>
              <w:t>-15</w:t>
            </w:r>
          </w:p>
        </w:tc>
      </w:tr>
      <w:tr w:rsidR="00133DF3" w:rsidRPr="00BB2791" w14:paraId="64B84A48" w14:textId="77777777" w:rsidTr="00816D2C">
        <w:trPr>
          <w:trHeight w:val="369"/>
          <w:jc w:val="center"/>
        </w:trPr>
        <w:tc>
          <w:tcPr>
            <w:tcW w:w="7087" w:type="dxa"/>
            <w:tcBorders>
              <w:top w:val="nil"/>
              <w:left w:val="nil"/>
              <w:bottom w:val="single" w:sz="4" w:space="0" w:color="FFFFFF"/>
              <w:right w:val="nil"/>
            </w:tcBorders>
            <w:shd w:val="clear" w:color="000000" w:fill="F2F2F2"/>
            <w:vAlign w:val="center"/>
            <w:hideMark/>
          </w:tcPr>
          <w:p w14:paraId="26FD1952" w14:textId="77777777" w:rsidR="00133DF3" w:rsidRPr="00BB2791" w:rsidRDefault="00133DF3" w:rsidP="00816D2C">
            <w:pPr>
              <w:pStyle w:val="Tabletext"/>
              <w:spacing w:line="260" w:lineRule="exact"/>
              <w:rPr>
                <w:rFonts w:cs="Calibri"/>
              </w:rPr>
            </w:pPr>
            <w:r w:rsidRPr="00BB2791">
              <w:rPr>
                <w:rFonts w:cs="Calibri"/>
              </w:rPr>
              <w:t>Increase in the remuneration of military academy students</w:t>
            </w:r>
          </w:p>
        </w:tc>
        <w:tc>
          <w:tcPr>
            <w:tcW w:w="894" w:type="dxa"/>
            <w:tcBorders>
              <w:top w:val="nil"/>
              <w:left w:val="nil"/>
              <w:bottom w:val="single" w:sz="4" w:space="0" w:color="FFFFFF"/>
              <w:right w:val="nil"/>
            </w:tcBorders>
            <w:shd w:val="clear" w:color="000000" w:fill="F2F2F2"/>
            <w:vAlign w:val="center"/>
            <w:hideMark/>
          </w:tcPr>
          <w:p w14:paraId="56C117BC" w14:textId="77777777" w:rsidR="00133DF3" w:rsidRPr="00BB2791" w:rsidRDefault="00133DF3" w:rsidP="00816D2C">
            <w:pPr>
              <w:pStyle w:val="Tabletext"/>
              <w:spacing w:line="260" w:lineRule="exact"/>
              <w:jc w:val="center"/>
              <w:rPr>
                <w:rFonts w:cs="Calibri"/>
              </w:rPr>
            </w:pPr>
            <w:r w:rsidRPr="00BB2791">
              <w:rPr>
                <w:rFonts w:cs="Calibri"/>
              </w:rPr>
              <w:t>-14</w:t>
            </w:r>
          </w:p>
        </w:tc>
        <w:tc>
          <w:tcPr>
            <w:tcW w:w="903" w:type="dxa"/>
            <w:tcBorders>
              <w:top w:val="nil"/>
              <w:left w:val="nil"/>
              <w:bottom w:val="single" w:sz="4" w:space="0" w:color="FFFFFF"/>
              <w:right w:val="nil"/>
            </w:tcBorders>
            <w:shd w:val="clear" w:color="000000" w:fill="F2F2F2"/>
            <w:vAlign w:val="center"/>
            <w:hideMark/>
          </w:tcPr>
          <w:p w14:paraId="48B862EF" w14:textId="77777777" w:rsidR="00133DF3" w:rsidRPr="00BB2791" w:rsidRDefault="00133DF3" w:rsidP="00816D2C">
            <w:pPr>
              <w:pStyle w:val="Tabletext"/>
              <w:spacing w:line="260" w:lineRule="exact"/>
              <w:jc w:val="center"/>
              <w:rPr>
                <w:rFonts w:cs="Calibri"/>
              </w:rPr>
            </w:pPr>
            <w:r w:rsidRPr="00BB2791">
              <w:rPr>
                <w:rFonts w:cs="Calibri"/>
              </w:rPr>
              <w:t>-14</w:t>
            </w:r>
          </w:p>
        </w:tc>
      </w:tr>
      <w:tr w:rsidR="00133DF3" w:rsidRPr="00BB2791" w14:paraId="49C3DC29" w14:textId="77777777" w:rsidTr="00E2601D">
        <w:trPr>
          <w:trHeight w:val="437"/>
          <w:jc w:val="center"/>
        </w:trPr>
        <w:tc>
          <w:tcPr>
            <w:tcW w:w="7087" w:type="dxa"/>
            <w:tcBorders>
              <w:top w:val="nil"/>
              <w:left w:val="nil"/>
              <w:bottom w:val="single" w:sz="4" w:space="0" w:color="FFFFFF"/>
              <w:right w:val="nil"/>
            </w:tcBorders>
            <w:shd w:val="clear" w:color="000000" w:fill="D9D9D9"/>
            <w:vAlign w:val="center"/>
            <w:hideMark/>
          </w:tcPr>
          <w:p w14:paraId="0D0695BC" w14:textId="77777777" w:rsidR="00133DF3" w:rsidRPr="00BB2791" w:rsidRDefault="00133DF3" w:rsidP="00816D2C">
            <w:pPr>
              <w:pStyle w:val="Tabletext"/>
              <w:spacing w:line="260" w:lineRule="exact"/>
              <w:rPr>
                <w:rFonts w:cs="Calibri"/>
              </w:rPr>
            </w:pPr>
            <w:r w:rsidRPr="00BB2791">
              <w:rPr>
                <w:rFonts w:cs="Calibri"/>
              </w:rPr>
              <w:t xml:space="preserve">Reform of the performance based bonus system </w:t>
            </w:r>
            <w:r w:rsidRPr="00BB2791">
              <w:t xml:space="preserve">in the public sector </w:t>
            </w:r>
          </w:p>
        </w:tc>
        <w:tc>
          <w:tcPr>
            <w:tcW w:w="894" w:type="dxa"/>
            <w:tcBorders>
              <w:top w:val="nil"/>
              <w:left w:val="nil"/>
              <w:bottom w:val="single" w:sz="4" w:space="0" w:color="FFFFFF"/>
              <w:right w:val="nil"/>
            </w:tcBorders>
            <w:shd w:val="clear" w:color="000000" w:fill="D9D9D9"/>
            <w:vAlign w:val="center"/>
            <w:hideMark/>
          </w:tcPr>
          <w:p w14:paraId="50AAFE26" w14:textId="77777777" w:rsidR="00133DF3" w:rsidRPr="00BB2791" w:rsidRDefault="00133DF3" w:rsidP="00816D2C">
            <w:pPr>
              <w:pStyle w:val="Tabletext"/>
              <w:spacing w:line="260" w:lineRule="exact"/>
              <w:jc w:val="center"/>
              <w:rPr>
                <w:rFonts w:cs="Calibri"/>
              </w:rPr>
            </w:pPr>
            <w:r w:rsidRPr="00BB2791">
              <w:rPr>
                <w:rFonts w:cs="Calibri"/>
              </w:rPr>
              <w:t>-20</w:t>
            </w:r>
          </w:p>
        </w:tc>
        <w:tc>
          <w:tcPr>
            <w:tcW w:w="903" w:type="dxa"/>
            <w:tcBorders>
              <w:top w:val="nil"/>
              <w:left w:val="nil"/>
              <w:bottom w:val="single" w:sz="4" w:space="0" w:color="FFFFFF"/>
              <w:right w:val="nil"/>
            </w:tcBorders>
            <w:shd w:val="clear" w:color="000000" w:fill="D9D9D9"/>
            <w:vAlign w:val="center"/>
            <w:hideMark/>
          </w:tcPr>
          <w:p w14:paraId="4AE4E221" w14:textId="77777777" w:rsidR="00133DF3" w:rsidRPr="00BB2791" w:rsidRDefault="00133DF3" w:rsidP="00816D2C">
            <w:pPr>
              <w:pStyle w:val="Tabletext"/>
              <w:spacing w:line="260" w:lineRule="exact"/>
              <w:jc w:val="center"/>
              <w:rPr>
                <w:rFonts w:cs="Calibri"/>
              </w:rPr>
            </w:pPr>
            <w:r w:rsidRPr="00BB2791">
              <w:rPr>
                <w:rFonts w:cs="Calibri"/>
              </w:rPr>
              <w:t>-40</w:t>
            </w:r>
          </w:p>
        </w:tc>
      </w:tr>
      <w:tr w:rsidR="00133DF3" w:rsidRPr="00BB2791" w14:paraId="582EB640" w14:textId="77777777" w:rsidTr="00E2601D">
        <w:trPr>
          <w:trHeight w:val="627"/>
          <w:jc w:val="center"/>
        </w:trPr>
        <w:tc>
          <w:tcPr>
            <w:tcW w:w="7087" w:type="dxa"/>
            <w:tcBorders>
              <w:top w:val="nil"/>
              <w:left w:val="nil"/>
              <w:bottom w:val="single" w:sz="4" w:space="0" w:color="FFFFFF"/>
              <w:right w:val="nil"/>
            </w:tcBorders>
            <w:shd w:val="clear" w:color="000000" w:fill="F2F2F2"/>
            <w:vAlign w:val="center"/>
            <w:hideMark/>
          </w:tcPr>
          <w:p w14:paraId="79E1F85E" w14:textId="77777777" w:rsidR="00133DF3" w:rsidRPr="00BB2791" w:rsidRDefault="00133DF3" w:rsidP="00816D2C">
            <w:pPr>
              <w:pStyle w:val="Tabletext"/>
              <w:spacing w:line="260" w:lineRule="exact"/>
              <w:rPr>
                <w:rFonts w:cs="Calibri"/>
              </w:rPr>
            </w:pPr>
            <w:r w:rsidRPr="00BB2791">
              <w:rPr>
                <w:rFonts w:cs="Calibri"/>
              </w:rPr>
              <w:t xml:space="preserve">Reform of the hazardous and unhealthy work allowance for local governments employees </w:t>
            </w:r>
          </w:p>
        </w:tc>
        <w:tc>
          <w:tcPr>
            <w:tcW w:w="894" w:type="dxa"/>
            <w:tcBorders>
              <w:top w:val="nil"/>
              <w:left w:val="nil"/>
              <w:bottom w:val="single" w:sz="4" w:space="0" w:color="FFFFFF"/>
              <w:right w:val="nil"/>
            </w:tcBorders>
            <w:shd w:val="clear" w:color="000000" w:fill="F2F2F2"/>
            <w:vAlign w:val="center"/>
            <w:hideMark/>
          </w:tcPr>
          <w:p w14:paraId="6D02286E" w14:textId="77777777" w:rsidR="00133DF3" w:rsidRPr="00BB2791" w:rsidRDefault="00133DF3" w:rsidP="00816D2C">
            <w:pPr>
              <w:pStyle w:val="Tabletext"/>
              <w:spacing w:line="260" w:lineRule="exact"/>
              <w:jc w:val="center"/>
              <w:rPr>
                <w:rFonts w:cs="Calibri"/>
              </w:rPr>
            </w:pPr>
            <w:r w:rsidRPr="00BB2791">
              <w:rPr>
                <w:rFonts w:cs="Calibri"/>
              </w:rPr>
              <w:t>-37</w:t>
            </w:r>
          </w:p>
        </w:tc>
        <w:tc>
          <w:tcPr>
            <w:tcW w:w="903" w:type="dxa"/>
            <w:tcBorders>
              <w:top w:val="nil"/>
              <w:left w:val="nil"/>
              <w:bottom w:val="single" w:sz="4" w:space="0" w:color="FFFFFF"/>
              <w:right w:val="nil"/>
            </w:tcBorders>
            <w:shd w:val="clear" w:color="000000" w:fill="F2F2F2"/>
            <w:vAlign w:val="center"/>
            <w:hideMark/>
          </w:tcPr>
          <w:p w14:paraId="06D5EE96" w14:textId="77777777" w:rsidR="00133DF3" w:rsidRPr="00BB2791" w:rsidRDefault="00133DF3" w:rsidP="00816D2C">
            <w:pPr>
              <w:pStyle w:val="Tabletext"/>
              <w:spacing w:line="260" w:lineRule="exact"/>
              <w:jc w:val="center"/>
              <w:rPr>
                <w:rFonts w:cs="Calibri"/>
              </w:rPr>
            </w:pPr>
            <w:r w:rsidRPr="00BB2791">
              <w:rPr>
                <w:rFonts w:cs="Calibri"/>
              </w:rPr>
              <w:t>-37</w:t>
            </w:r>
          </w:p>
        </w:tc>
      </w:tr>
      <w:tr w:rsidR="00133DF3" w:rsidRPr="00FF51D6" w14:paraId="6EAE3A33" w14:textId="77777777" w:rsidTr="00816D2C">
        <w:trPr>
          <w:trHeight w:val="369"/>
          <w:jc w:val="center"/>
        </w:trPr>
        <w:tc>
          <w:tcPr>
            <w:tcW w:w="7087" w:type="dxa"/>
            <w:tcBorders>
              <w:top w:val="nil"/>
              <w:left w:val="nil"/>
              <w:bottom w:val="single" w:sz="4" w:space="0" w:color="FFFFFF"/>
              <w:right w:val="nil"/>
            </w:tcBorders>
            <w:shd w:val="clear" w:color="auto" w:fill="EAF1DD" w:themeFill="accent3" w:themeFillTint="33"/>
            <w:vAlign w:val="center"/>
            <w:hideMark/>
          </w:tcPr>
          <w:p w14:paraId="13129337" w14:textId="77777777" w:rsidR="00133DF3" w:rsidRPr="00FF51D6" w:rsidRDefault="00133DF3" w:rsidP="00816D2C">
            <w:pPr>
              <w:pStyle w:val="Tabletext"/>
              <w:spacing w:line="260" w:lineRule="exact"/>
              <w:rPr>
                <w:rFonts w:cs="Calibri"/>
                <w:b/>
                <w:sz w:val="24"/>
              </w:rPr>
            </w:pPr>
            <w:r w:rsidRPr="00FF51D6">
              <w:rPr>
                <w:rFonts w:cs="Calibri"/>
                <w:b/>
                <w:sz w:val="24"/>
              </w:rPr>
              <w:t>B. Total</w:t>
            </w:r>
          </w:p>
        </w:tc>
        <w:tc>
          <w:tcPr>
            <w:tcW w:w="894" w:type="dxa"/>
            <w:tcBorders>
              <w:top w:val="nil"/>
              <w:left w:val="nil"/>
              <w:bottom w:val="single" w:sz="4" w:space="0" w:color="FFFFFF"/>
              <w:right w:val="nil"/>
            </w:tcBorders>
            <w:shd w:val="clear" w:color="auto" w:fill="EAF1DD" w:themeFill="accent3" w:themeFillTint="33"/>
            <w:vAlign w:val="center"/>
            <w:hideMark/>
          </w:tcPr>
          <w:p w14:paraId="4AA64FEA" w14:textId="77777777" w:rsidR="00133DF3" w:rsidRPr="00FF51D6" w:rsidRDefault="00133DF3" w:rsidP="00816D2C">
            <w:pPr>
              <w:pStyle w:val="Tabletext"/>
              <w:spacing w:line="260" w:lineRule="exact"/>
              <w:jc w:val="center"/>
              <w:rPr>
                <w:rFonts w:cs="Calibri"/>
                <w:b/>
                <w:sz w:val="24"/>
              </w:rPr>
            </w:pPr>
            <w:r w:rsidRPr="00FF51D6">
              <w:rPr>
                <w:rFonts w:cs="Calibri"/>
                <w:b/>
                <w:sz w:val="24"/>
              </w:rPr>
              <w:t>-2,983</w:t>
            </w:r>
          </w:p>
        </w:tc>
        <w:tc>
          <w:tcPr>
            <w:tcW w:w="903" w:type="dxa"/>
            <w:tcBorders>
              <w:top w:val="nil"/>
              <w:left w:val="nil"/>
              <w:bottom w:val="single" w:sz="4" w:space="0" w:color="FFFFFF"/>
              <w:right w:val="nil"/>
            </w:tcBorders>
            <w:shd w:val="clear" w:color="auto" w:fill="EAF1DD" w:themeFill="accent3" w:themeFillTint="33"/>
            <w:vAlign w:val="center"/>
            <w:hideMark/>
          </w:tcPr>
          <w:p w14:paraId="6954A0EB" w14:textId="77777777" w:rsidR="00133DF3" w:rsidRPr="00FF51D6" w:rsidRDefault="00133DF3" w:rsidP="00816D2C">
            <w:pPr>
              <w:pStyle w:val="Tabletext"/>
              <w:spacing w:line="260" w:lineRule="exact"/>
              <w:jc w:val="center"/>
              <w:rPr>
                <w:rFonts w:cs="Calibri"/>
                <w:b/>
                <w:sz w:val="24"/>
              </w:rPr>
            </w:pPr>
            <w:r w:rsidRPr="00FF51D6">
              <w:rPr>
                <w:rFonts w:cs="Calibri"/>
                <w:b/>
                <w:sz w:val="24"/>
              </w:rPr>
              <w:t>-4,179</w:t>
            </w:r>
          </w:p>
        </w:tc>
      </w:tr>
      <w:tr w:rsidR="00133DF3" w:rsidRPr="00FF51D6" w14:paraId="5C08FDD8" w14:textId="77777777" w:rsidTr="00816D2C">
        <w:trPr>
          <w:trHeight w:val="369"/>
          <w:jc w:val="center"/>
        </w:trPr>
        <w:tc>
          <w:tcPr>
            <w:tcW w:w="7087" w:type="dxa"/>
            <w:tcBorders>
              <w:top w:val="single" w:sz="4" w:space="0" w:color="FFFFFF"/>
              <w:left w:val="nil"/>
              <w:bottom w:val="single" w:sz="18" w:space="0" w:color="4F81BD" w:themeColor="accent1"/>
              <w:right w:val="nil"/>
            </w:tcBorders>
            <w:shd w:val="clear" w:color="000000" w:fill="C4BD97"/>
            <w:vAlign w:val="center"/>
            <w:hideMark/>
          </w:tcPr>
          <w:p w14:paraId="2CFBA6C5" w14:textId="3F54987B" w:rsidR="00133DF3" w:rsidRPr="00FF51D6" w:rsidRDefault="00133DF3" w:rsidP="00816D2C">
            <w:pPr>
              <w:pStyle w:val="Tabletext"/>
              <w:spacing w:line="260" w:lineRule="exact"/>
              <w:rPr>
                <w:rFonts w:cs="Calibri"/>
                <w:b/>
                <w:sz w:val="24"/>
              </w:rPr>
            </w:pPr>
            <w:r>
              <w:rPr>
                <w:rFonts w:cs="Calibri"/>
                <w:b/>
                <w:sz w:val="24"/>
              </w:rPr>
              <w:t xml:space="preserve">Grand </w:t>
            </w:r>
            <w:r w:rsidRPr="00FF51D6">
              <w:rPr>
                <w:rFonts w:cs="Calibri"/>
                <w:b/>
                <w:sz w:val="24"/>
              </w:rPr>
              <w:t>Total (A+B)</w:t>
            </w:r>
          </w:p>
        </w:tc>
        <w:tc>
          <w:tcPr>
            <w:tcW w:w="894" w:type="dxa"/>
            <w:tcBorders>
              <w:top w:val="single" w:sz="4" w:space="0" w:color="FFFFFF"/>
              <w:left w:val="nil"/>
              <w:bottom w:val="single" w:sz="18" w:space="0" w:color="4F81BD" w:themeColor="accent1"/>
              <w:right w:val="nil"/>
            </w:tcBorders>
            <w:shd w:val="clear" w:color="000000" w:fill="C4BD97"/>
            <w:vAlign w:val="center"/>
            <w:hideMark/>
          </w:tcPr>
          <w:p w14:paraId="4D39B14D" w14:textId="77777777" w:rsidR="00133DF3" w:rsidRPr="00FF51D6" w:rsidRDefault="00133DF3" w:rsidP="00816D2C">
            <w:pPr>
              <w:pStyle w:val="Tabletext"/>
              <w:spacing w:line="260" w:lineRule="exact"/>
              <w:jc w:val="center"/>
              <w:rPr>
                <w:rFonts w:cs="Calibri"/>
                <w:b/>
                <w:sz w:val="24"/>
              </w:rPr>
            </w:pPr>
            <w:r w:rsidRPr="00FF51D6">
              <w:rPr>
                <w:rFonts w:cs="Calibri"/>
                <w:b/>
                <w:sz w:val="24"/>
              </w:rPr>
              <w:t>-3,036</w:t>
            </w:r>
          </w:p>
        </w:tc>
        <w:tc>
          <w:tcPr>
            <w:tcW w:w="903" w:type="dxa"/>
            <w:tcBorders>
              <w:top w:val="single" w:sz="4" w:space="0" w:color="FFFFFF"/>
              <w:left w:val="nil"/>
              <w:bottom w:val="single" w:sz="18" w:space="0" w:color="4F81BD" w:themeColor="accent1"/>
              <w:right w:val="nil"/>
            </w:tcBorders>
            <w:shd w:val="clear" w:color="000000" w:fill="C4BD97"/>
            <w:vAlign w:val="center"/>
            <w:hideMark/>
          </w:tcPr>
          <w:p w14:paraId="3953B9BB" w14:textId="77777777" w:rsidR="00133DF3" w:rsidRPr="00FF51D6" w:rsidRDefault="00133DF3" w:rsidP="00816D2C">
            <w:pPr>
              <w:pStyle w:val="Tabletext"/>
              <w:spacing w:line="260" w:lineRule="exact"/>
              <w:jc w:val="center"/>
              <w:rPr>
                <w:rFonts w:cs="Calibri"/>
                <w:b/>
                <w:sz w:val="24"/>
              </w:rPr>
            </w:pPr>
            <w:r w:rsidRPr="00FF51D6">
              <w:rPr>
                <w:rFonts w:cs="Calibri"/>
                <w:b/>
                <w:sz w:val="24"/>
              </w:rPr>
              <w:t>-5,937</w:t>
            </w:r>
          </w:p>
        </w:tc>
      </w:tr>
    </w:tbl>
    <w:p w14:paraId="308F756C" w14:textId="77777777" w:rsidR="00133DF3" w:rsidRDefault="00133DF3" w:rsidP="00133DF3">
      <w:pPr>
        <w:pStyle w:val="mesotitlos"/>
      </w:pPr>
      <w:r>
        <w:lastRenderedPageBreak/>
        <w:t xml:space="preserve">Tax reform </w:t>
      </w:r>
    </w:p>
    <w:p w14:paraId="0A987F70" w14:textId="77777777" w:rsidR="00133DF3" w:rsidRPr="002857A2" w:rsidRDefault="00133DF3" w:rsidP="00133DF3">
      <w:pPr>
        <w:rPr>
          <w:lang w:val="en-US"/>
        </w:rPr>
      </w:pPr>
      <w:r w:rsidRPr="00385F38">
        <w:rPr>
          <w:lang w:val="en-US"/>
        </w:rPr>
        <w:t>Specifically, the reform of the income tax scale includes the following:</w:t>
      </w:r>
    </w:p>
    <w:p w14:paraId="175D9EF1" w14:textId="77777777" w:rsidR="00133DF3" w:rsidRPr="002857A2" w:rsidRDefault="00133DF3" w:rsidP="00133DF3">
      <w:pPr>
        <w:pStyle w:val="a4"/>
        <w:numPr>
          <w:ilvl w:val="0"/>
          <w:numId w:val="52"/>
        </w:numPr>
        <w:rPr>
          <w:lang w:val="en-US"/>
        </w:rPr>
      </w:pPr>
      <w:r>
        <w:rPr>
          <w:lang w:val="en-US"/>
        </w:rPr>
        <w:t>T</w:t>
      </w:r>
      <w:r w:rsidRPr="00385F38">
        <w:rPr>
          <w:lang w:val="en-US"/>
        </w:rPr>
        <w:t>he reduction of tax rates by 2% for income between €10,000 and €40,000</w:t>
      </w:r>
      <w:r>
        <w:rPr>
          <w:lang w:val="en-US"/>
        </w:rPr>
        <w:t>;</w:t>
      </w:r>
      <w:r w:rsidRPr="00385F38">
        <w:rPr>
          <w:lang w:val="en-US"/>
        </w:rPr>
        <w:t xml:space="preserve"> </w:t>
      </w:r>
    </w:p>
    <w:p w14:paraId="7DA74050" w14:textId="77777777" w:rsidR="00133DF3" w:rsidRPr="002857A2" w:rsidRDefault="00133DF3" w:rsidP="00133DF3">
      <w:pPr>
        <w:pStyle w:val="a4"/>
        <w:numPr>
          <w:ilvl w:val="0"/>
          <w:numId w:val="52"/>
        </w:numPr>
        <w:rPr>
          <w:lang w:val="en-US"/>
        </w:rPr>
      </w:pPr>
      <w:r>
        <w:rPr>
          <w:lang w:val="en-US"/>
        </w:rPr>
        <w:t>t</w:t>
      </w:r>
      <w:r w:rsidRPr="00385F38">
        <w:rPr>
          <w:lang w:val="en-US"/>
        </w:rPr>
        <w:t xml:space="preserve">he introduction of a new tax bracket with 39% rate </w:t>
      </w:r>
      <w:r>
        <w:rPr>
          <w:lang w:val="en-US"/>
        </w:rPr>
        <w:t xml:space="preserve">(from 44%) </w:t>
      </w:r>
      <w:r w:rsidRPr="00385F38">
        <w:rPr>
          <w:lang w:val="en-US"/>
        </w:rPr>
        <w:t>for income between €40,000 and €60,000</w:t>
      </w:r>
      <w:r>
        <w:rPr>
          <w:lang w:val="en-US"/>
        </w:rPr>
        <w:t>;</w:t>
      </w:r>
    </w:p>
    <w:p w14:paraId="145B492E" w14:textId="77777777" w:rsidR="00133DF3" w:rsidRDefault="00133DF3" w:rsidP="00133DF3">
      <w:pPr>
        <w:pStyle w:val="a4"/>
        <w:numPr>
          <w:ilvl w:val="0"/>
          <w:numId w:val="52"/>
        </w:numPr>
        <w:rPr>
          <w:lang w:val="en-US"/>
        </w:rPr>
      </w:pPr>
      <w:r>
        <w:rPr>
          <w:lang w:val="en-US"/>
        </w:rPr>
        <w:t>t</w:t>
      </w:r>
      <w:r w:rsidRPr="00385F38">
        <w:rPr>
          <w:lang w:val="en-US"/>
        </w:rPr>
        <w:t>he 20% tax rate for income from €10,000 to €20,000, applicable to tax payers without children, is further reduced depending on the number of children</w:t>
      </w:r>
      <w:r>
        <w:rPr>
          <w:lang w:val="en-US"/>
        </w:rPr>
        <w:t xml:space="preserve">, to 18% for individuals with one child, 16% with two children and 9% with three children; </w:t>
      </w:r>
    </w:p>
    <w:p w14:paraId="0D1336F7" w14:textId="77777777" w:rsidR="00133DF3" w:rsidRPr="002857A2" w:rsidRDefault="00133DF3" w:rsidP="00133DF3">
      <w:pPr>
        <w:pStyle w:val="a4"/>
        <w:numPr>
          <w:ilvl w:val="0"/>
          <w:numId w:val="52"/>
        </w:numPr>
        <w:rPr>
          <w:lang w:val="en-US"/>
        </w:rPr>
      </w:pPr>
      <w:r>
        <w:rPr>
          <w:lang w:val="en-US"/>
        </w:rPr>
        <w:t>f</w:t>
      </w:r>
      <w:r w:rsidRPr="00385F38">
        <w:rPr>
          <w:lang w:val="en-US"/>
        </w:rPr>
        <w:t>or taxpayers with four of more children, the tax on income up to €20,000 is reduced to zero</w:t>
      </w:r>
      <w:r>
        <w:rPr>
          <w:lang w:val="en-US"/>
        </w:rPr>
        <w:t>;</w:t>
      </w:r>
    </w:p>
    <w:p w14:paraId="35305F9F" w14:textId="7FA877E5" w:rsidR="00133DF3" w:rsidRPr="002857A2" w:rsidRDefault="00133DF3" w:rsidP="00133DF3">
      <w:pPr>
        <w:pStyle w:val="a4"/>
        <w:numPr>
          <w:ilvl w:val="0"/>
          <w:numId w:val="52"/>
        </w:numPr>
        <w:rPr>
          <w:lang w:val="en-US"/>
        </w:rPr>
      </w:pPr>
      <w:r>
        <w:rPr>
          <w:lang w:val="en-US"/>
        </w:rPr>
        <w:t>t</w:t>
      </w:r>
      <w:r w:rsidRPr="00385F38">
        <w:rPr>
          <w:lang w:val="en-US"/>
        </w:rPr>
        <w:t xml:space="preserve">he new rate for income from €20,000 to €30,000 (26%), is further reduced by 2 </w:t>
      </w:r>
      <w:r>
        <w:rPr>
          <w:lang w:val="en-US"/>
        </w:rPr>
        <w:t>pp</w:t>
      </w:r>
      <w:r w:rsidRPr="00385F38">
        <w:rPr>
          <w:lang w:val="en-US"/>
        </w:rPr>
        <w:t xml:space="preserve"> for each child</w:t>
      </w:r>
      <w:r>
        <w:rPr>
          <w:lang w:val="en-US"/>
        </w:rPr>
        <w:t>;</w:t>
      </w:r>
    </w:p>
    <w:p w14:paraId="1BD131F4" w14:textId="77777777" w:rsidR="00133DF3" w:rsidRPr="002857A2" w:rsidRDefault="00133DF3" w:rsidP="00133DF3">
      <w:pPr>
        <w:pStyle w:val="a4"/>
        <w:numPr>
          <w:ilvl w:val="0"/>
          <w:numId w:val="52"/>
        </w:numPr>
        <w:rPr>
          <w:lang w:val="en-US"/>
        </w:rPr>
      </w:pPr>
      <w:r>
        <w:rPr>
          <w:lang w:val="en-US"/>
        </w:rPr>
        <w:t>z</w:t>
      </w:r>
      <w:r w:rsidRPr="00385F38">
        <w:rPr>
          <w:lang w:val="en-US"/>
        </w:rPr>
        <w:t>ero taxation for income up to €20,000 for young people up to 25 years old</w:t>
      </w:r>
      <w:r>
        <w:rPr>
          <w:lang w:val="en-US"/>
        </w:rPr>
        <w:t>;</w:t>
      </w:r>
    </w:p>
    <w:p w14:paraId="4376134A" w14:textId="77777777" w:rsidR="00133DF3" w:rsidRPr="002857A2" w:rsidRDefault="00133DF3" w:rsidP="00133DF3">
      <w:pPr>
        <w:pStyle w:val="a4"/>
        <w:numPr>
          <w:ilvl w:val="0"/>
          <w:numId w:val="52"/>
        </w:numPr>
        <w:rPr>
          <w:lang w:val="en-US"/>
        </w:rPr>
      </w:pPr>
      <w:r>
        <w:rPr>
          <w:lang w:val="en-US"/>
        </w:rPr>
        <w:t>reduced</w:t>
      </w:r>
      <w:r w:rsidRPr="00385F38">
        <w:rPr>
          <w:lang w:val="en-US"/>
        </w:rPr>
        <w:t xml:space="preserve"> tax rate 9% for income from €10,000 to €20,000 for young people aged from 26 to 30 years old.</w:t>
      </w:r>
    </w:p>
    <w:p w14:paraId="23CED9D2" w14:textId="77777777" w:rsidR="00133DF3" w:rsidRPr="002857A2" w:rsidRDefault="00133DF3" w:rsidP="00133DF3">
      <w:pPr>
        <w:rPr>
          <w:lang w:val="en-US"/>
        </w:rPr>
      </w:pPr>
      <w:r w:rsidRPr="00385F38">
        <w:rPr>
          <w:lang w:val="en-US"/>
        </w:rPr>
        <w:t>The fiscal cost of the personal income tax reform is estimated at €1.2 billion for 2026 and €1.6 billion for 2027 and approximately 4 million taxpayers will benefit from the reform.</w:t>
      </w:r>
    </w:p>
    <w:p w14:paraId="51872242" w14:textId="77777777" w:rsidR="00133DF3" w:rsidRPr="004E48C2" w:rsidRDefault="00133DF3" w:rsidP="00133DF3">
      <w:pPr>
        <w:pStyle w:val="mesotitlos"/>
      </w:pPr>
      <w:r w:rsidRPr="004E48C2">
        <w:t>Interventions to strengthen pensioners</w:t>
      </w:r>
      <w:r w:rsidRPr="00E97218">
        <w:t>’</w:t>
      </w:r>
      <w:r w:rsidRPr="004E48C2">
        <w:t xml:space="preserve"> disposable income</w:t>
      </w:r>
    </w:p>
    <w:p w14:paraId="483A1711" w14:textId="77777777" w:rsidR="00133DF3" w:rsidRDefault="00133DF3" w:rsidP="00133DF3">
      <w:pPr>
        <w:rPr>
          <w:lang w:val="en-US"/>
        </w:rPr>
      </w:pPr>
      <w:r>
        <w:rPr>
          <w:lang w:val="en-US"/>
        </w:rPr>
        <w:t>The interventions implemented during 2025, include:</w:t>
      </w:r>
    </w:p>
    <w:p w14:paraId="7793BFE3" w14:textId="77777777" w:rsidR="00133DF3" w:rsidRPr="004E48C2" w:rsidRDefault="00133DF3" w:rsidP="00133DF3">
      <w:pPr>
        <w:pStyle w:val="a4"/>
        <w:numPr>
          <w:ilvl w:val="0"/>
          <w:numId w:val="31"/>
        </w:numPr>
        <w:rPr>
          <w:lang w:val="en-US"/>
        </w:rPr>
      </w:pPr>
      <w:r>
        <w:rPr>
          <w:lang w:val="en-US"/>
        </w:rPr>
        <w:t>P</w:t>
      </w:r>
      <w:r w:rsidRPr="004E48C2">
        <w:rPr>
          <w:lang w:val="en-US"/>
        </w:rPr>
        <w:t>ension increases by 2.4%, based on the existing indexation rule, with a cost of €474 million</w:t>
      </w:r>
      <w:r>
        <w:rPr>
          <w:lang w:val="en-US"/>
        </w:rPr>
        <w:t>;</w:t>
      </w:r>
    </w:p>
    <w:p w14:paraId="7A356A10" w14:textId="3A6C6D47" w:rsidR="00133DF3" w:rsidRPr="004E48C2" w:rsidRDefault="00133DF3" w:rsidP="00133DF3">
      <w:pPr>
        <w:pStyle w:val="a4"/>
        <w:numPr>
          <w:ilvl w:val="0"/>
          <w:numId w:val="30"/>
        </w:numPr>
        <w:rPr>
          <w:lang w:val="en-US"/>
        </w:rPr>
      </w:pPr>
      <w:r>
        <w:rPr>
          <w:lang w:val="en-US"/>
        </w:rPr>
        <w:t>t</w:t>
      </w:r>
      <w:r w:rsidRPr="004E48C2">
        <w:rPr>
          <w:lang w:val="en-US"/>
        </w:rPr>
        <w:t>he extension of the exemption from pharmaceutical expenses for low-income pensioner</w:t>
      </w:r>
      <w:r>
        <w:rPr>
          <w:lang w:val="en-US"/>
        </w:rPr>
        <w:t>s;</w:t>
      </w:r>
    </w:p>
    <w:p w14:paraId="6E32D8BA" w14:textId="77777777" w:rsidR="00133DF3" w:rsidRPr="004E48C2" w:rsidRDefault="00133DF3" w:rsidP="00133DF3">
      <w:pPr>
        <w:pStyle w:val="a4"/>
        <w:numPr>
          <w:ilvl w:val="0"/>
          <w:numId w:val="30"/>
        </w:numPr>
        <w:rPr>
          <w:lang w:val="en-US"/>
        </w:rPr>
      </w:pPr>
      <w:r>
        <w:rPr>
          <w:lang w:val="en-US"/>
        </w:rPr>
        <w:t>t</w:t>
      </w:r>
      <w:r w:rsidRPr="004E48C2">
        <w:rPr>
          <w:lang w:val="en-US"/>
        </w:rPr>
        <w:t>he new permanent social benefit of €250 to be disbursed every year in November -based on social criteria- to pensioners over 65 years old with low-income</w:t>
      </w:r>
      <w:r>
        <w:rPr>
          <w:lang w:val="en-US"/>
        </w:rPr>
        <w:t>,</w:t>
      </w:r>
      <w:r w:rsidRPr="00E97218">
        <w:rPr>
          <w:lang w:val="en-US"/>
        </w:rPr>
        <w:t xml:space="preserve"> </w:t>
      </w:r>
      <w:r w:rsidRPr="004E48C2">
        <w:rPr>
          <w:lang w:val="en-US"/>
        </w:rPr>
        <w:t>to uninsured elderlies and to beneficiaries of disability allowances, with an annual cost of €360 million.</w:t>
      </w:r>
    </w:p>
    <w:p w14:paraId="2FB14D95" w14:textId="4558360B" w:rsidR="00133DF3" w:rsidRDefault="00133DF3" w:rsidP="00133DF3">
      <w:pPr>
        <w:rPr>
          <w:lang w:val="en-US"/>
        </w:rPr>
      </w:pPr>
      <w:r>
        <w:rPr>
          <w:lang w:val="en-US"/>
        </w:rPr>
        <w:t>The new measures for pensioners, in addition to the benefits from the tax reform and the new social benefit of €250, which will be implemented from 2026, include:</w:t>
      </w:r>
    </w:p>
    <w:p w14:paraId="3FFA2A44" w14:textId="77777777" w:rsidR="00133DF3" w:rsidRPr="004E48C2" w:rsidRDefault="00133DF3" w:rsidP="00133DF3">
      <w:pPr>
        <w:pStyle w:val="a4"/>
        <w:numPr>
          <w:ilvl w:val="0"/>
          <w:numId w:val="32"/>
        </w:numPr>
        <w:rPr>
          <w:lang w:val="en-US"/>
        </w:rPr>
      </w:pPr>
      <w:r>
        <w:rPr>
          <w:lang w:val="en-US"/>
        </w:rPr>
        <w:t>Further</w:t>
      </w:r>
      <w:r w:rsidRPr="004E48C2">
        <w:rPr>
          <w:lang w:val="en-US"/>
        </w:rPr>
        <w:t xml:space="preserve"> pension increases, based on the indexation rule</w:t>
      </w:r>
      <w:r>
        <w:rPr>
          <w:lang w:val="en-US"/>
        </w:rPr>
        <w:t xml:space="preserve"> of GDP and inflation;</w:t>
      </w:r>
    </w:p>
    <w:p w14:paraId="7B344412" w14:textId="77777777" w:rsidR="00133DF3" w:rsidRPr="004E48C2" w:rsidRDefault="00133DF3" w:rsidP="00133DF3">
      <w:pPr>
        <w:pStyle w:val="a4"/>
        <w:numPr>
          <w:ilvl w:val="0"/>
          <w:numId w:val="32"/>
        </w:numPr>
        <w:rPr>
          <w:lang w:val="en-US"/>
        </w:rPr>
      </w:pPr>
      <w:r>
        <w:rPr>
          <w:rStyle w:val="rynqvb"/>
          <w:lang w:val="en-US"/>
        </w:rPr>
        <w:t>t</w:t>
      </w:r>
      <w:r w:rsidRPr="00385F38">
        <w:rPr>
          <w:rStyle w:val="rynqvb"/>
          <w:lang w:val="en-US"/>
        </w:rPr>
        <w:t>he gradual elimination of the pensioners’ personal difference offset.</w:t>
      </w:r>
      <w:r w:rsidRPr="004E48C2">
        <w:rPr>
          <w:lang w:val="en-US"/>
        </w:rPr>
        <w:t xml:space="preserve"> </w:t>
      </w:r>
      <w:r>
        <w:rPr>
          <w:lang w:val="en-US"/>
        </w:rPr>
        <w:t>A</w:t>
      </w:r>
      <w:r w:rsidRPr="004E48C2">
        <w:rPr>
          <w:lang w:val="en-US"/>
        </w:rPr>
        <w:t>pproximately 671,000 pensioners</w:t>
      </w:r>
      <w:r>
        <w:rPr>
          <w:lang w:val="en-US"/>
        </w:rPr>
        <w:t xml:space="preserve"> are estimated to benefit from this measure</w:t>
      </w:r>
      <w:r w:rsidRPr="004E48C2">
        <w:rPr>
          <w:lang w:val="en-US"/>
        </w:rPr>
        <w:t>.</w:t>
      </w:r>
    </w:p>
    <w:p w14:paraId="1F2470C9" w14:textId="77777777" w:rsidR="00133DF3" w:rsidRDefault="00133DF3" w:rsidP="00133DF3">
      <w:pPr>
        <w:rPr>
          <w:lang w:val="en-US"/>
        </w:rPr>
      </w:pPr>
      <w:r>
        <w:rPr>
          <w:lang w:val="en-US"/>
        </w:rPr>
        <w:t>The total cost of the two above interventions is estimated at €629 million for 2026.</w:t>
      </w:r>
    </w:p>
    <w:p w14:paraId="54078771" w14:textId="77777777" w:rsidR="00133DF3" w:rsidRDefault="00133DF3" w:rsidP="00133DF3">
      <w:pPr>
        <w:pStyle w:val="mesotitlos"/>
      </w:pPr>
      <w:r>
        <w:t>Interventions to strengthen public sector employees</w:t>
      </w:r>
      <w:r w:rsidRPr="00E97218">
        <w:t>’</w:t>
      </w:r>
      <w:r>
        <w:t xml:space="preserve"> disposable income</w:t>
      </w:r>
    </w:p>
    <w:p w14:paraId="3FE3CB46" w14:textId="77777777" w:rsidR="00133DF3" w:rsidRDefault="00133DF3" w:rsidP="00133DF3">
      <w:pPr>
        <w:rPr>
          <w:rFonts w:eastAsia="Times New Roman"/>
          <w:lang w:val="en-US"/>
        </w:rPr>
      </w:pPr>
      <w:r w:rsidRPr="004E48C2">
        <w:rPr>
          <w:lang w:val="en-US"/>
        </w:rPr>
        <w:t>During 2025, the following measures were implemented:</w:t>
      </w:r>
    </w:p>
    <w:p w14:paraId="20FA1260" w14:textId="77777777" w:rsidR="00133DF3" w:rsidRPr="004E48C2" w:rsidRDefault="00133DF3" w:rsidP="00133DF3">
      <w:pPr>
        <w:pStyle w:val="a4"/>
        <w:numPr>
          <w:ilvl w:val="0"/>
          <w:numId w:val="33"/>
        </w:numPr>
        <w:rPr>
          <w:lang w:val="en-US"/>
        </w:rPr>
      </w:pPr>
      <w:r>
        <w:rPr>
          <w:lang w:val="en-US"/>
        </w:rPr>
        <w:t>T</w:t>
      </w:r>
      <w:r w:rsidRPr="004E48C2">
        <w:rPr>
          <w:lang w:val="en-US"/>
        </w:rPr>
        <w:t>he establishment of an annual horizontal increase in the public sector wages, linked to the adjustment of the minimum wage, with a cost amounting to €215 million for 2025</w:t>
      </w:r>
      <w:r>
        <w:rPr>
          <w:lang w:val="en-US"/>
        </w:rPr>
        <w:t>;</w:t>
      </w:r>
    </w:p>
    <w:p w14:paraId="349FAD77" w14:textId="77777777" w:rsidR="00133DF3" w:rsidRPr="004E48C2" w:rsidRDefault="00133DF3" w:rsidP="00133DF3">
      <w:pPr>
        <w:pStyle w:val="a4"/>
        <w:numPr>
          <w:ilvl w:val="0"/>
          <w:numId w:val="33"/>
        </w:numPr>
        <w:rPr>
          <w:lang w:val="en-US"/>
        </w:rPr>
      </w:pPr>
      <w:r>
        <w:rPr>
          <w:lang w:val="en-US"/>
        </w:rPr>
        <w:lastRenderedPageBreak/>
        <w:t>t</w:t>
      </w:r>
      <w:r w:rsidRPr="004E48C2">
        <w:rPr>
          <w:lang w:val="en-US"/>
        </w:rPr>
        <w:t>he decrease in taxation for the overtime compensation of hospital doctors, with a cost of €40 million</w:t>
      </w:r>
      <w:r>
        <w:rPr>
          <w:lang w:val="en-US"/>
        </w:rPr>
        <w:t>;</w:t>
      </w:r>
    </w:p>
    <w:p w14:paraId="6CCE77BC" w14:textId="77777777" w:rsidR="00133DF3" w:rsidRPr="004E48C2" w:rsidRDefault="00133DF3" w:rsidP="00133DF3">
      <w:pPr>
        <w:pStyle w:val="a4"/>
        <w:numPr>
          <w:ilvl w:val="0"/>
          <w:numId w:val="33"/>
        </w:numPr>
        <w:rPr>
          <w:lang w:val="en-US"/>
        </w:rPr>
      </w:pPr>
      <w:r>
        <w:rPr>
          <w:lang w:val="en-US"/>
        </w:rPr>
        <w:t>t</w:t>
      </w:r>
      <w:r w:rsidRPr="004E48C2">
        <w:rPr>
          <w:lang w:val="en-US"/>
        </w:rPr>
        <w:t>he reduction of social security contributions by one (1) pp</w:t>
      </w:r>
      <w:r>
        <w:rPr>
          <w:lang w:val="en-US"/>
        </w:rPr>
        <w:t xml:space="preserve"> </w:t>
      </w:r>
      <w:r w:rsidRPr="004E48C2">
        <w:rPr>
          <w:lang w:val="en-US"/>
        </w:rPr>
        <w:t>for public sector employees, with a cost of €83 million</w:t>
      </w:r>
      <w:r>
        <w:rPr>
          <w:lang w:val="en-US"/>
        </w:rPr>
        <w:t>;</w:t>
      </w:r>
    </w:p>
    <w:p w14:paraId="47D44867" w14:textId="77777777" w:rsidR="00133DF3" w:rsidRPr="004E48C2" w:rsidRDefault="00133DF3" w:rsidP="00133DF3">
      <w:pPr>
        <w:pStyle w:val="a4"/>
        <w:numPr>
          <w:ilvl w:val="0"/>
          <w:numId w:val="33"/>
        </w:numPr>
        <w:rPr>
          <w:lang w:val="en-US"/>
        </w:rPr>
      </w:pPr>
      <w:r>
        <w:rPr>
          <w:lang w:val="en-US"/>
        </w:rPr>
        <w:t>t</w:t>
      </w:r>
      <w:r w:rsidRPr="004E48C2">
        <w:rPr>
          <w:lang w:val="en-US"/>
        </w:rPr>
        <w:t xml:space="preserve">he complete or partial abolition of the “personal difference” offsetting, in the wage </w:t>
      </w:r>
      <w:r>
        <w:rPr>
          <w:lang w:val="en-US"/>
        </w:rPr>
        <w:t>evolution</w:t>
      </w:r>
      <w:r w:rsidRPr="004E48C2">
        <w:rPr>
          <w:lang w:val="en-US"/>
        </w:rPr>
        <w:t xml:space="preserve"> of public sector employees, with an annual cost of €12 million, increasing by €5 million per year</w:t>
      </w:r>
      <w:r>
        <w:rPr>
          <w:lang w:val="en-US"/>
        </w:rPr>
        <w:t>;</w:t>
      </w:r>
    </w:p>
    <w:p w14:paraId="35EA80D8" w14:textId="77777777" w:rsidR="00133DF3" w:rsidRPr="004E48C2" w:rsidRDefault="00133DF3" w:rsidP="00133DF3">
      <w:pPr>
        <w:pStyle w:val="a4"/>
        <w:numPr>
          <w:ilvl w:val="0"/>
          <w:numId w:val="33"/>
        </w:numPr>
        <w:rPr>
          <w:lang w:val="en-US"/>
        </w:rPr>
      </w:pPr>
      <w:r>
        <w:rPr>
          <w:lang w:val="en-US"/>
        </w:rPr>
        <w:t>t</w:t>
      </w:r>
      <w:r w:rsidRPr="004E48C2">
        <w:rPr>
          <w:lang w:val="en-US"/>
        </w:rPr>
        <w:t>he increase of the bonus based on performance and quantifiable targets, with an annual cost of €40 million</w:t>
      </w:r>
      <w:r>
        <w:rPr>
          <w:lang w:val="en-US"/>
        </w:rPr>
        <w:t>;</w:t>
      </w:r>
    </w:p>
    <w:p w14:paraId="005DA7C1" w14:textId="77777777" w:rsidR="00133DF3" w:rsidRPr="004E48C2" w:rsidRDefault="00133DF3" w:rsidP="00133DF3">
      <w:pPr>
        <w:pStyle w:val="a4"/>
        <w:numPr>
          <w:ilvl w:val="0"/>
          <w:numId w:val="33"/>
        </w:numPr>
        <w:rPr>
          <w:lang w:val="en-US"/>
        </w:rPr>
      </w:pPr>
      <w:r>
        <w:rPr>
          <w:lang w:val="en-US"/>
        </w:rPr>
        <w:t>t</w:t>
      </w:r>
      <w:r w:rsidRPr="004E48C2">
        <w:rPr>
          <w:lang w:val="en-US"/>
        </w:rPr>
        <w:t>he increase of the compensation of nightshifts for police, fire brigade, coast guard and military personnel, with an annual cost of €25 million</w:t>
      </w:r>
      <w:r>
        <w:rPr>
          <w:lang w:val="en-US"/>
        </w:rPr>
        <w:t>;</w:t>
      </w:r>
    </w:p>
    <w:p w14:paraId="23F93CF4" w14:textId="77777777" w:rsidR="00133DF3" w:rsidRPr="004E48C2" w:rsidRDefault="00133DF3" w:rsidP="00133DF3">
      <w:pPr>
        <w:pStyle w:val="a4"/>
        <w:numPr>
          <w:ilvl w:val="0"/>
          <w:numId w:val="33"/>
        </w:numPr>
        <w:rPr>
          <w:lang w:val="en-US"/>
        </w:rPr>
      </w:pPr>
      <w:r>
        <w:rPr>
          <w:lang w:val="en-US"/>
        </w:rPr>
        <w:t>t</w:t>
      </w:r>
      <w:r w:rsidRPr="004E48C2">
        <w:rPr>
          <w:lang w:val="en-US"/>
        </w:rPr>
        <w:t xml:space="preserve">he introduction of a  </w:t>
      </w:r>
      <w:r>
        <w:rPr>
          <w:lang w:val="en-US"/>
        </w:rPr>
        <w:t xml:space="preserve">hazardous allowance </w:t>
      </w:r>
      <w:r w:rsidRPr="004E48C2">
        <w:rPr>
          <w:lang w:val="en-US"/>
        </w:rPr>
        <w:t xml:space="preserve">of €100 per month for the Armed </w:t>
      </w:r>
      <w:r>
        <w:rPr>
          <w:lang w:val="en-US"/>
        </w:rPr>
        <w:t xml:space="preserve">and Security </w:t>
      </w:r>
      <w:r w:rsidRPr="004E48C2">
        <w:rPr>
          <w:lang w:val="en-US"/>
        </w:rPr>
        <w:t>Forces personnel, with an estimated total cost of €111 million for 2025 and €222 million for 2026.</w:t>
      </w:r>
    </w:p>
    <w:p w14:paraId="2BA42C11" w14:textId="77777777" w:rsidR="00133DF3" w:rsidRPr="004E48C2" w:rsidRDefault="00133DF3" w:rsidP="00133DF3">
      <w:pPr>
        <w:rPr>
          <w:lang w:val="en-US"/>
        </w:rPr>
      </w:pPr>
      <w:r w:rsidRPr="004E48C2">
        <w:rPr>
          <w:lang w:val="en-US"/>
        </w:rPr>
        <w:t>For 2026, in addition to the benefits of the public sector employees from the tax reform, the following interventions amounting to €613 million will apply:</w:t>
      </w:r>
    </w:p>
    <w:p w14:paraId="543B5EB8" w14:textId="77777777" w:rsidR="00133DF3" w:rsidRPr="004E48C2" w:rsidRDefault="00133DF3" w:rsidP="00133DF3">
      <w:pPr>
        <w:pStyle w:val="a4"/>
        <w:numPr>
          <w:ilvl w:val="0"/>
          <w:numId w:val="34"/>
        </w:numPr>
        <w:rPr>
          <w:lang w:val="en-US"/>
        </w:rPr>
      </w:pPr>
      <w:r>
        <w:rPr>
          <w:lang w:val="en-US"/>
        </w:rPr>
        <w:t>H</w:t>
      </w:r>
      <w:r w:rsidRPr="004E48C2">
        <w:rPr>
          <w:lang w:val="en-US"/>
        </w:rPr>
        <w:t>orizontal wage increases as of April 2026, in line with the adjustment of the minimum wage, with an estimated cost of approximately €358 million</w:t>
      </w:r>
      <w:r>
        <w:rPr>
          <w:lang w:val="en-US"/>
        </w:rPr>
        <w:t>;</w:t>
      </w:r>
    </w:p>
    <w:p w14:paraId="04AD8AD2" w14:textId="77777777" w:rsidR="00133DF3" w:rsidRPr="004E48C2" w:rsidRDefault="00133DF3" w:rsidP="00133DF3">
      <w:pPr>
        <w:pStyle w:val="a4"/>
        <w:numPr>
          <w:ilvl w:val="0"/>
          <w:numId w:val="34"/>
        </w:numPr>
        <w:rPr>
          <w:lang w:val="en-US"/>
        </w:rPr>
      </w:pPr>
      <w:r>
        <w:rPr>
          <w:lang w:val="en-US"/>
        </w:rPr>
        <w:t>r</w:t>
      </w:r>
      <w:r w:rsidRPr="004E48C2">
        <w:rPr>
          <w:lang w:val="en-US"/>
        </w:rPr>
        <w:t>eform of the wage grid of the Armed Forces, with wage increases effective from October 2025, with an annual cost of €162 million (net cost of €85 million after the restructuring of the Armed Forces’ organisational structure) and of the Security Corps (Hellenic Police, Fire Brigade, Hellenic Coast Guard), with an annual cost of €127 million</w:t>
      </w:r>
      <w:r>
        <w:rPr>
          <w:lang w:val="en-US"/>
        </w:rPr>
        <w:t>;</w:t>
      </w:r>
    </w:p>
    <w:p w14:paraId="10B342D4" w14:textId="77777777" w:rsidR="00133DF3" w:rsidRPr="004E48C2" w:rsidRDefault="00133DF3" w:rsidP="00133DF3">
      <w:pPr>
        <w:pStyle w:val="a4"/>
        <w:numPr>
          <w:ilvl w:val="0"/>
          <w:numId w:val="34"/>
        </w:numPr>
        <w:rPr>
          <w:lang w:val="en-US"/>
        </w:rPr>
      </w:pPr>
      <w:r>
        <w:rPr>
          <w:lang w:val="en-US"/>
        </w:rPr>
        <w:t>i</w:t>
      </w:r>
      <w:r w:rsidRPr="004E48C2">
        <w:rPr>
          <w:lang w:val="en-US"/>
        </w:rPr>
        <w:t>ncreases in the foreign service allowance, the special duties allowance and the reimbursement of tuition fees for the children of Ministry of Foreign Affairs staff, with an annual cost of €30 million</w:t>
      </w:r>
      <w:r>
        <w:rPr>
          <w:lang w:val="en-US"/>
        </w:rPr>
        <w:t>;</w:t>
      </w:r>
    </w:p>
    <w:p w14:paraId="48177CC2" w14:textId="77777777" w:rsidR="00133DF3" w:rsidRPr="004E48C2" w:rsidRDefault="00133DF3" w:rsidP="00133DF3">
      <w:pPr>
        <w:pStyle w:val="a4"/>
        <w:numPr>
          <w:ilvl w:val="0"/>
          <w:numId w:val="34"/>
        </w:numPr>
        <w:rPr>
          <w:lang w:val="en-US"/>
        </w:rPr>
      </w:pPr>
      <w:r>
        <w:rPr>
          <w:lang w:val="en-US"/>
        </w:rPr>
        <w:t>w</w:t>
      </w:r>
      <w:r w:rsidRPr="004E48C2">
        <w:rPr>
          <w:lang w:val="en-US"/>
        </w:rPr>
        <w:t>age increase for graduates of Polytechnic and other University Schools offering a five-year programme of studies, with a cost of €7 million</w:t>
      </w:r>
      <w:r>
        <w:rPr>
          <w:lang w:val="en-US"/>
        </w:rPr>
        <w:t>;</w:t>
      </w:r>
    </w:p>
    <w:p w14:paraId="4819EBBA" w14:textId="77777777" w:rsidR="00133DF3" w:rsidRPr="00385F38" w:rsidRDefault="00133DF3" w:rsidP="00133DF3">
      <w:pPr>
        <w:pStyle w:val="a4"/>
        <w:numPr>
          <w:ilvl w:val="0"/>
          <w:numId w:val="34"/>
        </w:numPr>
        <w:rPr>
          <w:lang w:val="en-US"/>
        </w:rPr>
      </w:pPr>
      <w:r>
        <w:rPr>
          <w:lang w:val="en-US"/>
        </w:rPr>
        <w:t>i</w:t>
      </w:r>
      <w:r w:rsidRPr="00F8676D">
        <w:rPr>
          <w:lang w:val="en-US"/>
        </w:rPr>
        <w:t>ntroduction of a tax exemption for the academic library allowance of faculty members and researchers, with an annual cost of approximately €6 million.</w:t>
      </w:r>
    </w:p>
    <w:p w14:paraId="257522D4" w14:textId="77777777" w:rsidR="00133DF3" w:rsidRPr="004E48C2" w:rsidRDefault="00133DF3" w:rsidP="00133DF3">
      <w:pPr>
        <w:pStyle w:val="mesotitlos"/>
      </w:pPr>
      <w:r w:rsidRPr="004E48C2">
        <w:t>Interventions to address housing needs</w:t>
      </w:r>
    </w:p>
    <w:p w14:paraId="19C5D3D8" w14:textId="77777777" w:rsidR="00133DF3" w:rsidRDefault="00133DF3" w:rsidP="00133DF3">
      <w:pPr>
        <w:rPr>
          <w:rFonts w:eastAsia="Times New Roman"/>
          <w:lang w:val="en-US"/>
        </w:rPr>
      </w:pPr>
      <w:r w:rsidRPr="004E48C2">
        <w:rPr>
          <w:lang w:val="en-US"/>
        </w:rPr>
        <w:t>The following measures were implemented during 2025:</w:t>
      </w:r>
    </w:p>
    <w:p w14:paraId="555CBB1E" w14:textId="737100A4" w:rsidR="00133DF3" w:rsidRPr="004E48C2" w:rsidRDefault="00133DF3" w:rsidP="00133DF3">
      <w:pPr>
        <w:pStyle w:val="a4"/>
        <w:numPr>
          <w:ilvl w:val="0"/>
          <w:numId w:val="35"/>
        </w:numPr>
        <w:rPr>
          <w:lang w:val="en-US"/>
        </w:rPr>
      </w:pPr>
      <w:r>
        <w:rPr>
          <w:lang w:val="en-US"/>
        </w:rPr>
        <w:t>T</w:t>
      </w:r>
      <w:r w:rsidRPr="004E48C2">
        <w:rPr>
          <w:lang w:val="en-US"/>
        </w:rPr>
        <w:t>he launch of the new “My Home II” programme,</w:t>
      </w:r>
      <w:r>
        <w:rPr>
          <w:lang w:val="en-US"/>
        </w:rPr>
        <w:t xml:space="preserve"> that provides low-interest housing loans,</w:t>
      </w:r>
      <w:r w:rsidRPr="004E48C2">
        <w:rPr>
          <w:lang w:val="en-US"/>
        </w:rPr>
        <w:t xml:space="preserve"> with a total budget of €2</w:t>
      </w:r>
      <w:r>
        <w:rPr>
          <w:lang w:val="en-US"/>
        </w:rPr>
        <w:t xml:space="preserve"> </w:t>
      </w:r>
      <w:r w:rsidRPr="004E48C2">
        <w:rPr>
          <w:lang w:val="en-US"/>
        </w:rPr>
        <w:t>billion, including broader age and income eligibility criteria compared to the initial “My Home” scheme</w:t>
      </w:r>
      <w:r>
        <w:rPr>
          <w:lang w:val="en-US"/>
        </w:rPr>
        <w:t>;</w:t>
      </w:r>
    </w:p>
    <w:p w14:paraId="618349D5" w14:textId="77777777" w:rsidR="00133DF3" w:rsidRPr="004E48C2" w:rsidRDefault="00133DF3" w:rsidP="00133DF3">
      <w:pPr>
        <w:pStyle w:val="a4"/>
        <w:numPr>
          <w:ilvl w:val="0"/>
          <w:numId w:val="35"/>
        </w:numPr>
        <w:rPr>
          <w:lang w:val="en-US"/>
        </w:rPr>
      </w:pPr>
      <w:r w:rsidRPr="004E48C2">
        <w:rPr>
          <w:lang w:val="en-US"/>
        </w:rPr>
        <w:t>income tax exemption for three years on rents for properties that will be converted to long term rental, from being vacant or on a short-term lease</w:t>
      </w:r>
      <w:r>
        <w:rPr>
          <w:lang w:val="en-US"/>
        </w:rPr>
        <w:t>;</w:t>
      </w:r>
    </w:p>
    <w:p w14:paraId="04B46BB7" w14:textId="77777777" w:rsidR="00133DF3" w:rsidRPr="004E48C2" w:rsidRDefault="00133DF3" w:rsidP="00133DF3">
      <w:pPr>
        <w:pStyle w:val="a4"/>
        <w:numPr>
          <w:ilvl w:val="0"/>
          <w:numId w:val="35"/>
        </w:numPr>
        <w:rPr>
          <w:lang w:val="en-US"/>
        </w:rPr>
      </w:pPr>
      <w:r>
        <w:rPr>
          <w:lang w:val="en-US"/>
        </w:rPr>
        <w:t>t</w:t>
      </w:r>
      <w:r w:rsidRPr="004E48C2">
        <w:rPr>
          <w:lang w:val="en-US"/>
        </w:rPr>
        <w:t>he suspension of new property registrations for short-term rentals in the central districts of Athens (1st, 2nd, and 3rd municipal districts) for 2025</w:t>
      </w:r>
      <w:r>
        <w:rPr>
          <w:lang w:val="en-US"/>
        </w:rPr>
        <w:t>;</w:t>
      </w:r>
    </w:p>
    <w:p w14:paraId="1894FE36" w14:textId="77777777" w:rsidR="00133DF3" w:rsidRPr="004E48C2" w:rsidRDefault="00133DF3" w:rsidP="00133DF3">
      <w:pPr>
        <w:pStyle w:val="a4"/>
        <w:numPr>
          <w:ilvl w:val="0"/>
          <w:numId w:val="35"/>
        </w:numPr>
        <w:rPr>
          <w:lang w:val="en-US"/>
        </w:rPr>
      </w:pPr>
      <w:r>
        <w:rPr>
          <w:lang w:val="en-US"/>
        </w:rPr>
        <w:t>t</w:t>
      </w:r>
      <w:r w:rsidRPr="004E48C2">
        <w:rPr>
          <w:lang w:val="en-US"/>
        </w:rPr>
        <w:t>he increase of the climate resilience levy for short-term rentals</w:t>
      </w:r>
      <w:r>
        <w:rPr>
          <w:lang w:val="en-US"/>
        </w:rPr>
        <w:t>;</w:t>
      </w:r>
    </w:p>
    <w:p w14:paraId="26E90FF9" w14:textId="77777777" w:rsidR="00133DF3" w:rsidRPr="004E48C2" w:rsidRDefault="00133DF3" w:rsidP="00133DF3">
      <w:pPr>
        <w:pStyle w:val="a4"/>
        <w:numPr>
          <w:ilvl w:val="0"/>
          <w:numId w:val="35"/>
        </w:numPr>
        <w:rPr>
          <w:lang w:val="en-US"/>
        </w:rPr>
      </w:pPr>
      <w:r>
        <w:rPr>
          <w:lang w:val="en-US"/>
        </w:rPr>
        <w:t>t</w:t>
      </w:r>
      <w:r w:rsidRPr="004E48C2">
        <w:rPr>
          <w:lang w:val="en-US"/>
        </w:rPr>
        <w:t>he doubling of the maximum subsidy of the “Renovate</w:t>
      </w:r>
      <w:r>
        <w:rPr>
          <w:lang w:val="en-US"/>
        </w:rPr>
        <w:t>-</w:t>
      </w:r>
      <w:r w:rsidRPr="004E48C2">
        <w:rPr>
          <w:lang w:val="en-US"/>
        </w:rPr>
        <w:t>Rent” programme</w:t>
      </w:r>
      <w:r>
        <w:rPr>
          <w:lang w:val="en-US"/>
        </w:rPr>
        <w:t>;</w:t>
      </w:r>
    </w:p>
    <w:p w14:paraId="56167954" w14:textId="77777777" w:rsidR="00133DF3" w:rsidRPr="004E48C2" w:rsidRDefault="00133DF3" w:rsidP="00133DF3">
      <w:pPr>
        <w:pStyle w:val="a4"/>
        <w:numPr>
          <w:ilvl w:val="0"/>
          <w:numId w:val="35"/>
        </w:numPr>
        <w:rPr>
          <w:lang w:val="en-US"/>
        </w:rPr>
      </w:pPr>
      <w:r>
        <w:rPr>
          <w:lang w:val="en-US"/>
        </w:rPr>
        <w:t>t</w:t>
      </w:r>
      <w:r w:rsidRPr="004E48C2">
        <w:rPr>
          <w:lang w:val="en-US"/>
        </w:rPr>
        <w:t>he annual refund, as of November 2025, of one month’s rent to eligible tenants (for main and for student residences), based on income and property criteria, covering approximately 80% of total tenants, with an annual cost of €230 million.</w:t>
      </w:r>
    </w:p>
    <w:p w14:paraId="37397C5C" w14:textId="77777777" w:rsidR="00133DF3" w:rsidRPr="004E48C2" w:rsidRDefault="00133DF3" w:rsidP="00133DF3">
      <w:pPr>
        <w:rPr>
          <w:lang w:val="en-US"/>
        </w:rPr>
      </w:pPr>
      <w:r w:rsidRPr="004E48C2">
        <w:rPr>
          <w:lang w:val="en-US"/>
        </w:rPr>
        <w:t>For 2026, the new housing interventions include:</w:t>
      </w:r>
    </w:p>
    <w:p w14:paraId="33649E07" w14:textId="77777777" w:rsidR="00133DF3" w:rsidRPr="00385F38" w:rsidRDefault="00133DF3" w:rsidP="00133DF3">
      <w:pPr>
        <w:pStyle w:val="a4"/>
        <w:numPr>
          <w:ilvl w:val="0"/>
          <w:numId w:val="37"/>
        </w:numPr>
        <w:spacing w:before="120"/>
        <w:ind w:left="714" w:hanging="357"/>
        <w:rPr>
          <w:lang w:val="en-US"/>
        </w:rPr>
      </w:pPr>
      <w:r>
        <w:rPr>
          <w:lang w:val="en-US"/>
        </w:rPr>
        <w:t>T</w:t>
      </w:r>
      <w:r w:rsidRPr="001A6CE1">
        <w:rPr>
          <w:lang w:val="en-US"/>
        </w:rPr>
        <w:t>he extension, for 2026, of the three-year income tax exemption for vacant properties to be made available for long-term leasing, with a cost of €13 million for 2026 and €22 million for 2027</w:t>
      </w:r>
      <w:r>
        <w:rPr>
          <w:lang w:val="en-US"/>
        </w:rPr>
        <w:t>;</w:t>
      </w:r>
      <w:r w:rsidRPr="001A6CE1">
        <w:rPr>
          <w:lang w:val="en-US"/>
        </w:rPr>
        <w:t xml:space="preserve"> </w:t>
      </w:r>
    </w:p>
    <w:p w14:paraId="360F4CC2" w14:textId="77777777" w:rsidR="00133DF3" w:rsidRPr="00385F38" w:rsidRDefault="00133DF3" w:rsidP="00133DF3">
      <w:pPr>
        <w:pStyle w:val="a4"/>
        <w:numPr>
          <w:ilvl w:val="0"/>
          <w:numId w:val="37"/>
        </w:numPr>
        <w:spacing w:before="120"/>
        <w:ind w:left="714" w:hanging="357"/>
        <w:rPr>
          <w:lang w:val="en-US"/>
        </w:rPr>
      </w:pPr>
      <w:r>
        <w:rPr>
          <w:lang w:val="en-US"/>
        </w:rPr>
        <w:t>the i</w:t>
      </w:r>
      <w:r w:rsidRPr="00C277B4">
        <w:rPr>
          <w:lang w:val="en-US"/>
        </w:rPr>
        <w:t xml:space="preserve">ntroduction, from 2026, of an intermediate income tax rate of 25% (reduced from 35%) for rental income between €12,000 and €24,000. This measure is expected to benefit approximately 161,000 property owners, </w:t>
      </w:r>
      <w:r>
        <w:rPr>
          <w:lang w:val="en-US"/>
        </w:rPr>
        <w:t xml:space="preserve">to </w:t>
      </w:r>
      <w:r w:rsidRPr="00C277B4">
        <w:rPr>
          <w:lang w:val="en-US"/>
        </w:rPr>
        <w:t xml:space="preserve">contribute to improved tax compliance, and </w:t>
      </w:r>
      <w:r>
        <w:rPr>
          <w:lang w:val="en-US"/>
        </w:rPr>
        <w:t xml:space="preserve">to </w:t>
      </w:r>
      <w:r w:rsidRPr="00C277B4">
        <w:rPr>
          <w:lang w:val="en-US"/>
        </w:rPr>
        <w:t xml:space="preserve">help contain rental prices. </w:t>
      </w:r>
      <w:r w:rsidRPr="00385F38">
        <w:rPr>
          <w:lang w:val="en-US"/>
        </w:rPr>
        <w:t>The estimated fiscal cost is €90 million per year</w:t>
      </w:r>
      <w:r>
        <w:rPr>
          <w:lang w:val="en-US"/>
        </w:rPr>
        <w:t>;</w:t>
      </w:r>
    </w:p>
    <w:p w14:paraId="04007CA1" w14:textId="77777777" w:rsidR="00133DF3" w:rsidRPr="00C277B4" w:rsidRDefault="00133DF3" w:rsidP="00133DF3">
      <w:pPr>
        <w:pStyle w:val="a4"/>
        <w:numPr>
          <w:ilvl w:val="0"/>
          <w:numId w:val="37"/>
        </w:numPr>
        <w:rPr>
          <w:lang w:val="en-US"/>
        </w:rPr>
      </w:pPr>
      <w:r>
        <w:rPr>
          <w:lang w:val="en-US"/>
        </w:rPr>
        <w:t>the e</w:t>
      </w:r>
      <w:r w:rsidRPr="00C277B4">
        <w:rPr>
          <w:lang w:val="en-US"/>
        </w:rPr>
        <w:t>xtension of the suspension of VAT on new buildings until the end of 2026, with an annual cost of €18 million.</w:t>
      </w:r>
    </w:p>
    <w:p w14:paraId="21B9F146" w14:textId="77777777" w:rsidR="00133DF3" w:rsidRPr="00C277B4" w:rsidRDefault="00133DF3" w:rsidP="00133DF3">
      <w:pPr>
        <w:pStyle w:val="a4"/>
        <w:numPr>
          <w:ilvl w:val="0"/>
          <w:numId w:val="37"/>
        </w:numPr>
        <w:rPr>
          <w:lang w:val="en-US"/>
        </w:rPr>
      </w:pPr>
      <w:r>
        <w:rPr>
          <w:lang w:val="en-US"/>
        </w:rPr>
        <w:t>the e</w:t>
      </w:r>
      <w:r w:rsidRPr="00C277B4">
        <w:rPr>
          <w:lang w:val="en-US"/>
        </w:rPr>
        <w:t>xtension of the income tax reduction for building renovation expenses for 2025 and 2026, with an estimated cost of €5 million</w:t>
      </w:r>
      <w:r>
        <w:rPr>
          <w:lang w:val="en-US"/>
        </w:rPr>
        <w:t>;</w:t>
      </w:r>
    </w:p>
    <w:p w14:paraId="7569DA86" w14:textId="77777777" w:rsidR="00133DF3" w:rsidRPr="00C277B4" w:rsidRDefault="00133DF3" w:rsidP="00133DF3">
      <w:pPr>
        <w:pStyle w:val="a4"/>
        <w:numPr>
          <w:ilvl w:val="0"/>
          <w:numId w:val="37"/>
        </w:numPr>
        <w:rPr>
          <w:lang w:val="en-US"/>
        </w:rPr>
      </w:pPr>
      <w:r>
        <w:rPr>
          <w:lang w:val="en-US"/>
        </w:rPr>
        <w:t>the c</w:t>
      </w:r>
      <w:r w:rsidRPr="00C277B4">
        <w:rPr>
          <w:lang w:val="en-US"/>
        </w:rPr>
        <w:t>ontinuation of the restriction on new short-term rentals in the three specific districts of central Athens for 2026</w:t>
      </w:r>
      <w:r>
        <w:rPr>
          <w:lang w:val="en-US"/>
        </w:rPr>
        <w:t>;</w:t>
      </w:r>
    </w:p>
    <w:p w14:paraId="78F14D8C" w14:textId="77777777" w:rsidR="00133DF3" w:rsidRPr="00C277B4" w:rsidRDefault="00133DF3" w:rsidP="00133DF3">
      <w:pPr>
        <w:pStyle w:val="a4"/>
        <w:numPr>
          <w:ilvl w:val="0"/>
          <w:numId w:val="37"/>
        </w:numPr>
        <w:rPr>
          <w:lang w:val="en-US"/>
        </w:rPr>
      </w:pPr>
      <w:r>
        <w:rPr>
          <w:lang w:val="en-US"/>
        </w:rPr>
        <w:t>the e</w:t>
      </w:r>
      <w:r w:rsidRPr="00C277B4">
        <w:rPr>
          <w:lang w:val="en-US"/>
        </w:rPr>
        <w:t>stablishment of a new framework for the utilisation of public real estate to construct  social housing, with the aim of ensuring affordable social leases for vulnerable groups of citizens.</w:t>
      </w:r>
    </w:p>
    <w:p w14:paraId="5C38F243" w14:textId="77777777" w:rsidR="00133DF3" w:rsidRPr="00C277B4" w:rsidRDefault="00133DF3" w:rsidP="00133DF3">
      <w:pPr>
        <w:pStyle w:val="mesotitlos"/>
      </w:pPr>
      <w:r w:rsidRPr="00C277B4">
        <w:t>Other tax interventions</w:t>
      </w:r>
    </w:p>
    <w:p w14:paraId="0FB2DEAB" w14:textId="77777777" w:rsidR="00133DF3" w:rsidRPr="003516AF" w:rsidRDefault="00133DF3" w:rsidP="00133DF3">
      <w:pPr>
        <w:rPr>
          <w:lang w:val="en-US"/>
        </w:rPr>
      </w:pPr>
      <w:r w:rsidRPr="00A543B1">
        <w:rPr>
          <w:lang w:val="en-US"/>
        </w:rPr>
        <w:t xml:space="preserve">From 2026, the property tax (ENFIA) will be reduced by 50%, while from 2027 onwards, the tax will be fully abolished for primary residences located in regions with population of up to 1,500 inhabitants, excluding regions in Attica . </w:t>
      </w:r>
      <w:r w:rsidRPr="003516AF">
        <w:rPr>
          <w:lang w:val="en-US"/>
        </w:rPr>
        <w:t xml:space="preserve">The measure concerns approximately one million properties across 12,720 </w:t>
      </w:r>
      <w:r>
        <w:rPr>
          <w:lang w:val="en-US"/>
        </w:rPr>
        <w:t>communities</w:t>
      </w:r>
      <w:r w:rsidRPr="003516AF">
        <w:rPr>
          <w:lang w:val="en-US"/>
        </w:rPr>
        <w:t xml:space="preserve"> (out of a total of 13,586 nationwide), with an annual cost of approximately €75 million. It should be noted that decentralisation is directly linked to addressing the housing needs, as described above.</w:t>
      </w:r>
    </w:p>
    <w:p w14:paraId="5C14EFEE" w14:textId="77777777" w:rsidR="00133DF3" w:rsidRDefault="00133DF3" w:rsidP="00133DF3">
      <w:pPr>
        <w:rPr>
          <w:lang w:val="en-US"/>
        </w:rPr>
      </w:pPr>
      <w:r w:rsidRPr="00A543B1">
        <w:rPr>
          <w:lang w:val="en-US"/>
        </w:rPr>
        <w:t>From January 2026, VAT will be reduced by 30% in the islands of the North Aegean Region, the Prefecture of Evros (Samothraki) and the Prefecture of Dodecanese with a population of up to 20,000 inhabitants. The annual fiscal cost of this measure is estimated at €25 million, aiming to support residential and business activity in these areas.</w:t>
      </w:r>
    </w:p>
    <w:p w14:paraId="2A4564F0" w14:textId="77777777" w:rsidR="00133DF3" w:rsidRDefault="00133DF3" w:rsidP="00133DF3">
      <w:pPr>
        <w:rPr>
          <w:lang w:val="en-US"/>
        </w:rPr>
      </w:pPr>
      <w:r>
        <w:rPr>
          <w:lang w:val="en-US"/>
        </w:rPr>
        <w:t>In addition, the objective living expenses tax system will be reformed, aiming to reduce the tax burden for approximately 477,000 taxpayers, with an annual cost of 40 million euros.</w:t>
      </w:r>
    </w:p>
    <w:p w14:paraId="433E1F1B" w14:textId="77777777" w:rsidR="00133DF3" w:rsidRPr="00E2205B" w:rsidRDefault="00133DF3" w:rsidP="00133DF3">
      <w:pPr>
        <w:pStyle w:val="mesotitlos"/>
      </w:pPr>
      <w:r w:rsidRPr="00E2205B">
        <w:t>Interventions to boost and facilitate investments</w:t>
      </w:r>
    </w:p>
    <w:p w14:paraId="413C396F" w14:textId="77777777" w:rsidR="00133DF3" w:rsidRDefault="00133DF3" w:rsidP="00133DF3">
      <w:pPr>
        <w:rPr>
          <w:lang w:val="en-US"/>
        </w:rPr>
      </w:pPr>
      <w:r>
        <w:rPr>
          <w:lang w:val="en-US"/>
        </w:rPr>
        <w:t>The main interventions, aiming to strengthen private investments, include:</w:t>
      </w:r>
    </w:p>
    <w:p w14:paraId="3E741D02" w14:textId="77777777" w:rsidR="00133DF3" w:rsidRDefault="00133DF3" w:rsidP="00133DF3">
      <w:pPr>
        <w:pStyle w:val="a4"/>
        <w:numPr>
          <w:ilvl w:val="0"/>
          <w:numId w:val="50"/>
        </w:numPr>
        <w:rPr>
          <w:lang w:val="en-US"/>
        </w:rPr>
      </w:pPr>
      <w:r>
        <w:rPr>
          <w:lang w:val="en-US"/>
        </w:rPr>
        <w:t>I</w:t>
      </w:r>
      <w:r w:rsidRPr="00C82697">
        <w:rPr>
          <w:lang w:val="en-US"/>
        </w:rPr>
        <w:t xml:space="preserve">ncrease of the national Public Investment Budget by €500 million on a permanent basis from 2025, amounting to </w:t>
      </w:r>
      <w:r>
        <w:rPr>
          <w:lang w:val="en-US"/>
        </w:rPr>
        <w:t>€</w:t>
      </w:r>
      <w:r w:rsidRPr="00C82697">
        <w:rPr>
          <w:lang w:val="en-US"/>
        </w:rPr>
        <w:t>3.3 billion in total in 2026</w:t>
      </w:r>
      <w:r>
        <w:rPr>
          <w:lang w:val="en-US"/>
        </w:rPr>
        <w:t>;</w:t>
      </w:r>
    </w:p>
    <w:p w14:paraId="0789ACB9" w14:textId="77777777" w:rsidR="00133DF3" w:rsidRPr="008F2F96" w:rsidRDefault="00133DF3" w:rsidP="00133DF3">
      <w:pPr>
        <w:pStyle w:val="a4"/>
        <w:numPr>
          <w:ilvl w:val="0"/>
          <w:numId w:val="50"/>
        </w:numPr>
        <w:rPr>
          <w:lang w:val="en-US"/>
        </w:rPr>
      </w:pPr>
      <w:r>
        <w:rPr>
          <w:lang w:val="en-US"/>
        </w:rPr>
        <w:t>s</w:t>
      </w:r>
      <w:r w:rsidRPr="008F2F96">
        <w:rPr>
          <w:lang w:val="en-US"/>
        </w:rPr>
        <w:t>uper tax deductions for investment expenses aiming to boost private investments in key industrial sectors. In this regard, spending on strategic sectors such as defence and the manufacturing of vehicles, aircraft and their components will be deductible from companies’ gross income, increased by 100%. This measure applies to investments during 2026 - 2028, with a total tax deduction amounting to €150 million</w:t>
      </w:r>
      <w:r>
        <w:rPr>
          <w:lang w:val="en-US"/>
        </w:rPr>
        <w:t>;</w:t>
      </w:r>
    </w:p>
    <w:p w14:paraId="47B3E443" w14:textId="77777777" w:rsidR="00133DF3" w:rsidRPr="00C82697" w:rsidRDefault="00133DF3" w:rsidP="00133DF3">
      <w:pPr>
        <w:pStyle w:val="a4"/>
        <w:numPr>
          <w:ilvl w:val="0"/>
          <w:numId w:val="50"/>
        </w:numPr>
        <w:rPr>
          <w:lang w:val="en-US"/>
        </w:rPr>
      </w:pPr>
      <w:r>
        <w:rPr>
          <w:lang w:val="en-US"/>
        </w:rPr>
        <w:t>a</w:t>
      </w:r>
      <w:r w:rsidRPr="00C82697">
        <w:rPr>
          <w:lang w:val="en-US"/>
        </w:rPr>
        <w:t xml:space="preserve"> €200 million program under the NSRF 2021-2027, to enhance the competitiveness and extroversion of small and medium-sized enterprises in the manufacturing and services sectors</w:t>
      </w:r>
      <w:r>
        <w:rPr>
          <w:lang w:val="en-US"/>
        </w:rPr>
        <w:t>;</w:t>
      </w:r>
    </w:p>
    <w:p w14:paraId="5B48BAE0" w14:textId="77777777" w:rsidR="00133DF3" w:rsidRDefault="00133DF3" w:rsidP="00133DF3">
      <w:pPr>
        <w:pStyle w:val="a4"/>
        <w:numPr>
          <w:ilvl w:val="0"/>
          <w:numId w:val="42"/>
        </w:numPr>
        <w:spacing w:before="60" w:after="60" w:line="300" w:lineRule="auto"/>
        <w:rPr>
          <w:rFonts w:cstheme="minorHAnsi"/>
          <w:sz w:val="24"/>
          <w:lang w:val="en-US"/>
        </w:rPr>
      </w:pPr>
      <w:r>
        <w:rPr>
          <w:rFonts w:cstheme="minorHAnsi"/>
          <w:sz w:val="24"/>
          <w:lang w:val="en-US"/>
        </w:rPr>
        <w:t>a targeted €50 million program for sectors with deficits in the trade balance;</w:t>
      </w:r>
    </w:p>
    <w:p w14:paraId="103609BB" w14:textId="77777777" w:rsidR="00133DF3" w:rsidRPr="00E2205B" w:rsidRDefault="00133DF3" w:rsidP="00133DF3">
      <w:pPr>
        <w:pStyle w:val="a4"/>
        <w:numPr>
          <w:ilvl w:val="0"/>
          <w:numId w:val="47"/>
        </w:numPr>
        <w:rPr>
          <w:lang w:val="en-US"/>
        </w:rPr>
      </w:pPr>
      <w:r>
        <w:rPr>
          <w:lang w:val="en-US"/>
        </w:rPr>
        <w:t>a</w:t>
      </w:r>
      <w:r w:rsidRPr="00E2205B">
        <w:rPr>
          <w:lang w:val="en-US"/>
        </w:rPr>
        <w:t xml:space="preserve"> €70 million project to support self-employment of graduates interested in developing new business activities</w:t>
      </w:r>
      <w:r>
        <w:rPr>
          <w:lang w:val="en-US"/>
        </w:rPr>
        <w:t>;</w:t>
      </w:r>
    </w:p>
    <w:p w14:paraId="0420030F" w14:textId="77777777" w:rsidR="00133DF3" w:rsidRPr="00E2205B" w:rsidRDefault="00133DF3" w:rsidP="00133DF3">
      <w:pPr>
        <w:pStyle w:val="a4"/>
        <w:numPr>
          <w:ilvl w:val="0"/>
          <w:numId w:val="47"/>
        </w:numPr>
        <w:rPr>
          <w:lang w:val="en-US"/>
        </w:rPr>
      </w:pPr>
      <w:r>
        <w:rPr>
          <w:lang w:val="en-US"/>
        </w:rPr>
        <w:t>f</w:t>
      </w:r>
      <w:r w:rsidRPr="00E2205B">
        <w:rPr>
          <w:lang w:val="en-US"/>
        </w:rPr>
        <w:t xml:space="preserve">unding for companies investing </w:t>
      </w:r>
      <w:r>
        <w:rPr>
          <w:lang w:val="en-US"/>
        </w:rPr>
        <w:t>i</w:t>
      </w:r>
      <w:r w:rsidRPr="00E2205B">
        <w:rPr>
          <w:lang w:val="en-US"/>
        </w:rPr>
        <w:t>n development and/or production of digital technologies, biotechnology, and clean, efficient technologies, with a budget of €50 million (European STEP initiative)</w:t>
      </w:r>
      <w:r>
        <w:rPr>
          <w:lang w:val="en-US"/>
        </w:rPr>
        <w:t>;</w:t>
      </w:r>
    </w:p>
    <w:p w14:paraId="5B220BCC" w14:textId="77777777" w:rsidR="00133DF3" w:rsidRPr="00E2205B" w:rsidRDefault="00133DF3" w:rsidP="00133DF3">
      <w:pPr>
        <w:pStyle w:val="a4"/>
        <w:numPr>
          <w:ilvl w:val="0"/>
          <w:numId w:val="47"/>
        </w:numPr>
        <w:rPr>
          <w:lang w:val="en-US"/>
        </w:rPr>
      </w:pPr>
      <w:r>
        <w:rPr>
          <w:lang w:val="en-US"/>
        </w:rPr>
        <w:t>t</w:t>
      </w:r>
      <w:r w:rsidRPr="00E2205B">
        <w:rPr>
          <w:lang w:val="en-US"/>
        </w:rPr>
        <w:t>he increase by €300 million of the InvestEU guarantee program, under the Recovery and Resilience Facility (RRF), to support SMEs and mobilize loans amounting to €3.6 billion, which will support at least 25,000 SMEs across the country</w:t>
      </w:r>
      <w:r>
        <w:rPr>
          <w:lang w:val="en-US"/>
        </w:rPr>
        <w:t>;</w:t>
      </w:r>
    </w:p>
    <w:p w14:paraId="442B7789" w14:textId="1695328C" w:rsidR="00133DF3" w:rsidRPr="00E2205B" w:rsidRDefault="00133DF3" w:rsidP="00133DF3">
      <w:pPr>
        <w:pStyle w:val="a4"/>
        <w:numPr>
          <w:ilvl w:val="0"/>
          <w:numId w:val="47"/>
        </w:numPr>
        <w:rPr>
          <w:lang w:val="en-US"/>
        </w:rPr>
      </w:pPr>
      <w:r>
        <w:rPr>
          <w:lang w:val="en-US"/>
        </w:rPr>
        <w:t>i</w:t>
      </w:r>
      <w:r w:rsidRPr="00E2205B">
        <w:rPr>
          <w:lang w:val="en-US"/>
        </w:rPr>
        <w:t>ncrease of the Portfolio Fund of TEPIX III via the Hellenic Development Bank (HDB), with an additional €780 million for SME business loans</w:t>
      </w:r>
      <w:r w:rsidR="00622BA5">
        <w:rPr>
          <w:lang w:val="en-US"/>
        </w:rPr>
        <w:t>;</w:t>
      </w:r>
    </w:p>
    <w:p w14:paraId="5295A839" w14:textId="77777777" w:rsidR="00133DF3" w:rsidRDefault="00133DF3" w:rsidP="00133DF3">
      <w:pPr>
        <w:pStyle w:val="a4"/>
        <w:numPr>
          <w:ilvl w:val="0"/>
          <w:numId w:val="47"/>
        </w:numPr>
        <w:rPr>
          <w:lang w:val="en-US"/>
        </w:rPr>
      </w:pPr>
      <w:r>
        <w:rPr>
          <w:lang w:val="en-US"/>
        </w:rPr>
        <w:t>e</w:t>
      </w:r>
      <w:r w:rsidRPr="00E2205B">
        <w:rPr>
          <w:lang w:val="en-US"/>
        </w:rPr>
        <w:t>stablishment of new funds in 2026, such as the Agricultural Entrepreneurship Fund (up to €170 million), the DeLFI Plus Guarantee Fund (up to €500 million) and the Patent Fund (€41.4 million) to support patent protection</w:t>
      </w:r>
      <w:r>
        <w:rPr>
          <w:lang w:val="en-US"/>
        </w:rPr>
        <w:t>.</w:t>
      </w:r>
    </w:p>
    <w:p w14:paraId="52636A4C" w14:textId="77777777" w:rsidR="00133DF3" w:rsidRPr="00E2205B" w:rsidRDefault="00133DF3" w:rsidP="00AC165E">
      <w:pPr>
        <w:pStyle w:val="mesotitlos"/>
        <w:spacing w:before="360" w:line="276" w:lineRule="auto"/>
      </w:pPr>
      <w:r w:rsidRPr="00E2205B">
        <w:t>Other Interventions</w:t>
      </w:r>
    </w:p>
    <w:p w14:paraId="4AF1CC69" w14:textId="77777777" w:rsidR="00133DF3" w:rsidRDefault="00133DF3" w:rsidP="00AC165E">
      <w:pPr>
        <w:spacing w:line="276" w:lineRule="auto"/>
        <w:rPr>
          <w:lang w:val="en-US"/>
        </w:rPr>
      </w:pPr>
      <w:r>
        <w:rPr>
          <w:lang w:val="en-US"/>
        </w:rPr>
        <w:t>The additional interventions implemented in 2025 to strengthen disposable income include:</w:t>
      </w:r>
    </w:p>
    <w:p w14:paraId="393BBA14" w14:textId="77777777" w:rsidR="00133DF3" w:rsidRPr="00E2205B" w:rsidRDefault="00133DF3" w:rsidP="00AC165E">
      <w:pPr>
        <w:pStyle w:val="a4"/>
        <w:numPr>
          <w:ilvl w:val="0"/>
          <w:numId w:val="48"/>
        </w:numPr>
        <w:spacing w:after="60" w:line="276" w:lineRule="auto"/>
        <w:rPr>
          <w:lang w:val="en-US"/>
        </w:rPr>
      </w:pPr>
      <w:r w:rsidRPr="00E2205B">
        <w:rPr>
          <w:lang w:val="en-US"/>
        </w:rPr>
        <w:t>Reduction of social security contributions by one pp</w:t>
      </w:r>
      <w:r>
        <w:rPr>
          <w:lang w:val="en-US"/>
        </w:rPr>
        <w:t>;</w:t>
      </w:r>
    </w:p>
    <w:p w14:paraId="435E5440" w14:textId="77777777" w:rsidR="00133DF3" w:rsidRPr="00E2205B" w:rsidRDefault="00133DF3" w:rsidP="00AC165E">
      <w:pPr>
        <w:pStyle w:val="a4"/>
        <w:numPr>
          <w:ilvl w:val="0"/>
          <w:numId w:val="48"/>
        </w:numPr>
        <w:spacing w:after="60" w:line="276" w:lineRule="auto"/>
        <w:rPr>
          <w:lang w:val="en-US"/>
        </w:rPr>
      </w:pPr>
      <w:r>
        <w:rPr>
          <w:lang w:val="en-US"/>
        </w:rPr>
        <w:t>a</w:t>
      </w:r>
      <w:r w:rsidRPr="00E2205B">
        <w:rPr>
          <w:lang w:val="en-US"/>
        </w:rPr>
        <w:t>bolition of the self-employed overhead tax from 2025, following the 50% reduction that took place in 2024</w:t>
      </w:r>
      <w:r>
        <w:rPr>
          <w:lang w:val="en-US"/>
        </w:rPr>
        <w:t>;</w:t>
      </w:r>
    </w:p>
    <w:p w14:paraId="14D303EE" w14:textId="77777777" w:rsidR="00133DF3" w:rsidRPr="00E2205B" w:rsidRDefault="00133DF3" w:rsidP="00AC165E">
      <w:pPr>
        <w:pStyle w:val="a4"/>
        <w:numPr>
          <w:ilvl w:val="0"/>
          <w:numId w:val="48"/>
        </w:numPr>
        <w:spacing w:after="60" w:line="276" w:lineRule="auto"/>
        <w:rPr>
          <w:lang w:val="en-US"/>
        </w:rPr>
      </w:pPr>
      <w:r>
        <w:rPr>
          <w:lang w:val="en-US"/>
        </w:rPr>
        <w:t>r</w:t>
      </w:r>
      <w:r w:rsidRPr="00E2205B">
        <w:rPr>
          <w:lang w:val="en-US"/>
        </w:rPr>
        <w:t>eturn of the special levy on diesel for farmers on a permanent basis, with the establishment of a new system based on actual consumption</w:t>
      </w:r>
      <w:r>
        <w:rPr>
          <w:lang w:val="en-US"/>
        </w:rPr>
        <w:t>;</w:t>
      </w:r>
    </w:p>
    <w:p w14:paraId="7E4A6B6B" w14:textId="77777777" w:rsidR="00133DF3" w:rsidRPr="007A0C66" w:rsidRDefault="00133DF3" w:rsidP="00AC165E">
      <w:pPr>
        <w:pStyle w:val="a4"/>
        <w:numPr>
          <w:ilvl w:val="0"/>
          <w:numId w:val="48"/>
        </w:numPr>
        <w:spacing w:after="60" w:line="276" w:lineRule="auto"/>
        <w:rPr>
          <w:lang w:val="en-US"/>
        </w:rPr>
      </w:pPr>
      <w:r>
        <w:rPr>
          <w:lang w:val="en-US"/>
        </w:rPr>
        <w:t>r</w:t>
      </w:r>
      <w:r w:rsidRPr="007A0C66">
        <w:rPr>
          <w:lang w:val="en-US"/>
        </w:rPr>
        <w:t xml:space="preserve">eduction of the digital </w:t>
      </w:r>
      <w:r>
        <w:rPr>
          <w:lang w:val="en-US"/>
        </w:rPr>
        <w:t xml:space="preserve">transaction </w:t>
      </w:r>
      <w:r w:rsidRPr="007A0C66">
        <w:rPr>
          <w:lang w:val="en-US"/>
        </w:rPr>
        <w:t>fee for a range of transactions</w:t>
      </w:r>
      <w:r>
        <w:rPr>
          <w:lang w:val="en-US"/>
        </w:rPr>
        <w:t>;</w:t>
      </w:r>
    </w:p>
    <w:p w14:paraId="0807DD4A" w14:textId="77777777" w:rsidR="00133DF3" w:rsidRPr="00E2205B" w:rsidRDefault="00133DF3" w:rsidP="00AC165E">
      <w:pPr>
        <w:pStyle w:val="a4"/>
        <w:numPr>
          <w:ilvl w:val="0"/>
          <w:numId w:val="48"/>
        </w:numPr>
        <w:spacing w:after="60" w:line="276" w:lineRule="auto"/>
        <w:rPr>
          <w:lang w:val="en-US"/>
        </w:rPr>
      </w:pPr>
      <w:r>
        <w:rPr>
          <w:lang w:val="en-US"/>
        </w:rPr>
        <w:t>a</w:t>
      </w:r>
      <w:r w:rsidRPr="00E2205B">
        <w:rPr>
          <w:lang w:val="en-US"/>
        </w:rPr>
        <w:t>bolishment of the 5% telecommunication fee for fiber-optic connections</w:t>
      </w:r>
      <w:r>
        <w:rPr>
          <w:lang w:val="en-US"/>
        </w:rPr>
        <w:t>;</w:t>
      </w:r>
    </w:p>
    <w:p w14:paraId="30C10546" w14:textId="77777777" w:rsidR="00133DF3" w:rsidRPr="00E2205B" w:rsidRDefault="00133DF3" w:rsidP="00AC165E">
      <w:pPr>
        <w:pStyle w:val="a4"/>
        <w:numPr>
          <w:ilvl w:val="0"/>
          <w:numId w:val="48"/>
        </w:numPr>
        <w:spacing w:after="60" w:line="276" w:lineRule="auto"/>
        <w:rPr>
          <w:lang w:val="en-US"/>
        </w:rPr>
      </w:pPr>
      <w:r>
        <w:rPr>
          <w:lang w:val="en-US"/>
        </w:rPr>
        <w:t>a</w:t>
      </w:r>
      <w:r w:rsidRPr="00E2205B">
        <w:rPr>
          <w:lang w:val="en-US"/>
        </w:rPr>
        <w:t>bolishment of the 15% insurance levy on private healthcare contracts for children up to 18 years old</w:t>
      </w:r>
      <w:r>
        <w:rPr>
          <w:lang w:val="en-US"/>
        </w:rPr>
        <w:t>;</w:t>
      </w:r>
    </w:p>
    <w:p w14:paraId="77F41A67" w14:textId="77777777" w:rsidR="00133DF3" w:rsidRPr="00E2205B" w:rsidRDefault="00133DF3" w:rsidP="00AC165E">
      <w:pPr>
        <w:pStyle w:val="a4"/>
        <w:numPr>
          <w:ilvl w:val="0"/>
          <w:numId w:val="48"/>
        </w:numPr>
        <w:spacing w:after="60" w:line="276" w:lineRule="auto"/>
        <w:rPr>
          <w:lang w:val="en-US"/>
        </w:rPr>
      </w:pPr>
      <w:r>
        <w:rPr>
          <w:lang w:val="en-US"/>
        </w:rPr>
        <w:t>t</w:t>
      </w:r>
      <w:r w:rsidRPr="00E2205B">
        <w:rPr>
          <w:lang w:val="en-US"/>
        </w:rPr>
        <w:t>ax reliefs for benefits provided voluntarily by employers to new parents</w:t>
      </w:r>
      <w:r>
        <w:rPr>
          <w:lang w:val="en-US"/>
        </w:rPr>
        <w:t>;</w:t>
      </w:r>
    </w:p>
    <w:p w14:paraId="6AA5E8A9" w14:textId="77777777" w:rsidR="00133DF3" w:rsidRPr="00E2205B" w:rsidRDefault="00133DF3" w:rsidP="00AC165E">
      <w:pPr>
        <w:pStyle w:val="a4"/>
        <w:numPr>
          <w:ilvl w:val="0"/>
          <w:numId w:val="48"/>
        </w:numPr>
        <w:spacing w:after="60" w:line="276" w:lineRule="auto"/>
        <w:rPr>
          <w:lang w:val="en-US"/>
        </w:rPr>
      </w:pPr>
      <w:r>
        <w:rPr>
          <w:lang w:val="en-US"/>
        </w:rPr>
        <w:t>i</w:t>
      </w:r>
      <w:r w:rsidRPr="00E2205B">
        <w:rPr>
          <w:lang w:val="en-US"/>
        </w:rPr>
        <w:t>ncentives to attract doctors in remote and problematic areas</w:t>
      </w:r>
      <w:r>
        <w:rPr>
          <w:lang w:val="en-US"/>
        </w:rPr>
        <w:t>;</w:t>
      </w:r>
    </w:p>
    <w:p w14:paraId="79DB9659" w14:textId="77777777" w:rsidR="00133DF3" w:rsidRPr="00E2205B" w:rsidRDefault="00133DF3" w:rsidP="00AC165E">
      <w:pPr>
        <w:pStyle w:val="a4"/>
        <w:numPr>
          <w:ilvl w:val="0"/>
          <w:numId w:val="48"/>
        </w:numPr>
        <w:spacing w:after="60" w:line="276" w:lineRule="auto"/>
        <w:rPr>
          <w:lang w:val="en-US"/>
        </w:rPr>
      </w:pPr>
      <w:r>
        <w:rPr>
          <w:lang w:val="en-US"/>
        </w:rPr>
        <w:t>i</w:t>
      </w:r>
      <w:r w:rsidRPr="00E2205B">
        <w:rPr>
          <w:lang w:val="en-US"/>
        </w:rPr>
        <w:t>ncrease of student housing allowance in regional universities</w:t>
      </w:r>
      <w:r>
        <w:rPr>
          <w:lang w:val="en-US"/>
        </w:rPr>
        <w:t>;</w:t>
      </w:r>
    </w:p>
    <w:p w14:paraId="7823D74E" w14:textId="77777777" w:rsidR="00133DF3" w:rsidRPr="00E2205B" w:rsidRDefault="00133DF3" w:rsidP="00AC165E">
      <w:pPr>
        <w:pStyle w:val="a4"/>
        <w:numPr>
          <w:ilvl w:val="0"/>
          <w:numId w:val="48"/>
        </w:numPr>
        <w:spacing w:after="60" w:line="276" w:lineRule="auto"/>
        <w:rPr>
          <w:lang w:val="en-US"/>
        </w:rPr>
      </w:pPr>
      <w:r>
        <w:rPr>
          <w:lang w:val="en-US"/>
        </w:rPr>
        <w:t>i</w:t>
      </w:r>
      <w:r w:rsidRPr="00E2205B">
        <w:rPr>
          <w:lang w:val="en-US"/>
        </w:rPr>
        <w:t>ncrease of compensation for students of military academies</w:t>
      </w:r>
      <w:r>
        <w:rPr>
          <w:lang w:val="en-US"/>
        </w:rPr>
        <w:t>;</w:t>
      </w:r>
    </w:p>
    <w:p w14:paraId="1207B8A9" w14:textId="77777777" w:rsidR="00133DF3" w:rsidRPr="00E2205B" w:rsidRDefault="00133DF3" w:rsidP="00AC165E">
      <w:pPr>
        <w:pStyle w:val="a4"/>
        <w:numPr>
          <w:ilvl w:val="0"/>
          <w:numId w:val="48"/>
        </w:numPr>
        <w:spacing w:after="60" w:line="276" w:lineRule="auto"/>
        <w:rPr>
          <w:lang w:val="en-US"/>
        </w:rPr>
      </w:pPr>
      <w:r>
        <w:rPr>
          <w:lang w:val="en-US"/>
        </w:rPr>
        <w:t>r</w:t>
      </w:r>
      <w:r w:rsidRPr="00E2205B">
        <w:rPr>
          <w:lang w:val="en-US"/>
        </w:rPr>
        <w:t>eform of the hazardous and unhealthy work allowance for local governments employees</w:t>
      </w:r>
      <w:r>
        <w:rPr>
          <w:lang w:val="en-US"/>
        </w:rPr>
        <w:t>;</w:t>
      </w:r>
    </w:p>
    <w:p w14:paraId="4D43DF78" w14:textId="77777777" w:rsidR="00133DF3" w:rsidRPr="00E2205B" w:rsidRDefault="00133DF3" w:rsidP="00AC165E">
      <w:pPr>
        <w:pStyle w:val="a4"/>
        <w:numPr>
          <w:ilvl w:val="0"/>
          <w:numId w:val="48"/>
        </w:numPr>
        <w:spacing w:after="60" w:line="276" w:lineRule="auto"/>
        <w:rPr>
          <w:lang w:val="en-US"/>
        </w:rPr>
      </w:pPr>
      <w:r>
        <w:rPr>
          <w:lang w:val="en-US"/>
        </w:rPr>
        <w:t>r</w:t>
      </w:r>
      <w:r w:rsidRPr="00E2205B">
        <w:rPr>
          <w:lang w:val="en-US"/>
        </w:rPr>
        <w:t>eduction of banking fees</w:t>
      </w:r>
      <w:r>
        <w:rPr>
          <w:lang w:val="en-US"/>
        </w:rPr>
        <w:t>;</w:t>
      </w:r>
    </w:p>
    <w:p w14:paraId="3FE0E1A6" w14:textId="77777777" w:rsidR="00133DF3" w:rsidRPr="00E2205B" w:rsidRDefault="00133DF3" w:rsidP="00AC165E">
      <w:pPr>
        <w:pStyle w:val="a4"/>
        <w:numPr>
          <w:ilvl w:val="0"/>
          <w:numId w:val="48"/>
        </w:numPr>
        <w:spacing w:after="60" w:line="276" w:lineRule="auto"/>
        <w:rPr>
          <w:lang w:val="en-US"/>
        </w:rPr>
      </w:pPr>
      <w:r>
        <w:rPr>
          <w:lang w:val="en-US"/>
        </w:rPr>
        <w:t>d</w:t>
      </w:r>
      <w:r w:rsidRPr="00E2205B">
        <w:rPr>
          <w:lang w:val="en-US"/>
        </w:rPr>
        <w:t>oubling of income eligibility criteria for the out-of-court debt settlement mechanism, and</w:t>
      </w:r>
    </w:p>
    <w:p w14:paraId="313D7C17" w14:textId="77777777" w:rsidR="00133DF3" w:rsidRPr="00E2205B" w:rsidRDefault="00133DF3" w:rsidP="00AC165E">
      <w:pPr>
        <w:pStyle w:val="a4"/>
        <w:numPr>
          <w:ilvl w:val="0"/>
          <w:numId w:val="48"/>
        </w:numPr>
        <w:spacing w:after="60" w:line="276" w:lineRule="auto"/>
        <w:rPr>
          <w:lang w:val="en-US"/>
        </w:rPr>
      </w:pPr>
      <w:r>
        <w:rPr>
          <w:lang w:val="en-US"/>
        </w:rPr>
        <w:t>r</w:t>
      </w:r>
      <w:r w:rsidRPr="00E2205B">
        <w:rPr>
          <w:lang w:val="en-US"/>
        </w:rPr>
        <w:t>eduction of social security contributions for overtimes</w:t>
      </w:r>
      <w:r>
        <w:rPr>
          <w:lang w:val="en-US"/>
        </w:rPr>
        <w:t xml:space="preserve"> and</w:t>
      </w:r>
      <w:r w:rsidRPr="00E2205B">
        <w:rPr>
          <w:lang w:val="en-US"/>
        </w:rPr>
        <w:t xml:space="preserve"> night shifts work during public holidays or Sundays for full-time employees.</w:t>
      </w:r>
    </w:p>
    <w:p w14:paraId="1ECE4F95" w14:textId="77777777" w:rsidR="00133DF3" w:rsidRDefault="00133DF3" w:rsidP="00AC165E">
      <w:pPr>
        <w:spacing w:after="60" w:line="276" w:lineRule="auto"/>
        <w:rPr>
          <w:lang w:val="en-US"/>
        </w:rPr>
      </w:pPr>
      <w:r>
        <w:rPr>
          <w:lang w:val="en-US"/>
        </w:rPr>
        <w:t>For 2026, other interventions include:</w:t>
      </w:r>
    </w:p>
    <w:p w14:paraId="6BCFB6B5" w14:textId="77777777" w:rsidR="00133DF3" w:rsidRPr="00E2205B" w:rsidRDefault="00133DF3" w:rsidP="00AC165E">
      <w:pPr>
        <w:pStyle w:val="a4"/>
        <w:numPr>
          <w:ilvl w:val="0"/>
          <w:numId w:val="49"/>
        </w:numPr>
        <w:spacing w:after="60" w:line="276" w:lineRule="auto"/>
        <w:rPr>
          <w:lang w:val="en-US"/>
        </w:rPr>
      </w:pPr>
      <w:r w:rsidRPr="00E2205B">
        <w:rPr>
          <w:lang w:val="en-US"/>
        </w:rPr>
        <w:t>Launch, from January 2026, of a fund for pharmaceutical innovation, with an annual cost of €50 million, to facilitate patient access to innovative treatments</w:t>
      </w:r>
      <w:r>
        <w:rPr>
          <w:lang w:val="en-US"/>
        </w:rPr>
        <w:t>;</w:t>
      </w:r>
    </w:p>
    <w:p w14:paraId="1AA124B5" w14:textId="77777777" w:rsidR="00133DF3" w:rsidRDefault="00133DF3" w:rsidP="00AC165E">
      <w:pPr>
        <w:pStyle w:val="a4"/>
        <w:numPr>
          <w:ilvl w:val="0"/>
          <w:numId w:val="49"/>
        </w:numPr>
        <w:spacing w:after="60" w:line="276" w:lineRule="auto"/>
        <w:rPr>
          <w:lang w:val="en-US"/>
        </w:rPr>
      </w:pPr>
      <w:r>
        <w:rPr>
          <w:lang w:val="en-US"/>
        </w:rPr>
        <w:t>e</w:t>
      </w:r>
      <w:r w:rsidRPr="00E2205B">
        <w:rPr>
          <w:lang w:val="en-US"/>
        </w:rPr>
        <w:t>xemption from income tax for charitable foundations, with an annual fiscal cost of €43 million, starting from the 2026 tax year</w:t>
      </w:r>
      <w:r>
        <w:rPr>
          <w:lang w:val="en-US"/>
        </w:rPr>
        <w:t>;</w:t>
      </w:r>
    </w:p>
    <w:p w14:paraId="3309FD69" w14:textId="77777777" w:rsidR="00133DF3" w:rsidRPr="00E2205B" w:rsidRDefault="00133DF3" w:rsidP="00AC165E">
      <w:pPr>
        <w:pStyle w:val="a4"/>
        <w:numPr>
          <w:ilvl w:val="0"/>
          <w:numId w:val="49"/>
        </w:numPr>
        <w:spacing w:after="60" w:line="276" w:lineRule="auto"/>
        <w:rPr>
          <w:lang w:val="en-US"/>
        </w:rPr>
      </w:pPr>
      <w:r>
        <w:rPr>
          <w:lang w:val="en-US"/>
        </w:rPr>
        <w:t>a</w:t>
      </w:r>
      <w:r w:rsidRPr="00E2205B">
        <w:rPr>
          <w:lang w:val="en-US"/>
        </w:rPr>
        <w:t>bolition, from January 2026, of the 10% fee on cable TV subscriptions, with an annual fiscal cost of €22 million</w:t>
      </w:r>
      <w:r>
        <w:rPr>
          <w:lang w:val="en-US"/>
        </w:rPr>
        <w:t>;</w:t>
      </w:r>
    </w:p>
    <w:p w14:paraId="65C118D5" w14:textId="76CC7437" w:rsidR="00133DF3" w:rsidRPr="00E2601D" w:rsidRDefault="00133DF3" w:rsidP="00AC165E">
      <w:pPr>
        <w:pStyle w:val="a4"/>
        <w:numPr>
          <w:ilvl w:val="0"/>
          <w:numId w:val="49"/>
        </w:numPr>
        <w:spacing w:after="60" w:line="276" w:lineRule="auto"/>
        <w:ind w:left="714" w:hanging="357"/>
        <w:rPr>
          <w:lang w:val="en-US"/>
        </w:rPr>
      </w:pPr>
      <w:r>
        <w:rPr>
          <w:lang w:val="en-US"/>
        </w:rPr>
        <w:t>e</w:t>
      </w:r>
      <w:r w:rsidRPr="00D02197">
        <w:rPr>
          <w:lang w:val="en-US"/>
        </w:rPr>
        <w:t xml:space="preserve">xtension of the reduction of the objective income for self-employed for communities outside Attica, with population up to 1,500 residents, as well as </w:t>
      </w:r>
      <w:r>
        <w:rPr>
          <w:lang w:val="en-US"/>
        </w:rPr>
        <w:t>e</w:t>
      </w:r>
      <w:r w:rsidRPr="00D02197">
        <w:rPr>
          <w:lang w:val="en-US"/>
        </w:rPr>
        <w:t>xemption from the objective income for new mothers practicing a freelance profession during the year of childbirth and for the following two years</w:t>
      </w:r>
      <w:r>
        <w:rPr>
          <w:lang w:val="en-US"/>
        </w:rPr>
        <w:t>.</w:t>
      </w:r>
    </w:p>
    <w:p w14:paraId="3BE293C6" w14:textId="77777777" w:rsidR="00133DF3" w:rsidRDefault="00133DF3" w:rsidP="00AC165E">
      <w:pPr>
        <w:pStyle w:val="2"/>
        <w:numPr>
          <w:ilvl w:val="1"/>
          <w:numId w:val="2"/>
        </w:numPr>
        <w:spacing w:before="1080" w:after="240"/>
        <w:ind w:left="567" w:hanging="567"/>
        <w:rPr>
          <w:lang w:val="en-US"/>
        </w:rPr>
      </w:pPr>
      <w:bookmarkStart w:id="62" w:name="_Toc211249672"/>
      <w:bookmarkStart w:id="63" w:name="_Toc211418445"/>
      <w:r>
        <w:rPr>
          <w:lang w:val="en-US"/>
        </w:rPr>
        <w:t>National Recovery &amp; Resilience Plan (NRRP)</w:t>
      </w:r>
      <w:bookmarkEnd w:id="53"/>
      <w:bookmarkEnd w:id="62"/>
      <w:bookmarkEnd w:id="63"/>
    </w:p>
    <w:p w14:paraId="7E4BD816" w14:textId="77777777" w:rsidR="00133DF3" w:rsidRPr="00D26589" w:rsidRDefault="00133DF3" w:rsidP="00E2601D">
      <w:pPr>
        <w:spacing w:after="120"/>
        <w:rPr>
          <w:lang w:val="en-US"/>
        </w:rPr>
      </w:pPr>
      <w:r w:rsidRPr="00D26589">
        <w:rPr>
          <w:lang w:val="en-US"/>
        </w:rPr>
        <w:t>Following the revision of Greece’s NRRP in December 2023, the available resources amount to €35.9 billion, of which grants are estimated at €18.2 billion and loans up to €17.7 billion to support investments and reforms.</w:t>
      </w:r>
    </w:p>
    <w:p w14:paraId="3EADB6EF" w14:textId="77777777" w:rsidR="00133DF3" w:rsidRDefault="00133DF3" w:rsidP="00E2601D">
      <w:pPr>
        <w:spacing w:after="120"/>
        <w:rPr>
          <w:lang w:val="en-US"/>
        </w:rPr>
      </w:pPr>
      <w:r w:rsidRPr="00D26589">
        <w:rPr>
          <w:lang w:val="en-US"/>
        </w:rPr>
        <w:t xml:space="preserve">Greece has so far received €21.3 billion of RRF funds, corresponding to the first five payment requests, out of which €9.9 billion are grants and €11.4 billion loans. A further €2.1 billion </w:t>
      </w:r>
      <w:r>
        <w:rPr>
          <w:lang w:val="en-US"/>
        </w:rPr>
        <w:t xml:space="preserve">of grant </w:t>
      </w:r>
      <w:r w:rsidRPr="00D26589">
        <w:rPr>
          <w:lang w:val="en-US"/>
        </w:rPr>
        <w:t>is expected to be disbursed by the end of 2025, given the completion of the assessment of the 6th payment request for grants by the Commission, bringing total disbursements to the country to €23.4 billion and the disbursement rate to 65% of the total budget.</w:t>
      </w:r>
    </w:p>
    <w:p w14:paraId="294FBAE1" w14:textId="77777777" w:rsidR="00133DF3" w:rsidRPr="00D26589" w:rsidRDefault="00133DF3" w:rsidP="00133DF3">
      <w:pPr>
        <w:rPr>
          <w:lang w:val="en-US"/>
        </w:rPr>
      </w:pPr>
      <w:r w:rsidRPr="00D26589">
        <w:rPr>
          <w:lang w:val="en-US"/>
        </w:rPr>
        <w:t xml:space="preserve">As </w:t>
      </w:r>
      <w:r>
        <w:rPr>
          <w:lang w:val="en-US"/>
        </w:rPr>
        <w:t>regards the use of funds</w:t>
      </w:r>
      <w:r w:rsidRPr="00D26589">
        <w:rPr>
          <w:lang w:val="en-US"/>
        </w:rPr>
        <w:t>, until September 2025, €11</w:t>
      </w:r>
      <w:r>
        <w:rPr>
          <w:lang w:val="en-US"/>
        </w:rPr>
        <w:t>.</w:t>
      </w:r>
      <w:r w:rsidRPr="00D26589">
        <w:rPr>
          <w:lang w:val="en-US"/>
        </w:rPr>
        <w:t>22 billion of grants were transferred to entities inside and outside the general government and final recipients for approved RRF projects. Approximately 855 projects, with a total budget of €24.7 billion including VAT, have already been approved and included in the Public Investments Program.</w:t>
      </w:r>
    </w:p>
    <w:p w14:paraId="72C10B39" w14:textId="77C9220F" w:rsidR="00133DF3" w:rsidRDefault="00133DF3" w:rsidP="00133DF3">
      <w:pPr>
        <w:rPr>
          <w:lang w:val="en-US"/>
        </w:rPr>
      </w:pPr>
      <w:r w:rsidRPr="00D26589">
        <w:rPr>
          <w:lang w:val="en-US"/>
        </w:rPr>
        <w:t>The approved projects include, inter alia: energy renovation of residential buildings, island electrical interconnections, energy storage investments, motorways construction, micro-satellite network development, implementation of the national public health secondary prevention program, implementation of the strategy for excellence in universities and innovation and many others.</w:t>
      </w:r>
    </w:p>
    <w:p w14:paraId="7A2C8C3C" w14:textId="3B627F70" w:rsidR="00AC165E" w:rsidRDefault="00AC165E" w:rsidP="00133DF3">
      <w:pPr>
        <w:rPr>
          <w:lang w:val="en-US"/>
        </w:rPr>
      </w:pPr>
    </w:p>
    <w:p w14:paraId="4CBFC407" w14:textId="77777777" w:rsidR="00AC165E" w:rsidRDefault="00AC165E" w:rsidP="00133DF3">
      <w:pPr>
        <w:rPr>
          <w:lang w:val="en-US"/>
        </w:rPr>
      </w:pPr>
    </w:p>
    <w:p w14:paraId="76C551AF" w14:textId="768E4EAA" w:rsidR="00133DF3" w:rsidRDefault="00133DF3" w:rsidP="00E2601D">
      <w:pPr>
        <w:pStyle w:val="ae"/>
      </w:pPr>
      <w:bookmarkStart w:id="64" w:name="_Toc211249684"/>
      <w:bookmarkStart w:id="65" w:name="_Toc211355101"/>
      <w:r>
        <w:t xml:space="preserve">Table </w:t>
      </w:r>
      <w:r>
        <w:fldChar w:fldCharType="begin"/>
      </w:r>
      <w:r>
        <w:instrText xml:space="preserve"> SEQ Table \* ARABIC </w:instrText>
      </w:r>
      <w:r>
        <w:fldChar w:fldCharType="separate"/>
      </w:r>
      <w:r w:rsidR="00AF0E6B">
        <w:rPr>
          <w:noProof/>
        </w:rPr>
        <w:t>7</w:t>
      </w:r>
      <w:r>
        <w:fldChar w:fldCharType="end"/>
      </w:r>
      <w:r>
        <w:t xml:space="preserve"> | </w:t>
      </w:r>
      <w:r w:rsidRPr="006B2140">
        <w:t>RRF grants</w:t>
      </w:r>
      <w:r>
        <w:t xml:space="preserve"> </w:t>
      </w:r>
      <w:r w:rsidRPr="009E0C15">
        <w:rPr>
          <w:b w:val="0"/>
        </w:rPr>
        <w:t>(% of GDP)</w:t>
      </w:r>
      <w:bookmarkEnd w:id="64"/>
      <w:bookmarkEnd w:id="65"/>
    </w:p>
    <w:tbl>
      <w:tblPr>
        <w:tblW w:w="8960" w:type="dxa"/>
        <w:jc w:val="center"/>
        <w:tblLook w:val="04A0" w:firstRow="1" w:lastRow="0" w:firstColumn="1" w:lastColumn="0" w:noHBand="0" w:noVBand="1"/>
      </w:tblPr>
      <w:tblGrid>
        <w:gridCol w:w="4253"/>
        <w:gridCol w:w="738"/>
        <w:gridCol w:w="850"/>
        <w:gridCol w:w="709"/>
        <w:gridCol w:w="850"/>
        <w:gridCol w:w="709"/>
        <w:gridCol w:w="851"/>
      </w:tblGrid>
      <w:tr w:rsidR="00133DF3" w:rsidRPr="00FF51D6" w14:paraId="255E8634" w14:textId="77777777" w:rsidTr="00D50F04">
        <w:trPr>
          <w:trHeight w:val="255"/>
          <w:jc w:val="center"/>
        </w:trPr>
        <w:tc>
          <w:tcPr>
            <w:tcW w:w="4253" w:type="dxa"/>
            <w:tcBorders>
              <w:top w:val="nil"/>
              <w:left w:val="nil"/>
              <w:bottom w:val="nil"/>
              <w:right w:val="nil"/>
            </w:tcBorders>
            <w:shd w:val="clear" w:color="000000" w:fill="BFBFBF"/>
            <w:vAlign w:val="center"/>
            <w:hideMark/>
          </w:tcPr>
          <w:p w14:paraId="0ADB9B8A" w14:textId="77777777" w:rsidR="00133DF3" w:rsidRPr="00FF51D6" w:rsidRDefault="00133DF3" w:rsidP="00AC165E">
            <w:pPr>
              <w:pStyle w:val="Tabletext"/>
              <w:rPr>
                <w:b/>
                <w:sz w:val="24"/>
              </w:rPr>
            </w:pPr>
            <w:r w:rsidRPr="00FF51D6">
              <w:rPr>
                <w:b/>
                <w:sz w:val="24"/>
              </w:rPr>
              <w:t> </w:t>
            </w:r>
          </w:p>
        </w:tc>
        <w:tc>
          <w:tcPr>
            <w:tcW w:w="738" w:type="dxa"/>
            <w:tcBorders>
              <w:top w:val="nil"/>
              <w:left w:val="nil"/>
              <w:bottom w:val="nil"/>
              <w:right w:val="nil"/>
            </w:tcBorders>
            <w:shd w:val="clear" w:color="000000" w:fill="BFBFBF"/>
            <w:vAlign w:val="center"/>
            <w:hideMark/>
          </w:tcPr>
          <w:p w14:paraId="25EAC571" w14:textId="77777777" w:rsidR="00133DF3" w:rsidRPr="00FF51D6" w:rsidRDefault="00133DF3" w:rsidP="00AC165E">
            <w:pPr>
              <w:pStyle w:val="Tabletext"/>
              <w:jc w:val="center"/>
              <w:rPr>
                <w:b/>
                <w:sz w:val="24"/>
              </w:rPr>
            </w:pPr>
            <w:r w:rsidRPr="00FF51D6">
              <w:rPr>
                <w:b/>
                <w:sz w:val="24"/>
              </w:rPr>
              <w:t>2021</w:t>
            </w:r>
          </w:p>
        </w:tc>
        <w:tc>
          <w:tcPr>
            <w:tcW w:w="850" w:type="dxa"/>
            <w:tcBorders>
              <w:top w:val="nil"/>
              <w:left w:val="nil"/>
              <w:bottom w:val="nil"/>
              <w:right w:val="nil"/>
            </w:tcBorders>
            <w:shd w:val="clear" w:color="000000" w:fill="BFBFBF"/>
            <w:vAlign w:val="center"/>
            <w:hideMark/>
          </w:tcPr>
          <w:p w14:paraId="3AA53E64" w14:textId="77777777" w:rsidR="00133DF3" w:rsidRPr="00FF51D6" w:rsidRDefault="00133DF3" w:rsidP="00AC165E">
            <w:pPr>
              <w:pStyle w:val="Tabletext"/>
              <w:jc w:val="center"/>
              <w:rPr>
                <w:b/>
                <w:sz w:val="24"/>
              </w:rPr>
            </w:pPr>
            <w:r w:rsidRPr="00FF51D6">
              <w:rPr>
                <w:b/>
                <w:sz w:val="24"/>
              </w:rPr>
              <w:t>2022</w:t>
            </w:r>
          </w:p>
        </w:tc>
        <w:tc>
          <w:tcPr>
            <w:tcW w:w="709" w:type="dxa"/>
            <w:tcBorders>
              <w:top w:val="nil"/>
              <w:left w:val="nil"/>
              <w:bottom w:val="nil"/>
              <w:right w:val="nil"/>
            </w:tcBorders>
            <w:shd w:val="clear" w:color="000000" w:fill="BFBFBF"/>
            <w:vAlign w:val="center"/>
            <w:hideMark/>
          </w:tcPr>
          <w:p w14:paraId="705760F6" w14:textId="77777777" w:rsidR="00133DF3" w:rsidRPr="00FF51D6" w:rsidRDefault="00133DF3" w:rsidP="00AC165E">
            <w:pPr>
              <w:pStyle w:val="Tabletext"/>
              <w:jc w:val="center"/>
              <w:rPr>
                <w:b/>
                <w:sz w:val="24"/>
              </w:rPr>
            </w:pPr>
            <w:r w:rsidRPr="00FF51D6">
              <w:rPr>
                <w:b/>
                <w:sz w:val="24"/>
              </w:rPr>
              <w:t>2023</w:t>
            </w:r>
          </w:p>
        </w:tc>
        <w:tc>
          <w:tcPr>
            <w:tcW w:w="850" w:type="dxa"/>
            <w:tcBorders>
              <w:top w:val="nil"/>
              <w:left w:val="nil"/>
              <w:bottom w:val="nil"/>
              <w:right w:val="nil"/>
            </w:tcBorders>
            <w:shd w:val="clear" w:color="000000" w:fill="BFBFBF"/>
            <w:vAlign w:val="center"/>
            <w:hideMark/>
          </w:tcPr>
          <w:p w14:paraId="632FA704" w14:textId="77777777" w:rsidR="00133DF3" w:rsidRPr="00FF51D6" w:rsidRDefault="00133DF3" w:rsidP="00AC165E">
            <w:pPr>
              <w:pStyle w:val="Tabletext"/>
              <w:jc w:val="center"/>
              <w:rPr>
                <w:b/>
                <w:sz w:val="24"/>
              </w:rPr>
            </w:pPr>
            <w:r w:rsidRPr="00FF51D6">
              <w:rPr>
                <w:b/>
                <w:sz w:val="24"/>
              </w:rPr>
              <w:t>2024</w:t>
            </w:r>
          </w:p>
        </w:tc>
        <w:tc>
          <w:tcPr>
            <w:tcW w:w="709" w:type="dxa"/>
            <w:tcBorders>
              <w:top w:val="nil"/>
              <w:left w:val="nil"/>
              <w:bottom w:val="nil"/>
              <w:right w:val="nil"/>
            </w:tcBorders>
            <w:shd w:val="clear" w:color="000000" w:fill="BFBFBF"/>
            <w:vAlign w:val="center"/>
            <w:hideMark/>
          </w:tcPr>
          <w:p w14:paraId="362722CA" w14:textId="77777777" w:rsidR="00133DF3" w:rsidRPr="00FF51D6" w:rsidRDefault="00133DF3" w:rsidP="00AC165E">
            <w:pPr>
              <w:pStyle w:val="Tabletext"/>
              <w:jc w:val="center"/>
              <w:rPr>
                <w:b/>
                <w:sz w:val="24"/>
              </w:rPr>
            </w:pPr>
            <w:r w:rsidRPr="00FF51D6">
              <w:rPr>
                <w:b/>
                <w:sz w:val="24"/>
              </w:rPr>
              <w:t>2025</w:t>
            </w:r>
          </w:p>
        </w:tc>
        <w:tc>
          <w:tcPr>
            <w:tcW w:w="851" w:type="dxa"/>
            <w:tcBorders>
              <w:top w:val="nil"/>
              <w:left w:val="nil"/>
              <w:bottom w:val="nil"/>
              <w:right w:val="nil"/>
            </w:tcBorders>
            <w:shd w:val="clear" w:color="000000" w:fill="BFBFBF"/>
            <w:vAlign w:val="center"/>
            <w:hideMark/>
          </w:tcPr>
          <w:p w14:paraId="166E6D29" w14:textId="77777777" w:rsidR="00133DF3" w:rsidRPr="00FF51D6" w:rsidRDefault="00133DF3" w:rsidP="00AC165E">
            <w:pPr>
              <w:pStyle w:val="Tabletext"/>
              <w:jc w:val="center"/>
              <w:rPr>
                <w:b/>
                <w:sz w:val="24"/>
              </w:rPr>
            </w:pPr>
            <w:r w:rsidRPr="00FF51D6">
              <w:rPr>
                <w:b/>
                <w:sz w:val="24"/>
              </w:rPr>
              <w:t>2026</w:t>
            </w:r>
          </w:p>
        </w:tc>
      </w:tr>
      <w:tr w:rsidR="00133DF3" w:rsidRPr="00FF51D6" w14:paraId="7E00C4F7" w14:textId="77777777" w:rsidTr="00D50F04">
        <w:trPr>
          <w:trHeight w:val="255"/>
          <w:jc w:val="center"/>
        </w:trPr>
        <w:tc>
          <w:tcPr>
            <w:tcW w:w="4253" w:type="dxa"/>
            <w:tcBorders>
              <w:top w:val="nil"/>
              <w:left w:val="nil"/>
              <w:bottom w:val="nil"/>
              <w:right w:val="nil"/>
            </w:tcBorders>
            <w:shd w:val="clear" w:color="000000" w:fill="BFBFBF"/>
            <w:vAlign w:val="center"/>
            <w:hideMark/>
          </w:tcPr>
          <w:p w14:paraId="364F373B" w14:textId="77777777" w:rsidR="00133DF3" w:rsidRPr="00FF51D6" w:rsidRDefault="00133DF3" w:rsidP="00AC165E">
            <w:pPr>
              <w:pStyle w:val="Tabletext"/>
              <w:rPr>
                <w:b/>
                <w:sz w:val="24"/>
              </w:rPr>
            </w:pPr>
            <w:r w:rsidRPr="00FF51D6">
              <w:rPr>
                <w:b/>
                <w:sz w:val="24"/>
              </w:rPr>
              <w:t>Revenue from RRF grants</w:t>
            </w:r>
          </w:p>
        </w:tc>
        <w:tc>
          <w:tcPr>
            <w:tcW w:w="738" w:type="dxa"/>
            <w:tcBorders>
              <w:top w:val="nil"/>
              <w:left w:val="nil"/>
              <w:bottom w:val="nil"/>
              <w:right w:val="nil"/>
            </w:tcBorders>
            <w:shd w:val="clear" w:color="000000" w:fill="BFBFBF"/>
            <w:vAlign w:val="center"/>
            <w:hideMark/>
          </w:tcPr>
          <w:p w14:paraId="1806B112" w14:textId="77777777" w:rsidR="00133DF3" w:rsidRPr="00FF51D6" w:rsidRDefault="00133DF3" w:rsidP="00AC165E">
            <w:pPr>
              <w:pStyle w:val="Tabletext"/>
              <w:jc w:val="center"/>
              <w:rPr>
                <w:b/>
                <w:sz w:val="24"/>
              </w:rPr>
            </w:pPr>
          </w:p>
        </w:tc>
        <w:tc>
          <w:tcPr>
            <w:tcW w:w="850" w:type="dxa"/>
            <w:tcBorders>
              <w:top w:val="nil"/>
              <w:left w:val="nil"/>
              <w:bottom w:val="nil"/>
              <w:right w:val="nil"/>
            </w:tcBorders>
            <w:shd w:val="clear" w:color="000000" w:fill="BFBFBF"/>
            <w:vAlign w:val="center"/>
            <w:hideMark/>
          </w:tcPr>
          <w:p w14:paraId="53C3C2D3" w14:textId="77777777" w:rsidR="00133DF3" w:rsidRPr="00FF51D6" w:rsidRDefault="00133DF3" w:rsidP="00AC165E">
            <w:pPr>
              <w:pStyle w:val="Tabletext"/>
              <w:jc w:val="center"/>
              <w:rPr>
                <w:b/>
                <w:sz w:val="24"/>
              </w:rPr>
            </w:pPr>
          </w:p>
        </w:tc>
        <w:tc>
          <w:tcPr>
            <w:tcW w:w="709" w:type="dxa"/>
            <w:tcBorders>
              <w:top w:val="nil"/>
              <w:left w:val="nil"/>
              <w:bottom w:val="nil"/>
              <w:right w:val="nil"/>
            </w:tcBorders>
            <w:shd w:val="clear" w:color="000000" w:fill="BFBFBF"/>
            <w:vAlign w:val="center"/>
            <w:hideMark/>
          </w:tcPr>
          <w:p w14:paraId="1815F6D7" w14:textId="77777777" w:rsidR="00133DF3" w:rsidRPr="00FF51D6" w:rsidRDefault="00133DF3" w:rsidP="00AC165E">
            <w:pPr>
              <w:pStyle w:val="Tabletext"/>
              <w:jc w:val="center"/>
              <w:rPr>
                <w:b/>
                <w:sz w:val="24"/>
              </w:rPr>
            </w:pPr>
          </w:p>
        </w:tc>
        <w:tc>
          <w:tcPr>
            <w:tcW w:w="850" w:type="dxa"/>
            <w:tcBorders>
              <w:top w:val="nil"/>
              <w:left w:val="nil"/>
              <w:bottom w:val="nil"/>
              <w:right w:val="nil"/>
            </w:tcBorders>
            <w:shd w:val="clear" w:color="000000" w:fill="BFBFBF"/>
            <w:vAlign w:val="center"/>
            <w:hideMark/>
          </w:tcPr>
          <w:p w14:paraId="1DAB55F2" w14:textId="77777777" w:rsidR="00133DF3" w:rsidRPr="00FF51D6" w:rsidRDefault="00133DF3" w:rsidP="00AC165E">
            <w:pPr>
              <w:pStyle w:val="Tabletext"/>
              <w:jc w:val="center"/>
              <w:rPr>
                <w:b/>
                <w:sz w:val="24"/>
              </w:rPr>
            </w:pPr>
          </w:p>
        </w:tc>
        <w:tc>
          <w:tcPr>
            <w:tcW w:w="709" w:type="dxa"/>
            <w:tcBorders>
              <w:top w:val="nil"/>
              <w:left w:val="nil"/>
              <w:bottom w:val="nil"/>
              <w:right w:val="nil"/>
            </w:tcBorders>
            <w:shd w:val="clear" w:color="000000" w:fill="BFBFBF"/>
            <w:vAlign w:val="center"/>
            <w:hideMark/>
          </w:tcPr>
          <w:p w14:paraId="510CF576" w14:textId="77777777" w:rsidR="00133DF3" w:rsidRPr="00FF51D6" w:rsidRDefault="00133DF3" w:rsidP="00AC165E">
            <w:pPr>
              <w:pStyle w:val="Tabletext"/>
              <w:jc w:val="center"/>
              <w:rPr>
                <w:b/>
                <w:sz w:val="24"/>
              </w:rPr>
            </w:pPr>
          </w:p>
        </w:tc>
        <w:tc>
          <w:tcPr>
            <w:tcW w:w="851" w:type="dxa"/>
            <w:tcBorders>
              <w:top w:val="nil"/>
              <w:left w:val="nil"/>
              <w:bottom w:val="nil"/>
              <w:right w:val="nil"/>
            </w:tcBorders>
            <w:shd w:val="clear" w:color="000000" w:fill="BFBFBF"/>
            <w:vAlign w:val="center"/>
            <w:hideMark/>
          </w:tcPr>
          <w:p w14:paraId="793193D2" w14:textId="77777777" w:rsidR="00133DF3" w:rsidRPr="00FF51D6" w:rsidRDefault="00133DF3" w:rsidP="00AC165E">
            <w:pPr>
              <w:pStyle w:val="Tabletext"/>
              <w:jc w:val="center"/>
              <w:rPr>
                <w:b/>
                <w:sz w:val="24"/>
              </w:rPr>
            </w:pPr>
          </w:p>
        </w:tc>
      </w:tr>
      <w:tr w:rsidR="00133DF3" w:rsidRPr="00932A71" w14:paraId="3C0C8E38" w14:textId="77777777" w:rsidTr="00D50F04">
        <w:trPr>
          <w:trHeight w:val="255"/>
          <w:jc w:val="center"/>
        </w:trPr>
        <w:tc>
          <w:tcPr>
            <w:tcW w:w="4253" w:type="dxa"/>
            <w:tcBorders>
              <w:top w:val="nil"/>
              <w:left w:val="nil"/>
              <w:bottom w:val="single" w:sz="4" w:space="0" w:color="FFFFFF"/>
              <w:right w:val="nil"/>
            </w:tcBorders>
            <w:shd w:val="clear" w:color="000000" w:fill="F2F2F2"/>
            <w:vAlign w:val="center"/>
            <w:hideMark/>
          </w:tcPr>
          <w:p w14:paraId="7E91244C" w14:textId="77777777" w:rsidR="00133DF3" w:rsidRPr="00932A71" w:rsidRDefault="00133DF3" w:rsidP="00AC165E">
            <w:pPr>
              <w:pStyle w:val="Tabletext"/>
            </w:pPr>
            <w:r w:rsidRPr="00932A71">
              <w:t>1. RRF grants as included in the revenue projections</w:t>
            </w:r>
          </w:p>
        </w:tc>
        <w:tc>
          <w:tcPr>
            <w:tcW w:w="738" w:type="dxa"/>
            <w:tcBorders>
              <w:top w:val="nil"/>
              <w:left w:val="nil"/>
              <w:bottom w:val="single" w:sz="4" w:space="0" w:color="FFFFFF"/>
              <w:right w:val="nil"/>
            </w:tcBorders>
            <w:shd w:val="clear" w:color="000000" w:fill="F2F2F2"/>
            <w:vAlign w:val="center"/>
            <w:hideMark/>
          </w:tcPr>
          <w:p w14:paraId="212A7F75" w14:textId="77777777" w:rsidR="00133DF3" w:rsidRPr="00932A71" w:rsidRDefault="00133DF3" w:rsidP="00AC165E">
            <w:pPr>
              <w:pStyle w:val="Tabletext"/>
              <w:jc w:val="center"/>
            </w:pPr>
            <w:r w:rsidRPr="00932A71">
              <w:t>0.2</w:t>
            </w:r>
          </w:p>
        </w:tc>
        <w:tc>
          <w:tcPr>
            <w:tcW w:w="850" w:type="dxa"/>
            <w:tcBorders>
              <w:top w:val="nil"/>
              <w:left w:val="nil"/>
              <w:bottom w:val="single" w:sz="4" w:space="0" w:color="FFFFFF"/>
              <w:right w:val="nil"/>
            </w:tcBorders>
            <w:shd w:val="clear" w:color="000000" w:fill="F2F2F2"/>
            <w:vAlign w:val="center"/>
            <w:hideMark/>
          </w:tcPr>
          <w:p w14:paraId="76686B1D" w14:textId="77777777" w:rsidR="00133DF3" w:rsidRPr="00932A71" w:rsidRDefault="00133DF3" w:rsidP="00AC165E">
            <w:pPr>
              <w:pStyle w:val="Tabletext"/>
              <w:jc w:val="center"/>
            </w:pPr>
            <w:r w:rsidRPr="00932A71">
              <w:t>0.4</w:t>
            </w:r>
          </w:p>
        </w:tc>
        <w:tc>
          <w:tcPr>
            <w:tcW w:w="709" w:type="dxa"/>
            <w:tcBorders>
              <w:top w:val="nil"/>
              <w:left w:val="nil"/>
              <w:bottom w:val="single" w:sz="4" w:space="0" w:color="FFFFFF"/>
              <w:right w:val="nil"/>
            </w:tcBorders>
            <w:shd w:val="clear" w:color="000000" w:fill="F2F2F2"/>
            <w:vAlign w:val="center"/>
            <w:hideMark/>
          </w:tcPr>
          <w:p w14:paraId="1EE23FE8" w14:textId="77777777" w:rsidR="00133DF3" w:rsidRPr="00932A71" w:rsidRDefault="00133DF3" w:rsidP="00AC165E">
            <w:pPr>
              <w:pStyle w:val="Tabletext"/>
              <w:jc w:val="center"/>
            </w:pPr>
            <w:r w:rsidRPr="00932A71">
              <w:t>0.7</w:t>
            </w:r>
          </w:p>
        </w:tc>
        <w:tc>
          <w:tcPr>
            <w:tcW w:w="850" w:type="dxa"/>
            <w:tcBorders>
              <w:top w:val="nil"/>
              <w:left w:val="nil"/>
              <w:bottom w:val="single" w:sz="4" w:space="0" w:color="FFFFFF"/>
              <w:right w:val="nil"/>
            </w:tcBorders>
            <w:shd w:val="clear" w:color="000000" w:fill="F2F2F2"/>
            <w:vAlign w:val="center"/>
            <w:hideMark/>
          </w:tcPr>
          <w:p w14:paraId="68BA713C" w14:textId="77777777" w:rsidR="00133DF3" w:rsidRPr="00932A71" w:rsidRDefault="00133DF3" w:rsidP="00AC165E">
            <w:pPr>
              <w:pStyle w:val="Tabletext"/>
              <w:jc w:val="center"/>
            </w:pPr>
            <w:r w:rsidRPr="00932A71">
              <w:t>1.0</w:t>
            </w:r>
          </w:p>
        </w:tc>
        <w:tc>
          <w:tcPr>
            <w:tcW w:w="709" w:type="dxa"/>
            <w:tcBorders>
              <w:top w:val="nil"/>
              <w:left w:val="nil"/>
              <w:bottom w:val="single" w:sz="4" w:space="0" w:color="FFFFFF"/>
              <w:right w:val="nil"/>
            </w:tcBorders>
            <w:shd w:val="clear" w:color="000000" w:fill="F2F2F2"/>
            <w:vAlign w:val="center"/>
            <w:hideMark/>
          </w:tcPr>
          <w:p w14:paraId="5396EF5A" w14:textId="77777777" w:rsidR="00133DF3" w:rsidRPr="00932A71" w:rsidRDefault="00133DF3" w:rsidP="00AC165E">
            <w:pPr>
              <w:pStyle w:val="Tabletext"/>
              <w:jc w:val="center"/>
            </w:pPr>
            <w:r w:rsidRPr="00932A71">
              <w:t>1.9</w:t>
            </w:r>
          </w:p>
        </w:tc>
        <w:tc>
          <w:tcPr>
            <w:tcW w:w="851" w:type="dxa"/>
            <w:tcBorders>
              <w:top w:val="nil"/>
              <w:left w:val="nil"/>
              <w:bottom w:val="single" w:sz="4" w:space="0" w:color="FFFFFF"/>
              <w:right w:val="nil"/>
            </w:tcBorders>
            <w:shd w:val="clear" w:color="000000" w:fill="F2F2F2"/>
            <w:vAlign w:val="center"/>
            <w:hideMark/>
          </w:tcPr>
          <w:p w14:paraId="60692064" w14:textId="77777777" w:rsidR="00133DF3" w:rsidRPr="00932A71" w:rsidRDefault="00133DF3" w:rsidP="00AC165E">
            <w:pPr>
              <w:pStyle w:val="Tabletext"/>
              <w:jc w:val="center"/>
            </w:pPr>
            <w:r w:rsidRPr="00932A71">
              <w:t>3.2</w:t>
            </w:r>
          </w:p>
        </w:tc>
      </w:tr>
      <w:tr w:rsidR="00133DF3" w:rsidRPr="00932A71" w14:paraId="12A559F1" w14:textId="77777777" w:rsidTr="00D50F04">
        <w:trPr>
          <w:trHeight w:val="255"/>
          <w:jc w:val="center"/>
        </w:trPr>
        <w:tc>
          <w:tcPr>
            <w:tcW w:w="4253" w:type="dxa"/>
            <w:tcBorders>
              <w:top w:val="nil"/>
              <w:left w:val="nil"/>
              <w:bottom w:val="single" w:sz="4" w:space="0" w:color="FFFFFF"/>
              <w:right w:val="nil"/>
            </w:tcBorders>
            <w:shd w:val="clear" w:color="000000" w:fill="D9D9D9"/>
            <w:vAlign w:val="center"/>
            <w:hideMark/>
          </w:tcPr>
          <w:p w14:paraId="48B8D7C7" w14:textId="77777777" w:rsidR="00133DF3" w:rsidRPr="00932A71" w:rsidRDefault="00133DF3" w:rsidP="00AC165E">
            <w:pPr>
              <w:pStyle w:val="Tabletext"/>
            </w:pPr>
            <w:r w:rsidRPr="00932A71">
              <w:t>2. Cash disbursements of RRF grants from EU</w:t>
            </w:r>
          </w:p>
        </w:tc>
        <w:tc>
          <w:tcPr>
            <w:tcW w:w="738" w:type="dxa"/>
            <w:tcBorders>
              <w:top w:val="nil"/>
              <w:left w:val="nil"/>
              <w:bottom w:val="single" w:sz="4" w:space="0" w:color="FFFFFF"/>
              <w:right w:val="nil"/>
            </w:tcBorders>
            <w:shd w:val="clear" w:color="000000" w:fill="D9D9D9"/>
            <w:vAlign w:val="center"/>
            <w:hideMark/>
          </w:tcPr>
          <w:p w14:paraId="763ADA89" w14:textId="77777777" w:rsidR="00133DF3" w:rsidRPr="00932A71" w:rsidRDefault="00133DF3" w:rsidP="00AC165E">
            <w:pPr>
              <w:pStyle w:val="Tabletext"/>
              <w:jc w:val="center"/>
            </w:pPr>
            <w:r w:rsidRPr="00932A71">
              <w:t>1.3</w:t>
            </w:r>
          </w:p>
        </w:tc>
        <w:tc>
          <w:tcPr>
            <w:tcW w:w="850" w:type="dxa"/>
            <w:tcBorders>
              <w:top w:val="nil"/>
              <w:left w:val="nil"/>
              <w:bottom w:val="single" w:sz="4" w:space="0" w:color="FFFFFF"/>
              <w:right w:val="nil"/>
            </w:tcBorders>
            <w:shd w:val="clear" w:color="000000" w:fill="D9D9D9"/>
            <w:vAlign w:val="center"/>
            <w:hideMark/>
          </w:tcPr>
          <w:p w14:paraId="4ADEB387" w14:textId="77777777" w:rsidR="00133DF3" w:rsidRPr="00932A71" w:rsidRDefault="00133DF3" w:rsidP="00AC165E">
            <w:pPr>
              <w:pStyle w:val="Tabletext"/>
              <w:jc w:val="center"/>
            </w:pPr>
            <w:r w:rsidRPr="00932A71">
              <w:t>0.8</w:t>
            </w:r>
          </w:p>
        </w:tc>
        <w:tc>
          <w:tcPr>
            <w:tcW w:w="709" w:type="dxa"/>
            <w:tcBorders>
              <w:top w:val="nil"/>
              <w:left w:val="nil"/>
              <w:bottom w:val="single" w:sz="4" w:space="0" w:color="FFFFFF"/>
              <w:right w:val="nil"/>
            </w:tcBorders>
            <w:shd w:val="clear" w:color="000000" w:fill="D9D9D9"/>
            <w:vAlign w:val="center"/>
            <w:hideMark/>
          </w:tcPr>
          <w:p w14:paraId="5C9A2253" w14:textId="77777777" w:rsidR="00133DF3" w:rsidRPr="00932A71" w:rsidRDefault="00133DF3" w:rsidP="00AC165E">
            <w:pPr>
              <w:pStyle w:val="Tabletext"/>
              <w:jc w:val="center"/>
            </w:pPr>
            <w:r w:rsidRPr="00932A71">
              <w:t>1.5</w:t>
            </w:r>
          </w:p>
        </w:tc>
        <w:tc>
          <w:tcPr>
            <w:tcW w:w="850" w:type="dxa"/>
            <w:tcBorders>
              <w:top w:val="nil"/>
              <w:left w:val="nil"/>
              <w:bottom w:val="single" w:sz="4" w:space="0" w:color="FFFFFF"/>
              <w:right w:val="nil"/>
            </w:tcBorders>
            <w:shd w:val="clear" w:color="000000" w:fill="D9D9D9"/>
            <w:vAlign w:val="center"/>
            <w:hideMark/>
          </w:tcPr>
          <w:p w14:paraId="2023B3A7" w14:textId="77777777" w:rsidR="00133DF3" w:rsidRPr="00932A71" w:rsidRDefault="00133DF3" w:rsidP="00AC165E">
            <w:pPr>
              <w:pStyle w:val="Tabletext"/>
              <w:jc w:val="center"/>
            </w:pPr>
            <w:r w:rsidRPr="00932A71">
              <w:t>0.5</w:t>
            </w:r>
          </w:p>
        </w:tc>
        <w:tc>
          <w:tcPr>
            <w:tcW w:w="709" w:type="dxa"/>
            <w:tcBorders>
              <w:top w:val="nil"/>
              <w:left w:val="nil"/>
              <w:bottom w:val="single" w:sz="4" w:space="0" w:color="FFFFFF"/>
              <w:right w:val="nil"/>
            </w:tcBorders>
            <w:shd w:val="clear" w:color="000000" w:fill="D9D9D9"/>
            <w:vAlign w:val="center"/>
            <w:hideMark/>
          </w:tcPr>
          <w:p w14:paraId="14AFDDEB" w14:textId="77777777" w:rsidR="00133DF3" w:rsidRPr="00932A71" w:rsidRDefault="00133DF3" w:rsidP="00AC165E">
            <w:pPr>
              <w:pStyle w:val="Tabletext"/>
              <w:jc w:val="center"/>
            </w:pPr>
            <w:r w:rsidRPr="00932A71">
              <w:t>1.4</w:t>
            </w:r>
          </w:p>
        </w:tc>
        <w:tc>
          <w:tcPr>
            <w:tcW w:w="851" w:type="dxa"/>
            <w:tcBorders>
              <w:top w:val="nil"/>
              <w:left w:val="nil"/>
              <w:bottom w:val="single" w:sz="4" w:space="0" w:color="FFFFFF"/>
              <w:right w:val="nil"/>
            </w:tcBorders>
            <w:shd w:val="clear" w:color="000000" w:fill="D9D9D9"/>
            <w:vAlign w:val="center"/>
            <w:hideMark/>
          </w:tcPr>
          <w:p w14:paraId="39E14874" w14:textId="77777777" w:rsidR="00133DF3" w:rsidRPr="00932A71" w:rsidRDefault="00133DF3" w:rsidP="00AC165E">
            <w:pPr>
              <w:pStyle w:val="Tabletext"/>
              <w:jc w:val="center"/>
            </w:pPr>
            <w:r w:rsidRPr="00932A71">
              <w:t>2.4</w:t>
            </w:r>
          </w:p>
        </w:tc>
      </w:tr>
      <w:tr w:rsidR="00133DF3" w:rsidRPr="00C14AE5" w14:paraId="51B9D12B" w14:textId="77777777" w:rsidTr="00D50F04">
        <w:trPr>
          <w:trHeight w:val="255"/>
          <w:jc w:val="center"/>
        </w:trPr>
        <w:tc>
          <w:tcPr>
            <w:tcW w:w="4253" w:type="dxa"/>
            <w:tcBorders>
              <w:top w:val="nil"/>
              <w:left w:val="nil"/>
              <w:bottom w:val="nil"/>
              <w:right w:val="nil"/>
            </w:tcBorders>
            <w:shd w:val="clear" w:color="000000" w:fill="BFBFBF"/>
            <w:vAlign w:val="center"/>
            <w:hideMark/>
          </w:tcPr>
          <w:p w14:paraId="6C78372F" w14:textId="77777777" w:rsidR="00133DF3" w:rsidRPr="00FF51D6" w:rsidRDefault="00133DF3" w:rsidP="00AC165E">
            <w:pPr>
              <w:pStyle w:val="Tabletext"/>
              <w:rPr>
                <w:b/>
                <w:sz w:val="24"/>
              </w:rPr>
            </w:pPr>
            <w:r w:rsidRPr="00FF51D6">
              <w:rPr>
                <w:b/>
                <w:sz w:val="24"/>
              </w:rPr>
              <w:t>Expenditure financed by RRF grants</w:t>
            </w:r>
          </w:p>
        </w:tc>
        <w:tc>
          <w:tcPr>
            <w:tcW w:w="738" w:type="dxa"/>
            <w:tcBorders>
              <w:top w:val="nil"/>
              <w:left w:val="nil"/>
              <w:bottom w:val="nil"/>
              <w:right w:val="nil"/>
            </w:tcBorders>
            <w:shd w:val="clear" w:color="000000" w:fill="C0C0C0"/>
            <w:noWrap/>
            <w:vAlign w:val="center"/>
            <w:hideMark/>
          </w:tcPr>
          <w:p w14:paraId="5AE9EE99" w14:textId="77777777" w:rsidR="00133DF3" w:rsidRPr="00FF51D6" w:rsidRDefault="00133DF3" w:rsidP="00AC165E">
            <w:pPr>
              <w:pStyle w:val="Tabletext"/>
              <w:jc w:val="center"/>
              <w:rPr>
                <w:b/>
                <w:sz w:val="24"/>
              </w:rPr>
            </w:pPr>
          </w:p>
        </w:tc>
        <w:tc>
          <w:tcPr>
            <w:tcW w:w="850" w:type="dxa"/>
            <w:tcBorders>
              <w:top w:val="nil"/>
              <w:left w:val="nil"/>
              <w:bottom w:val="nil"/>
              <w:right w:val="nil"/>
            </w:tcBorders>
            <w:shd w:val="clear" w:color="000000" w:fill="C0C0C0"/>
            <w:noWrap/>
            <w:vAlign w:val="center"/>
            <w:hideMark/>
          </w:tcPr>
          <w:p w14:paraId="5B734C68" w14:textId="77777777" w:rsidR="00133DF3" w:rsidRPr="00FF51D6" w:rsidRDefault="00133DF3" w:rsidP="00AC165E">
            <w:pPr>
              <w:pStyle w:val="Tabletext"/>
              <w:jc w:val="center"/>
              <w:rPr>
                <w:b/>
                <w:sz w:val="24"/>
              </w:rPr>
            </w:pPr>
          </w:p>
        </w:tc>
        <w:tc>
          <w:tcPr>
            <w:tcW w:w="709" w:type="dxa"/>
            <w:tcBorders>
              <w:top w:val="nil"/>
              <w:left w:val="nil"/>
              <w:bottom w:val="nil"/>
              <w:right w:val="nil"/>
            </w:tcBorders>
            <w:shd w:val="clear" w:color="000000" w:fill="C0C0C0"/>
            <w:noWrap/>
            <w:vAlign w:val="center"/>
            <w:hideMark/>
          </w:tcPr>
          <w:p w14:paraId="7147100A" w14:textId="77777777" w:rsidR="00133DF3" w:rsidRPr="00FF51D6" w:rsidRDefault="00133DF3" w:rsidP="00AC165E">
            <w:pPr>
              <w:pStyle w:val="Tabletext"/>
              <w:jc w:val="center"/>
              <w:rPr>
                <w:b/>
                <w:sz w:val="24"/>
              </w:rPr>
            </w:pPr>
          </w:p>
        </w:tc>
        <w:tc>
          <w:tcPr>
            <w:tcW w:w="850" w:type="dxa"/>
            <w:tcBorders>
              <w:top w:val="nil"/>
              <w:left w:val="nil"/>
              <w:bottom w:val="nil"/>
              <w:right w:val="nil"/>
            </w:tcBorders>
            <w:shd w:val="clear" w:color="000000" w:fill="C0C0C0"/>
            <w:noWrap/>
            <w:vAlign w:val="center"/>
            <w:hideMark/>
          </w:tcPr>
          <w:p w14:paraId="4E3F3CCE" w14:textId="77777777" w:rsidR="00133DF3" w:rsidRPr="00FF51D6" w:rsidRDefault="00133DF3" w:rsidP="00AC165E">
            <w:pPr>
              <w:pStyle w:val="Tabletext"/>
              <w:jc w:val="center"/>
              <w:rPr>
                <w:b/>
                <w:sz w:val="24"/>
              </w:rPr>
            </w:pPr>
          </w:p>
        </w:tc>
        <w:tc>
          <w:tcPr>
            <w:tcW w:w="709" w:type="dxa"/>
            <w:tcBorders>
              <w:top w:val="nil"/>
              <w:left w:val="nil"/>
              <w:bottom w:val="nil"/>
              <w:right w:val="nil"/>
            </w:tcBorders>
            <w:shd w:val="clear" w:color="000000" w:fill="C0C0C0"/>
            <w:noWrap/>
            <w:vAlign w:val="center"/>
            <w:hideMark/>
          </w:tcPr>
          <w:p w14:paraId="6B0C7756" w14:textId="77777777" w:rsidR="00133DF3" w:rsidRPr="00FF51D6" w:rsidRDefault="00133DF3" w:rsidP="00AC165E">
            <w:pPr>
              <w:pStyle w:val="Tabletext"/>
              <w:jc w:val="center"/>
              <w:rPr>
                <w:b/>
                <w:sz w:val="24"/>
              </w:rPr>
            </w:pPr>
          </w:p>
        </w:tc>
        <w:tc>
          <w:tcPr>
            <w:tcW w:w="851" w:type="dxa"/>
            <w:tcBorders>
              <w:top w:val="nil"/>
              <w:left w:val="nil"/>
              <w:bottom w:val="nil"/>
              <w:right w:val="nil"/>
            </w:tcBorders>
            <w:shd w:val="clear" w:color="000000" w:fill="C0C0C0"/>
            <w:noWrap/>
            <w:vAlign w:val="center"/>
            <w:hideMark/>
          </w:tcPr>
          <w:p w14:paraId="584B098A" w14:textId="77777777" w:rsidR="00133DF3" w:rsidRPr="00FF51D6" w:rsidRDefault="00133DF3" w:rsidP="00AC165E">
            <w:pPr>
              <w:pStyle w:val="Tabletext"/>
              <w:jc w:val="center"/>
              <w:rPr>
                <w:b/>
                <w:sz w:val="24"/>
              </w:rPr>
            </w:pPr>
          </w:p>
        </w:tc>
      </w:tr>
      <w:tr w:rsidR="00133DF3" w:rsidRPr="00932A71" w14:paraId="5BBE2644" w14:textId="77777777" w:rsidTr="00D50F04">
        <w:trPr>
          <w:trHeight w:val="255"/>
          <w:jc w:val="center"/>
        </w:trPr>
        <w:tc>
          <w:tcPr>
            <w:tcW w:w="4253" w:type="dxa"/>
            <w:tcBorders>
              <w:top w:val="nil"/>
              <w:left w:val="nil"/>
              <w:bottom w:val="single" w:sz="4" w:space="0" w:color="FFFFFF"/>
              <w:right w:val="nil"/>
            </w:tcBorders>
            <w:shd w:val="clear" w:color="000000" w:fill="F2F2F2"/>
            <w:vAlign w:val="center"/>
            <w:hideMark/>
          </w:tcPr>
          <w:p w14:paraId="609A36E3" w14:textId="77777777" w:rsidR="00133DF3" w:rsidRPr="00932A71" w:rsidRDefault="00133DF3" w:rsidP="00AC165E">
            <w:pPr>
              <w:pStyle w:val="Tabletext"/>
            </w:pPr>
            <w:r w:rsidRPr="00932A71">
              <w:t>3. Total current expenditure</w:t>
            </w:r>
          </w:p>
        </w:tc>
        <w:tc>
          <w:tcPr>
            <w:tcW w:w="738" w:type="dxa"/>
            <w:tcBorders>
              <w:top w:val="nil"/>
              <w:left w:val="nil"/>
              <w:bottom w:val="single" w:sz="4" w:space="0" w:color="FFFFFF"/>
              <w:right w:val="nil"/>
            </w:tcBorders>
            <w:shd w:val="clear" w:color="000000" w:fill="F2F2F2"/>
            <w:vAlign w:val="center"/>
            <w:hideMark/>
          </w:tcPr>
          <w:p w14:paraId="17387B42" w14:textId="77777777" w:rsidR="00133DF3" w:rsidRPr="00932A71" w:rsidRDefault="00133DF3" w:rsidP="00AC165E">
            <w:pPr>
              <w:pStyle w:val="Tabletext"/>
              <w:jc w:val="center"/>
            </w:pPr>
            <w:r w:rsidRPr="00932A71">
              <w:t>0.1</w:t>
            </w:r>
          </w:p>
        </w:tc>
        <w:tc>
          <w:tcPr>
            <w:tcW w:w="850" w:type="dxa"/>
            <w:tcBorders>
              <w:top w:val="nil"/>
              <w:left w:val="nil"/>
              <w:bottom w:val="single" w:sz="4" w:space="0" w:color="FFFFFF"/>
              <w:right w:val="nil"/>
            </w:tcBorders>
            <w:shd w:val="clear" w:color="000000" w:fill="F2F2F2"/>
            <w:vAlign w:val="center"/>
            <w:hideMark/>
          </w:tcPr>
          <w:p w14:paraId="6CDD4FD1" w14:textId="77777777" w:rsidR="00133DF3" w:rsidRPr="00932A71" w:rsidRDefault="00133DF3" w:rsidP="00AC165E">
            <w:pPr>
              <w:pStyle w:val="Tabletext"/>
              <w:jc w:val="center"/>
            </w:pPr>
            <w:r w:rsidRPr="00932A71">
              <w:t>0.0</w:t>
            </w:r>
          </w:p>
        </w:tc>
        <w:tc>
          <w:tcPr>
            <w:tcW w:w="709" w:type="dxa"/>
            <w:tcBorders>
              <w:top w:val="nil"/>
              <w:left w:val="nil"/>
              <w:bottom w:val="single" w:sz="4" w:space="0" w:color="FFFFFF"/>
              <w:right w:val="nil"/>
            </w:tcBorders>
            <w:shd w:val="clear" w:color="000000" w:fill="F2F2F2"/>
            <w:vAlign w:val="center"/>
            <w:hideMark/>
          </w:tcPr>
          <w:p w14:paraId="014BF1A7" w14:textId="77777777" w:rsidR="00133DF3" w:rsidRPr="00932A71" w:rsidRDefault="00133DF3" w:rsidP="00AC165E">
            <w:pPr>
              <w:pStyle w:val="Tabletext"/>
              <w:jc w:val="center"/>
            </w:pPr>
            <w:r w:rsidRPr="00932A71">
              <w:t>0.2</w:t>
            </w:r>
          </w:p>
        </w:tc>
        <w:tc>
          <w:tcPr>
            <w:tcW w:w="850" w:type="dxa"/>
            <w:tcBorders>
              <w:top w:val="nil"/>
              <w:left w:val="nil"/>
              <w:bottom w:val="single" w:sz="4" w:space="0" w:color="FFFFFF"/>
              <w:right w:val="nil"/>
            </w:tcBorders>
            <w:shd w:val="clear" w:color="000000" w:fill="F2F2F2"/>
            <w:vAlign w:val="center"/>
            <w:hideMark/>
          </w:tcPr>
          <w:p w14:paraId="5982365C" w14:textId="77777777" w:rsidR="00133DF3" w:rsidRPr="00932A71" w:rsidRDefault="00133DF3" w:rsidP="00AC165E">
            <w:pPr>
              <w:pStyle w:val="Tabletext"/>
              <w:jc w:val="center"/>
            </w:pPr>
            <w:r w:rsidRPr="00932A71">
              <w:t>0.2</w:t>
            </w:r>
          </w:p>
        </w:tc>
        <w:tc>
          <w:tcPr>
            <w:tcW w:w="709" w:type="dxa"/>
            <w:tcBorders>
              <w:top w:val="nil"/>
              <w:left w:val="nil"/>
              <w:bottom w:val="single" w:sz="4" w:space="0" w:color="FFFFFF"/>
              <w:right w:val="nil"/>
            </w:tcBorders>
            <w:shd w:val="clear" w:color="000000" w:fill="F2F2F2"/>
            <w:vAlign w:val="center"/>
            <w:hideMark/>
          </w:tcPr>
          <w:p w14:paraId="736C4515" w14:textId="77777777" w:rsidR="00133DF3" w:rsidRPr="00932A71" w:rsidRDefault="00133DF3" w:rsidP="00AC165E">
            <w:pPr>
              <w:pStyle w:val="Tabletext"/>
              <w:jc w:val="center"/>
            </w:pPr>
            <w:r w:rsidRPr="00932A71">
              <w:t>0.5</w:t>
            </w:r>
          </w:p>
        </w:tc>
        <w:tc>
          <w:tcPr>
            <w:tcW w:w="851" w:type="dxa"/>
            <w:tcBorders>
              <w:top w:val="nil"/>
              <w:left w:val="nil"/>
              <w:bottom w:val="single" w:sz="4" w:space="0" w:color="FFFFFF"/>
              <w:right w:val="nil"/>
            </w:tcBorders>
            <w:shd w:val="clear" w:color="000000" w:fill="F2F2F2"/>
            <w:vAlign w:val="center"/>
            <w:hideMark/>
          </w:tcPr>
          <w:p w14:paraId="1BA31DE2" w14:textId="77777777" w:rsidR="00133DF3" w:rsidRPr="00932A71" w:rsidRDefault="00133DF3" w:rsidP="00AC165E">
            <w:pPr>
              <w:pStyle w:val="Tabletext"/>
              <w:jc w:val="center"/>
            </w:pPr>
            <w:r w:rsidRPr="00932A71">
              <w:t>0.5</w:t>
            </w:r>
          </w:p>
        </w:tc>
      </w:tr>
      <w:tr w:rsidR="00133DF3" w:rsidRPr="00932A71" w14:paraId="301D5DC2" w14:textId="77777777" w:rsidTr="00D50F04">
        <w:trPr>
          <w:trHeight w:val="255"/>
          <w:jc w:val="center"/>
        </w:trPr>
        <w:tc>
          <w:tcPr>
            <w:tcW w:w="4253" w:type="dxa"/>
            <w:tcBorders>
              <w:top w:val="nil"/>
              <w:left w:val="nil"/>
              <w:bottom w:val="single" w:sz="4" w:space="0" w:color="FFFFFF"/>
              <w:right w:val="nil"/>
            </w:tcBorders>
            <w:shd w:val="clear" w:color="000000" w:fill="D9D9D9"/>
            <w:vAlign w:val="center"/>
            <w:hideMark/>
          </w:tcPr>
          <w:p w14:paraId="28CEDD44" w14:textId="77777777" w:rsidR="00133DF3" w:rsidRPr="00932A71" w:rsidRDefault="00133DF3" w:rsidP="00AC165E">
            <w:pPr>
              <w:pStyle w:val="Tabletext"/>
            </w:pPr>
            <w:r w:rsidRPr="00932A71">
              <w:t>4. Gross fixed capital formation</w:t>
            </w:r>
          </w:p>
        </w:tc>
        <w:tc>
          <w:tcPr>
            <w:tcW w:w="738" w:type="dxa"/>
            <w:tcBorders>
              <w:top w:val="nil"/>
              <w:left w:val="nil"/>
              <w:bottom w:val="single" w:sz="4" w:space="0" w:color="FFFFFF"/>
              <w:right w:val="nil"/>
            </w:tcBorders>
            <w:shd w:val="clear" w:color="000000" w:fill="D9D9D9"/>
            <w:vAlign w:val="center"/>
            <w:hideMark/>
          </w:tcPr>
          <w:p w14:paraId="230B3606" w14:textId="77777777" w:rsidR="00133DF3" w:rsidRPr="00932A71" w:rsidRDefault="00133DF3" w:rsidP="00AC165E">
            <w:pPr>
              <w:pStyle w:val="Tabletext"/>
              <w:jc w:val="center"/>
            </w:pPr>
            <w:r w:rsidRPr="00932A71">
              <w:t>0.1</w:t>
            </w:r>
          </w:p>
        </w:tc>
        <w:tc>
          <w:tcPr>
            <w:tcW w:w="850" w:type="dxa"/>
            <w:tcBorders>
              <w:top w:val="nil"/>
              <w:left w:val="nil"/>
              <w:bottom w:val="single" w:sz="4" w:space="0" w:color="FFFFFF"/>
              <w:right w:val="nil"/>
            </w:tcBorders>
            <w:shd w:val="clear" w:color="000000" w:fill="D9D9D9"/>
            <w:vAlign w:val="center"/>
            <w:hideMark/>
          </w:tcPr>
          <w:p w14:paraId="00244020" w14:textId="77777777" w:rsidR="00133DF3" w:rsidRPr="00932A71" w:rsidRDefault="00133DF3" w:rsidP="00AC165E">
            <w:pPr>
              <w:pStyle w:val="Tabletext"/>
              <w:jc w:val="center"/>
            </w:pPr>
            <w:r w:rsidRPr="00932A71">
              <w:t>0.3</w:t>
            </w:r>
          </w:p>
        </w:tc>
        <w:tc>
          <w:tcPr>
            <w:tcW w:w="709" w:type="dxa"/>
            <w:tcBorders>
              <w:top w:val="nil"/>
              <w:left w:val="nil"/>
              <w:bottom w:val="single" w:sz="4" w:space="0" w:color="FFFFFF"/>
              <w:right w:val="nil"/>
            </w:tcBorders>
            <w:shd w:val="clear" w:color="000000" w:fill="D9D9D9"/>
            <w:vAlign w:val="center"/>
            <w:hideMark/>
          </w:tcPr>
          <w:p w14:paraId="09BCCB18" w14:textId="77777777" w:rsidR="00133DF3" w:rsidRPr="00932A71" w:rsidRDefault="00133DF3" w:rsidP="00AC165E">
            <w:pPr>
              <w:pStyle w:val="Tabletext"/>
              <w:jc w:val="center"/>
            </w:pPr>
            <w:r w:rsidRPr="00932A71">
              <w:t>0.2</w:t>
            </w:r>
          </w:p>
        </w:tc>
        <w:tc>
          <w:tcPr>
            <w:tcW w:w="850" w:type="dxa"/>
            <w:tcBorders>
              <w:top w:val="nil"/>
              <w:left w:val="nil"/>
              <w:bottom w:val="single" w:sz="4" w:space="0" w:color="FFFFFF"/>
              <w:right w:val="nil"/>
            </w:tcBorders>
            <w:shd w:val="clear" w:color="000000" w:fill="D9D9D9"/>
            <w:vAlign w:val="center"/>
            <w:hideMark/>
          </w:tcPr>
          <w:p w14:paraId="2AC8056E" w14:textId="77777777" w:rsidR="00133DF3" w:rsidRPr="00932A71" w:rsidRDefault="00133DF3" w:rsidP="00AC165E">
            <w:pPr>
              <w:pStyle w:val="Tabletext"/>
              <w:jc w:val="center"/>
            </w:pPr>
            <w:r w:rsidRPr="00932A71">
              <w:t>0.6</w:t>
            </w:r>
          </w:p>
        </w:tc>
        <w:tc>
          <w:tcPr>
            <w:tcW w:w="709" w:type="dxa"/>
            <w:tcBorders>
              <w:top w:val="nil"/>
              <w:left w:val="nil"/>
              <w:bottom w:val="single" w:sz="4" w:space="0" w:color="FFFFFF"/>
              <w:right w:val="nil"/>
            </w:tcBorders>
            <w:shd w:val="clear" w:color="000000" w:fill="D9D9D9"/>
            <w:vAlign w:val="center"/>
            <w:hideMark/>
          </w:tcPr>
          <w:p w14:paraId="5685072B" w14:textId="77777777" w:rsidR="00133DF3" w:rsidRPr="00932A71" w:rsidRDefault="00133DF3" w:rsidP="00AC165E">
            <w:pPr>
              <w:pStyle w:val="Tabletext"/>
              <w:jc w:val="center"/>
            </w:pPr>
            <w:r w:rsidRPr="00932A71">
              <w:t>0.9</w:t>
            </w:r>
          </w:p>
        </w:tc>
        <w:tc>
          <w:tcPr>
            <w:tcW w:w="851" w:type="dxa"/>
            <w:tcBorders>
              <w:top w:val="nil"/>
              <w:left w:val="nil"/>
              <w:bottom w:val="single" w:sz="4" w:space="0" w:color="FFFFFF"/>
              <w:right w:val="nil"/>
            </w:tcBorders>
            <w:shd w:val="clear" w:color="000000" w:fill="D9D9D9"/>
            <w:vAlign w:val="center"/>
            <w:hideMark/>
          </w:tcPr>
          <w:p w14:paraId="4870F2BF" w14:textId="77777777" w:rsidR="00133DF3" w:rsidRPr="00932A71" w:rsidRDefault="00133DF3" w:rsidP="00AC165E">
            <w:pPr>
              <w:pStyle w:val="Tabletext"/>
              <w:jc w:val="center"/>
            </w:pPr>
            <w:r w:rsidRPr="00932A71">
              <w:t>1.9</w:t>
            </w:r>
          </w:p>
        </w:tc>
      </w:tr>
      <w:tr w:rsidR="00133DF3" w:rsidRPr="00932A71" w14:paraId="0EEB94BD" w14:textId="77777777" w:rsidTr="00D50F04">
        <w:trPr>
          <w:trHeight w:val="255"/>
          <w:jc w:val="center"/>
        </w:trPr>
        <w:tc>
          <w:tcPr>
            <w:tcW w:w="4253" w:type="dxa"/>
            <w:tcBorders>
              <w:top w:val="nil"/>
              <w:left w:val="nil"/>
              <w:bottom w:val="single" w:sz="4" w:space="0" w:color="FFFFFF"/>
              <w:right w:val="nil"/>
            </w:tcBorders>
            <w:shd w:val="clear" w:color="000000" w:fill="F2F2F2"/>
            <w:vAlign w:val="center"/>
            <w:hideMark/>
          </w:tcPr>
          <w:p w14:paraId="71A2A32E" w14:textId="77777777" w:rsidR="00133DF3" w:rsidRPr="00932A71" w:rsidRDefault="00133DF3" w:rsidP="00AC165E">
            <w:pPr>
              <w:pStyle w:val="Tabletext"/>
            </w:pPr>
            <w:r w:rsidRPr="00932A71">
              <w:t>5. Other capital expenditure</w:t>
            </w:r>
          </w:p>
        </w:tc>
        <w:tc>
          <w:tcPr>
            <w:tcW w:w="738" w:type="dxa"/>
            <w:tcBorders>
              <w:top w:val="nil"/>
              <w:left w:val="nil"/>
              <w:bottom w:val="single" w:sz="4" w:space="0" w:color="FFFFFF"/>
              <w:right w:val="nil"/>
            </w:tcBorders>
            <w:shd w:val="clear" w:color="000000" w:fill="F2F2F2"/>
            <w:vAlign w:val="center"/>
            <w:hideMark/>
          </w:tcPr>
          <w:p w14:paraId="075B1566" w14:textId="77777777" w:rsidR="00133DF3" w:rsidRPr="00932A71" w:rsidRDefault="00133DF3" w:rsidP="00AC165E">
            <w:pPr>
              <w:pStyle w:val="Tabletext"/>
              <w:jc w:val="center"/>
            </w:pPr>
            <w:r w:rsidRPr="00932A71">
              <w:t>0.0</w:t>
            </w:r>
          </w:p>
        </w:tc>
        <w:tc>
          <w:tcPr>
            <w:tcW w:w="850" w:type="dxa"/>
            <w:tcBorders>
              <w:top w:val="nil"/>
              <w:left w:val="nil"/>
              <w:bottom w:val="single" w:sz="4" w:space="0" w:color="FFFFFF"/>
              <w:right w:val="nil"/>
            </w:tcBorders>
            <w:shd w:val="clear" w:color="000000" w:fill="F2F2F2"/>
            <w:vAlign w:val="center"/>
            <w:hideMark/>
          </w:tcPr>
          <w:p w14:paraId="4C509CEE" w14:textId="77777777" w:rsidR="00133DF3" w:rsidRPr="00932A71" w:rsidRDefault="00133DF3" w:rsidP="00AC165E">
            <w:pPr>
              <w:pStyle w:val="Tabletext"/>
              <w:jc w:val="center"/>
            </w:pPr>
            <w:r w:rsidRPr="00932A71">
              <w:t>0.1</w:t>
            </w:r>
          </w:p>
        </w:tc>
        <w:tc>
          <w:tcPr>
            <w:tcW w:w="709" w:type="dxa"/>
            <w:tcBorders>
              <w:top w:val="nil"/>
              <w:left w:val="nil"/>
              <w:bottom w:val="single" w:sz="4" w:space="0" w:color="FFFFFF"/>
              <w:right w:val="nil"/>
            </w:tcBorders>
            <w:shd w:val="clear" w:color="000000" w:fill="F2F2F2"/>
            <w:vAlign w:val="center"/>
            <w:hideMark/>
          </w:tcPr>
          <w:p w14:paraId="4BA13D1D" w14:textId="77777777" w:rsidR="00133DF3" w:rsidRPr="00932A71" w:rsidRDefault="00133DF3" w:rsidP="00AC165E">
            <w:pPr>
              <w:pStyle w:val="Tabletext"/>
              <w:jc w:val="center"/>
            </w:pPr>
            <w:r w:rsidRPr="00932A71">
              <w:t>0.3</w:t>
            </w:r>
          </w:p>
        </w:tc>
        <w:tc>
          <w:tcPr>
            <w:tcW w:w="850" w:type="dxa"/>
            <w:tcBorders>
              <w:top w:val="nil"/>
              <w:left w:val="nil"/>
              <w:bottom w:val="single" w:sz="4" w:space="0" w:color="FFFFFF"/>
              <w:right w:val="nil"/>
            </w:tcBorders>
            <w:shd w:val="clear" w:color="000000" w:fill="F2F2F2"/>
            <w:vAlign w:val="center"/>
            <w:hideMark/>
          </w:tcPr>
          <w:p w14:paraId="03B25589" w14:textId="77777777" w:rsidR="00133DF3" w:rsidRPr="00932A71" w:rsidRDefault="00133DF3" w:rsidP="00AC165E">
            <w:pPr>
              <w:pStyle w:val="Tabletext"/>
              <w:jc w:val="center"/>
            </w:pPr>
            <w:r w:rsidRPr="00932A71">
              <w:t>0.3</w:t>
            </w:r>
          </w:p>
        </w:tc>
        <w:tc>
          <w:tcPr>
            <w:tcW w:w="709" w:type="dxa"/>
            <w:tcBorders>
              <w:top w:val="nil"/>
              <w:left w:val="nil"/>
              <w:bottom w:val="single" w:sz="4" w:space="0" w:color="FFFFFF"/>
              <w:right w:val="nil"/>
            </w:tcBorders>
            <w:shd w:val="clear" w:color="000000" w:fill="F2F2F2"/>
            <w:vAlign w:val="center"/>
            <w:hideMark/>
          </w:tcPr>
          <w:p w14:paraId="6B880DA2" w14:textId="77777777" w:rsidR="00133DF3" w:rsidRPr="00932A71" w:rsidRDefault="00133DF3" w:rsidP="00AC165E">
            <w:pPr>
              <w:pStyle w:val="Tabletext"/>
              <w:jc w:val="center"/>
            </w:pPr>
            <w:r w:rsidRPr="00932A71">
              <w:t>0.5</w:t>
            </w:r>
          </w:p>
        </w:tc>
        <w:tc>
          <w:tcPr>
            <w:tcW w:w="851" w:type="dxa"/>
            <w:tcBorders>
              <w:top w:val="nil"/>
              <w:left w:val="nil"/>
              <w:bottom w:val="single" w:sz="4" w:space="0" w:color="FFFFFF"/>
              <w:right w:val="nil"/>
            </w:tcBorders>
            <w:shd w:val="clear" w:color="000000" w:fill="F2F2F2"/>
            <w:vAlign w:val="center"/>
            <w:hideMark/>
          </w:tcPr>
          <w:p w14:paraId="5D7FE7C7" w14:textId="77777777" w:rsidR="00133DF3" w:rsidRPr="00932A71" w:rsidRDefault="00133DF3" w:rsidP="00AC165E">
            <w:pPr>
              <w:pStyle w:val="Tabletext"/>
              <w:jc w:val="center"/>
            </w:pPr>
            <w:r w:rsidRPr="00932A71">
              <w:t>0.8</w:t>
            </w:r>
          </w:p>
        </w:tc>
      </w:tr>
      <w:tr w:rsidR="00133DF3" w:rsidRPr="00932A71" w14:paraId="7D5AC9EC" w14:textId="77777777" w:rsidTr="00D50F04">
        <w:trPr>
          <w:trHeight w:val="255"/>
          <w:jc w:val="center"/>
        </w:trPr>
        <w:tc>
          <w:tcPr>
            <w:tcW w:w="4253" w:type="dxa"/>
            <w:tcBorders>
              <w:top w:val="nil"/>
              <w:left w:val="nil"/>
              <w:bottom w:val="single" w:sz="4" w:space="0" w:color="FFFFFF"/>
              <w:right w:val="nil"/>
            </w:tcBorders>
            <w:shd w:val="clear" w:color="000000" w:fill="D9D9D9"/>
            <w:vAlign w:val="center"/>
            <w:hideMark/>
          </w:tcPr>
          <w:p w14:paraId="7EB5C929" w14:textId="77777777" w:rsidR="00133DF3" w:rsidRPr="00932A71" w:rsidRDefault="00133DF3" w:rsidP="00AC165E">
            <w:pPr>
              <w:pStyle w:val="Tabletext"/>
            </w:pPr>
            <w:r w:rsidRPr="00932A71">
              <w:t>6. Total capital expenditure (= 4+5)</w:t>
            </w:r>
          </w:p>
        </w:tc>
        <w:tc>
          <w:tcPr>
            <w:tcW w:w="738" w:type="dxa"/>
            <w:tcBorders>
              <w:top w:val="nil"/>
              <w:left w:val="nil"/>
              <w:bottom w:val="single" w:sz="4" w:space="0" w:color="FFFFFF"/>
              <w:right w:val="nil"/>
            </w:tcBorders>
            <w:shd w:val="clear" w:color="000000" w:fill="D9D9D9"/>
            <w:vAlign w:val="center"/>
            <w:hideMark/>
          </w:tcPr>
          <w:p w14:paraId="1EF31412" w14:textId="77777777" w:rsidR="00133DF3" w:rsidRPr="00932A71" w:rsidRDefault="00133DF3" w:rsidP="00AC165E">
            <w:pPr>
              <w:pStyle w:val="Tabletext"/>
              <w:jc w:val="center"/>
            </w:pPr>
            <w:r w:rsidRPr="00932A71">
              <w:t>0.1</w:t>
            </w:r>
          </w:p>
        </w:tc>
        <w:tc>
          <w:tcPr>
            <w:tcW w:w="850" w:type="dxa"/>
            <w:tcBorders>
              <w:top w:val="nil"/>
              <w:left w:val="nil"/>
              <w:bottom w:val="single" w:sz="4" w:space="0" w:color="FFFFFF"/>
              <w:right w:val="nil"/>
            </w:tcBorders>
            <w:shd w:val="clear" w:color="000000" w:fill="D9D9D9"/>
            <w:vAlign w:val="center"/>
            <w:hideMark/>
          </w:tcPr>
          <w:p w14:paraId="6E55B8D9" w14:textId="77777777" w:rsidR="00133DF3" w:rsidRPr="00932A71" w:rsidRDefault="00133DF3" w:rsidP="00AC165E">
            <w:pPr>
              <w:pStyle w:val="Tabletext"/>
              <w:jc w:val="center"/>
            </w:pPr>
            <w:r w:rsidRPr="00932A71">
              <w:t>0.4</w:t>
            </w:r>
          </w:p>
        </w:tc>
        <w:tc>
          <w:tcPr>
            <w:tcW w:w="709" w:type="dxa"/>
            <w:tcBorders>
              <w:top w:val="nil"/>
              <w:left w:val="nil"/>
              <w:bottom w:val="single" w:sz="4" w:space="0" w:color="FFFFFF"/>
              <w:right w:val="nil"/>
            </w:tcBorders>
            <w:shd w:val="clear" w:color="000000" w:fill="D9D9D9"/>
            <w:vAlign w:val="center"/>
            <w:hideMark/>
          </w:tcPr>
          <w:p w14:paraId="69A15384" w14:textId="77777777" w:rsidR="00133DF3" w:rsidRPr="00932A71" w:rsidRDefault="00133DF3" w:rsidP="00AC165E">
            <w:pPr>
              <w:pStyle w:val="Tabletext"/>
              <w:jc w:val="center"/>
            </w:pPr>
            <w:r w:rsidRPr="00932A71">
              <w:t>0.5</w:t>
            </w:r>
          </w:p>
        </w:tc>
        <w:tc>
          <w:tcPr>
            <w:tcW w:w="850" w:type="dxa"/>
            <w:tcBorders>
              <w:top w:val="nil"/>
              <w:left w:val="nil"/>
              <w:bottom w:val="single" w:sz="4" w:space="0" w:color="FFFFFF"/>
              <w:right w:val="nil"/>
            </w:tcBorders>
            <w:shd w:val="clear" w:color="000000" w:fill="D9D9D9"/>
            <w:vAlign w:val="center"/>
            <w:hideMark/>
          </w:tcPr>
          <w:p w14:paraId="6D0DE45D" w14:textId="77777777" w:rsidR="00133DF3" w:rsidRPr="00932A71" w:rsidRDefault="00133DF3" w:rsidP="00AC165E">
            <w:pPr>
              <w:pStyle w:val="Tabletext"/>
              <w:jc w:val="center"/>
            </w:pPr>
            <w:r w:rsidRPr="00932A71">
              <w:t>0.8</w:t>
            </w:r>
          </w:p>
        </w:tc>
        <w:tc>
          <w:tcPr>
            <w:tcW w:w="709" w:type="dxa"/>
            <w:tcBorders>
              <w:top w:val="nil"/>
              <w:left w:val="nil"/>
              <w:bottom w:val="single" w:sz="4" w:space="0" w:color="FFFFFF"/>
              <w:right w:val="nil"/>
            </w:tcBorders>
            <w:shd w:val="clear" w:color="000000" w:fill="D9D9D9"/>
            <w:vAlign w:val="center"/>
            <w:hideMark/>
          </w:tcPr>
          <w:p w14:paraId="48FEB5D3" w14:textId="77777777" w:rsidR="00133DF3" w:rsidRPr="00932A71" w:rsidRDefault="00133DF3" w:rsidP="00AC165E">
            <w:pPr>
              <w:pStyle w:val="Tabletext"/>
              <w:jc w:val="center"/>
            </w:pPr>
            <w:r w:rsidRPr="00932A71">
              <w:t>1.4</w:t>
            </w:r>
          </w:p>
        </w:tc>
        <w:tc>
          <w:tcPr>
            <w:tcW w:w="851" w:type="dxa"/>
            <w:tcBorders>
              <w:top w:val="nil"/>
              <w:left w:val="nil"/>
              <w:bottom w:val="single" w:sz="4" w:space="0" w:color="FFFFFF"/>
              <w:right w:val="nil"/>
            </w:tcBorders>
            <w:shd w:val="clear" w:color="000000" w:fill="D9D9D9"/>
            <w:vAlign w:val="center"/>
            <w:hideMark/>
          </w:tcPr>
          <w:p w14:paraId="6E924B2C" w14:textId="77777777" w:rsidR="00133DF3" w:rsidRPr="00932A71" w:rsidRDefault="00133DF3" w:rsidP="00AC165E">
            <w:pPr>
              <w:pStyle w:val="Tabletext"/>
              <w:jc w:val="center"/>
            </w:pPr>
            <w:r w:rsidRPr="00932A71">
              <w:t>2.7</w:t>
            </w:r>
          </w:p>
        </w:tc>
      </w:tr>
      <w:tr w:rsidR="00133DF3" w:rsidRPr="00C14AE5" w14:paraId="45B22199" w14:textId="77777777" w:rsidTr="00D50F04">
        <w:trPr>
          <w:trHeight w:val="255"/>
          <w:jc w:val="center"/>
        </w:trPr>
        <w:tc>
          <w:tcPr>
            <w:tcW w:w="4253" w:type="dxa"/>
            <w:tcBorders>
              <w:top w:val="nil"/>
              <w:left w:val="nil"/>
              <w:bottom w:val="nil"/>
              <w:right w:val="nil"/>
            </w:tcBorders>
            <w:shd w:val="clear" w:color="000000" w:fill="BFBFBF"/>
            <w:vAlign w:val="center"/>
            <w:hideMark/>
          </w:tcPr>
          <w:p w14:paraId="1F015527" w14:textId="77777777" w:rsidR="00133DF3" w:rsidRPr="00FF51D6" w:rsidRDefault="00133DF3" w:rsidP="00AC165E">
            <w:pPr>
              <w:pStyle w:val="Tabletext"/>
              <w:rPr>
                <w:b/>
                <w:sz w:val="24"/>
              </w:rPr>
            </w:pPr>
            <w:r w:rsidRPr="00FF51D6">
              <w:rPr>
                <w:b/>
                <w:sz w:val="24"/>
              </w:rPr>
              <w:t>Other costs financed by RRF grants</w:t>
            </w:r>
          </w:p>
        </w:tc>
        <w:tc>
          <w:tcPr>
            <w:tcW w:w="738" w:type="dxa"/>
            <w:tcBorders>
              <w:top w:val="nil"/>
              <w:left w:val="nil"/>
              <w:bottom w:val="nil"/>
              <w:right w:val="nil"/>
            </w:tcBorders>
            <w:shd w:val="clear" w:color="000000" w:fill="C0C0C0"/>
            <w:noWrap/>
            <w:vAlign w:val="center"/>
            <w:hideMark/>
          </w:tcPr>
          <w:p w14:paraId="112C7ABC" w14:textId="77777777" w:rsidR="00133DF3" w:rsidRPr="00FF51D6" w:rsidRDefault="00133DF3" w:rsidP="00AC165E">
            <w:pPr>
              <w:pStyle w:val="Tabletext"/>
              <w:jc w:val="center"/>
              <w:rPr>
                <w:b/>
                <w:sz w:val="24"/>
              </w:rPr>
            </w:pPr>
          </w:p>
        </w:tc>
        <w:tc>
          <w:tcPr>
            <w:tcW w:w="850" w:type="dxa"/>
            <w:tcBorders>
              <w:top w:val="nil"/>
              <w:left w:val="nil"/>
              <w:bottom w:val="nil"/>
              <w:right w:val="nil"/>
            </w:tcBorders>
            <w:shd w:val="clear" w:color="000000" w:fill="C0C0C0"/>
            <w:noWrap/>
            <w:vAlign w:val="center"/>
            <w:hideMark/>
          </w:tcPr>
          <w:p w14:paraId="726D2F4C" w14:textId="77777777" w:rsidR="00133DF3" w:rsidRPr="00FF51D6" w:rsidRDefault="00133DF3" w:rsidP="00AC165E">
            <w:pPr>
              <w:pStyle w:val="Tabletext"/>
              <w:jc w:val="center"/>
              <w:rPr>
                <w:b/>
                <w:sz w:val="24"/>
              </w:rPr>
            </w:pPr>
          </w:p>
        </w:tc>
        <w:tc>
          <w:tcPr>
            <w:tcW w:w="709" w:type="dxa"/>
            <w:tcBorders>
              <w:top w:val="nil"/>
              <w:left w:val="nil"/>
              <w:bottom w:val="nil"/>
              <w:right w:val="nil"/>
            </w:tcBorders>
            <w:shd w:val="clear" w:color="000000" w:fill="C0C0C0"/>
            <w:noWrap/>
            <w:vAlign w:val="center"/>
            <w:hideMark/>
          </w:tcPr>
          <w:p w14:paraId="61BC6EDE" w14:textId="77777777" w:rsidR="00133DF3" w:rsidRPr="00FF51D6" w:rsidRDefault="00133DF3" w:rsidP="00AC165E">
            <w:pPr>
              <w:pStyle w:val="Tabletext"/>
              <w:jc w:val="center"/>
              <w:rPr>
                <w:b/>
                <w:sz w:val="24"/>
              </w:rPr>
            </w:pPr>
          </w:p>
        </w:tc>
        <w:tc>
          <w:tcPr>
            <w:tcW w:w="850" w:type="dxa"/>
            <w:tcBorders>
              <w:top w:val="nil"/>
              <w:left w:val="nil"/>
              <w:bottom w:val="nil"/>
              <w:right w:val="nil"/>
            </w:tcBorders>
            <w:shd w:val="clear" w:color="000000" w:fill="C0C0C0"/>
            <w:noWrap/>
            <w:vAlign w:val="center"/>
            <w:hideMark/>
          </w:tcPr>
          <w:p w14:paraId="14F62905" w14:textId="77777777" w:rsidR="00133DF3" w:rsidRPr="00FF51D6" w:rsidRDefault="00133DF3" w:rsidP="00AC165E">
            <w:pPr>
              <w:pStyle w:val="Tabletext"/>
              <w:jc w:val="center"/>
              <w:rPr>
                <w:b/>
                <w:sz w:val="24"/>
              </w:rPr>
            </w:pPr>
          </w:p>
        </w:tc>
        <w:tc>
          <w:tcPr>
            <w:tcW w:w="709" w:type="dxa"/>
            <w:tcBorders>
              <w:top w:val="nil"/>
              <w:left w:val="nil"/>
              <w:bottom w:val="nil"/>
              <w:right w:val="nil"/>
            </w:tcBorders>
            <w:shd w:val="clear" w:color="000000" w:fill="C0C0C0"/>
            <w:noWrap/>
            <w:vAlign w:val="center"/>
            <w:hideMark/>
          </w:tcPr>
          <w:p w14:paraId="42906DA6" w14:textId="77777777" w:rsidR="00133DF3" w:rsidRPr="00FF51D6" w:rsidRDefault="00133DF3" w:rsidP="00AC165E">
            <w:pPr>
              <w:pStyle w:val="Tabletext"/>
              <w:jc w:val="center"/>
              <w:rPr>
                <w:b/>
                <w:sz w:val="24"/>
              </w:rPr>
            </w:pPr>
          </w:p>
        </w:tc>
        <w:tc>
          <w:tcPr>
            <w:tcW w:w="851" w:type="dxa"/>
            <w:tcBorders>
              <w:top w:val="nil"/>
              <w:left w:val="nil"/>
              <w:bottom w:val="nil"/>
              <w:right w:val="nil"/>
            </w:tcBorders>
            <w:shd w:val="clear" w:color="000000" w:fill="C0C0C0"/>
            <w:noWrap/>
            <w:vAlign w:val="center"/>
            <w:hideMark/>
          </w:tcPr>
          <w:p w14:paraId="39CB4210" w14:textId="77777777" w:rsidR="00133DF3" w:rsidRPr="00FF51D6" w:rsidRDefault="00133DF3" w:rsidP="00AC165E">
            <w:pPr>
              <w:pStyle w:val="Tabletext"/>
              <w:jc w:val="center"/>
              <w:rPr>
                <w:b/>
                <w:sz w:val="24"/>
              </w:rPr>
            </w:pPr>
          </w:p>
        </w:tc>
      </w:tr>
      <w:tr w:rsidR="00133DF3" w:rsidRPr="00932A71" w14:paraId="5B58C96C" w14:textId="77777777" w:rsidTr="00D50F04">
        <w:trPr>
          <w:trHeight w:val="255"/>
          <w:jc w:val="center"/>
        </w:trPr>
        <w:tc>
          <w:tcPr>
            <w:tcW w:w="4253" w:type="dxa"/>
            <w:tcBorders>
              <w:top w:val="nil"/>
              <w:left w:val="nil"/>
              <w:bottom w:val="single" w:sz="4" w:space="0" w:color="FFFFFF"/>
              <w:right w:val="nil"/>
            </w:tcBorders>
            <w:shd w:val="clear" w:color="000000" w:fill="F2F2F2"/>
            <w:vAlign w:val="center"/>
            <w:hideMark/>
          </w:tcPr>
          <w:p w14:paraId="5DBFD6DA" w14:textId="77777777" w:rsidR="00133DF3" w:rsidRPr="00932A71" w:rsidRDefault="00133DF3" w:rsidP="00AC165E">
            <w:pPr>
              <w:pStyle w:val="Tabletext"/>
            </w:pPr>
            <w:r w:rsidRPr="00932A71">
              <w:t>7. Reduction in tax revenue</w:t>
            </w:r>
          </w:p>
        </w:tc>
        <w:tc>
          <w:tcPr>
            <w:tcW w:w="738" w:type="dxa"/>
            <w:tcBorders>
              <w:top w:val="nil"/>
              <w:left w:val="nil"/>
              <w:bottom w:val="single" w:sz="4" w:space="0" w:color="FFFFFF"/>
              <w:right w:val="nil"/>
            </w:tcBorders>
            <w:shd w:val="clear" w:color="000000" w:fill="F2F2F2"/>
            <w:vAlign w:val="center"/>
            <w:hideMark/>
          </w:tcPr>
          <w:p w14:paraId="23A25518" w14:textId="77777777" w:rsidR="00133DF3" w:rsidRPr="00932A71" w:rsidRDefault="00133DF3" w:rsidP="00AC165E">
            <w:pPr>
              <w:pStyle w:val="Tabletext"/>
              <w:jc w:val="center"/>
            </w:pPr>
          </w:p>
        </w:tc>
        <w:tc>
          <w:tcPr>
            <w:tcW w:w="850" w:type="dxa"/>
            <w:tcBorders>
              <w:top w:val="nil"/>
              <w:left w:val="nil"/>
              <w:bottom w:val="single" w:sz="4" w:space="0" w:color="FFFFFF"/>
              <w:right w:val="nil"/>
            </w:tcBorders>
            <w:shd w:val="clear" w:color="000000" w:fill="F2F2F2"/>
            <w:vAlign w:val="center"/>
            <w:hideMark/>
          </w:tcPr>
          <w:p w14:paraId="25A742C7" w14:textId="77777777" w:rsidR="00133DF3" w:rsidRPr="00932A71" w:rsidRDefault="00133DF3" w:rsidP="00AC165E">
            <w:pPr>
              <w:pStyle w:val="Tabletext"/>
              <w:jc w:val="center"/>
            </w:pPr>
          </w:p>
        </w:tc>
        <w:tc>
          <w:tcPr>
            <w:tcW w:w="709" w:type="dxa"/>
            <w:tcBorders>
              <w:top w:val="nil"/>
              <w:left w:val="nil"/>
              <w:bottom w:val="single" w:sz="4" w:space="0" w:color="FFFFFF"/>
              <w:right w:val="nil"/>
            </w:tcBorders>
            <w:shd w:val="clear" w:color="000000" w:fill="F2F2F2"/>
            <w:vAlign w:val="center"/>
            <w:hideMark/>
          </w:tcPr>
          <w:p w14:paraId="1CB98398" w14:textId="77777777" w:rsidR="00133DF3" w:rsidRPr="00932A71" w:rsidRDefault="00133DF3" w:rsidP="00AC165E">
            <w:pPr>
              <w:pStyle w:val="Tabletext"/>
              <w:jc w:val="center"/>
            </w:pPr>
          </w:p>
        </w:tc>
        <w:tc>
          <w:tcPr>
            <w:tcW w:w="850" w:type="dxa"/>
            <w:tcBorders>
              <w:top w:val="nil"/>
              <w:left w:val="nil"/>
              <w:bottom w:val="single" w:sz="4" w:space="0" w:color="FFFFFF"/>
              <w:right w:val="nil"/>
            </w:tcBorders>
            <w:shd w:val="clear" w:color="000000" w:fill="F2F2F2"/>
            <w:vAlign w:val="center"/>
            <w:hideMark/>
          </w:tcPr>
          <w:p w14:paraId="13FA13A5" w14:textId="77777777" w:rsidR="00133DF3" w:rsidRPr="00932A71" w:rsidRDefault="00133DF3" w:rsidP="00AC165E">
            <w:pPr>
              <w:pStyle w:val="Tabletext"/>
              <w:jc w:val="center"/>
            </w:pPr>
          </w:p>
        </w:tc>
        <w:tc>
          <w:tcPr>
            <w:tcW w:w="709" w:type="dxa"/>
            <w:tcBorders>
              <w:top w:val="nil"/>
              <w:left w:val="nil"/>
              <w:bottom w:val="single" w:sz="4" w:space="0" w:color="FFFFFF"/>
              <w:right w:val="nil"/>
            </w:tcBorders>
            <w:shd w:val="clear" w:color="000000" w:fill="F2F2F2"/>
            <w:vAlign w:val="center"/>
            <w:hideMark/>
          </w:tcPr>
          <w:p w14:paraId="7BD067F8" w14:textId="77777777" w:rsidR="00133DF3" w:rsidRPr="00932A71" w:rsidRDefault="00133DF3" w:rsidP="00AC165E">
            <w:pPr>
              <w:pStyle w:val="Tabletext"/>
              <w:jc w:val="center"/>
            </w:pPr>
          </w:p>
        </w:tc>
        <w:tc>
          <w:tcPr>
            <w:tcW w:w="851" w:type="dxa"/>
            <w:tcBorders>
              <w:top w:val="nil"/>
              <w:left w:val="nil"/>
              <w:bottom w:val="single" w:sz="4" w:space="0" w:color="FFFFFF"/>
              <w:right w:val="nil"/>
            </w:tcBorders>
            <w:shd w:val="clear" w:color="000000" w:fill="F2F2F2"/>
            <w:vAlign w:val="center"/>
            <w:hideMark/>
          </w:tcPr>
          <w:p w14:paraId="05319CCB" w14:textId="77777777" w:rsidR="00133DF3" w:rsidRPr="00932A71" w:rsidRDefault="00133DF3" w:rsidP="00AC165E">
            <w:pPr>
              <w:pStyle w:val="Tabletext"/>
              <w:jc w:val="center"/>
            </w:pPr>
          </w:p>
        </w:tc>
      </w:tr>
      <w:tr w:rsidR="00133DF3" w:rsidRPr="00C14AE5" w14:paraId="4E609147" w14:textId="77777777" w:rsidTr="00D50F04">
        <w:trPr>
          <w:trHeight w:val="255"/>
          <w:jc w:val="center"/>
        </w:trPr>
        <w:tc>
          <w:tcPr>
            <w:tcW w:w="4253" w:type="dxa"/>
            <w:tcBorders>
              <w:top w:val="nil"/>
              <w:left w:val="nil"/>
              <w:bottom w:val="single" w:sz="4" w:space="0" w:color="FFFFFF"/>
              <w:right w:val="nil"/>
            </w:tcBorders>
            <w:shd w:val="clear" w:color="000000" w:fill="D9D9D9"/>
            <w:vAlign w:val="center"/>
            <w:hideMark/>
          </w:tcPr>
          <w:p w14:paraId="78341E7B" w14:textId="77777777" w:rsidR="00133DF3" w:rsidRPr="00932A71" w:rsidRDefault="00133DF3" w:rsidP="00AC165E">
            <w:pPr>
              <w:pStyle w:val="Tabletext"/>
            </w:pPr>
            <w:r w:rsidRPr="00932A71">
              <w:t>8. Other costs with impact on revenue</w:t>
            </w:r>
          </w:p>
        </w:tc>
        <w:tc>
          <w:tcPr>
            <w:tcW w:w="738" w:type="dxa"/>
            <w:tcBorders>
              <w:top w:val="nil"/>
              <w:left w:val="nil"/>
              <w:bottom w:val="single" w:sz="4" w:space="0" w:color="FFFFFF"/>
              <w:right w:val="nil"/>
            </w:tcBorders>
            <w:shd w:val="clear" w:color="000000" w:fill="D9D9D9"/>
            <w:vAlign w:val="center"/>
            <w:hideMark/>
          </w:tcPr>
          <w:p w14:paraId="02824442" w14:textId="77777777" w:rsidR="00133DF3" w:rsidRPr="00932A71" w:rsidRDefault="00133DF3" w:rsidP="00AC165E">
            <w:pPr>
              <w:pStyle w:val="Tabletext"/>
              <w:jc w:val="center"/>
            </w:pPr>
          </w:p>
        </w:tc>
        <w:tc>
          <w:tcPr>
            <w:tcW w:w="850" w:type="dxa"/>
            <w:tcBorders>
              <w:top w:val="nil"/>
              <w:left w:val="nil"/>
              <w:bottom w:val="single" w:sz="4" w:space="0" w:color="FFFFFF"/>
              <w:right w:val="nil"/>
            </w:tcBorders>
            <w:shd w:val="clear" w:color="000000" w:fill="D9D9D9"/>
            <w:vAlign w:val="center"/>
            <w:hideMark/>
          </w:tcPr>
          <w:p w14:paraId="5A8136EC" w14:textId="77777777" w:rsidR="00133DF3" w:rsidRPr="00932A71" w:rsidRDefault="00133DF3" w:rsidP="00AC165E">
            <w:pPr>
              <w:pStyle w:val="Tabletext"/>
              <w:jc w:val="center"/>
            </w:pPr>
          </w:p>
        </w:tc>
        <w:tc>
          <w:tcPr>
            <w:tcW w:w="709" w:type="dxa"/>
            <w:tcBorders>
              <w:top w:val="nil"/>
              <w:left w:val="nil"/>
              <w:bottom w:val="single" w:sz="4" w:space="0" w:color="FFFFFF"/>
              <w:right w:val="nil"/>
            </w:tcBorders>
            <w:shd w:val="clear" w:color="000000" w:fill="D9D9D9"/>
            <w:vAlign w:val="center"/>
            <w:hideMark/>
          </w:tcPr>
          <w:p w14:paraId="2A24D640" w14:textId="77777777" w:rsidR="00133DF3" w:rsidRPr="00932A71" w:rsidRDefault="00133DF3" w:rsidP="00AC165E">
            <w:pPr>
              <w:pStyle w:val="Tabletext"/>
              <w:jc w:val="center"/>
            </w:pPr>
          </w:p>
        </w:tc>
        <w:tc>
          <w:tcPr>
            <w:tcW w:w="850" w:type="dxa"/>
            <w:tcBorders>
              <w:top w:val="nil"/>
              <w:left w:val="nil"/>
              <w:bottom w:val="single" w:sz="4" w:space="0" w:color="FFFFFF"/>
              <w:right w:val="nil"/>
            </w:tcBorders>
            <w:shd w:val="clear" w:color="000000" w:fill="D9D9D9"/>
            <w:vAlign w:val="center"/>
            <w:hideMark/>
          </w:tcPr>
          <w:p w14:paraId="623C2FE9" w14:textId="77777777" w:rsidR="00133DF3" w:rsidRPr="00932A71" w:rsidRDefault="00133DF3" w:rsidP="00AC165E">
            <w:pPr>
              <w:pStyle w:val="Tabletext"/>
              <w:jc w:val="center"/>
            </w:pPr>
          </w:p>
        </w:tc>
        <w:tc>
          <w:tcPr>
            <w:tcW w:w="709" w:type="dxa"/>
            <w:tcBorders>
              <w:top w:val="nil"/>
              <w:left w:val="nil"/>
              <w:bottom w:val="single" w:sz="4" w:space="0" w:color="FFFFFF"/>
              <w:right w:val="nil"/>
            </w:tcBorders>
            <w:shd w:val="clear" w:color="000000" w:fill="D9D9D9"/>
            <w:vAlign w:val="center"/>
            <w:hideMark/>
          </w:tcPr>
          <w:p w14:paraId="3A06F59B" w14:textId="77777777" w:rsidR="00133DF3" w:rsidRPr="00932A71" w:rsidRDefault="00133DF3" w:rsidP="00AC165E">
            <w:pPr>
              <w:pStyle w:val="Tabletext"/>
              <w:jc w:val="center"/>
            </w:pPr>
          </w:p>
        </w:tc>
        <w:tc>
          <w:tcPr>
            <w:tcW w:w="851" w:type="dxa"/>
            <w:tcBorders>
              <w:top w:val="nil"/>
              <w:left w:val="nil"/>
              <w:bottom w:val="single" w:sz="4" w:space="0" w:color="FFFFFF"/>
              <w:right w:val="nil"/>
            </w:tcBorders>
            <w:shd w:val="clear" w:color="000000" w:fill="D9D9D9"/>
            <w:vAlign w:val="center"/>
            <w:hideMark/>
          </w:tcPr>
          <w:p w14:paraId="38090DBB" w14:textId="77777777" w:rsidR="00133DF3" w:rsidRPr="00932A71" w:rsidRDefault="00133DF3" w:rsidP="00AC165E">
            <w:pPr>
              <w:pStyle w:val="Tabletext"/>
              <w:jc w:val="center"/>
            </w:pPr>
          </w:p>
        </w:tc>
      </w:tr>
      <w:tr w:rsidR="00133DF3" w:rsidRPr="00932A71" w14:paraId="28CAF8F3" w14:textId="77777777" w:rsidTr="00D50F04">
        <w:trPr>
          <w:trHeight w:val="255"/>
          <w:jc w:val="center"/>
        </w:trPr>
        <w:tc>
          <w:tcPr>
            <w:tcW w:w="4253" w:type="dxa"/>
            <w:tcBorders>
              <w:top w:val="single" w:sz="4" w:space="0" w:color="FFFFFF"/>
              <w:left w:val="nil"/>
              <w:bottom w:val="single" w:sz="18" w:space="0" w:color="4F81BD" w:themeColor="accent1"/>
              <w:right w:val="nil"/>
            </w:tcBorders>
            <w:shd w:val="clear" w:color="000000" w:fill="F2F2F2"/>
            <w:vAlign w:val="center"/>
            <w:hideMark/>
          </w:tcPr>
          <w:p w14:paraId="69B24288" w14:textId="77777777" w:rsidR="00133DF3" w:rsidRPr="00932A71" w:rsidRDefault="00133DF3" w:rsidP="00AC165E">
            <w:pPr>
              <w:pStyle w:val="Tabletext"/>
            </w:pPr>
            <w:r w:rsidRPr="00932A71">
              <w:t>9. Financial transactions</w:t>
            </w:r>
          </w:p>
        </w:tc>
        <w:tc>
          <w:tcPr>
            <w:tcW w:w="738" w:type="dxa"/>
            <w:tcBorders>
              <w:top w:val="single" w:sz="4" w:space="0" w:color="FFFFFF"/>
              <w:left w:val="nil"/>
              <w:bottom w:val="single" w:sz="18" w:space="0" w:color="4F81BD" w:themeColor="accent1"/>
              <w:right w:val="nil"/>
            </w:tcBorders>
            <w:shd w:val="clear" w:color="000000" w:fill="F2F2F2"/>
            <w:vAlign w:val="center"/>
            <w:hideMark/>
          </w:tcPr>
          <w:p w14:paraId="76AF5144" w14:textId="77777777" w:rsidR="00133DF3" w:rsidRPr="00932A71" w:rsidRDefault="00133DF3" w:rsidP="00AC165E">
            <w:pPr>
              <w:pStyle w:val="Tabletext"/>
              <w:jc w:val="center"/>
            </w:pPr>
          </w:p>
        </w:tc>
        <w:tc>
          <w:tcPr>
            <w:tcW w:w="850" w:type="dxa"/>
            <w:tcBorders>
              <w:top w:val="single" w:sz="4" w:space="0" w:color="FFFFFF"/>
              <w:left w:val="nil"/>
              <w:bottom w:val="single" w:sz="18" w:space="0" w:color="4F81BD" w:themeColor="accent1"/>
              <w:right w:val="nil"/>
            </w:tcBorders>
            <w:shd w:val="clear" w:color="000000" w:fill="F2F2F2"/>
            <w:vAlign w:val="center"/>
            <w:hideMark/>
          </w:tcPr>
          <w:p w14:paraId="3ECD9331" w14:textId="77777777" w:rsidR="00133DF3" w:rsidRPr="00932A71" w:rsidRDefault="00133DF3" w:rsidP="00AC165E">
            <w:pPr>
              <w:pStyle w:val="Tabletext"/>
              <w:jc w:val="center"/>
            </w:pPr>
          </w:p>
        </w:tc>
        <w:tc>
          <w:tcPr>
            <w:tcW w:w="709" w:type="dxa"/>
            <w:tcBorders>
              <w:top w:val="single" w:sz="4" w:space="0" w:color="FFFFFF"/>
              <w:left w:val="nil"/>
              <w:bottom w:val="single" w:sz="18" w:space="0" w:color="4F81BD" w:themeColor="accent1"/>
              <w:right w:val="nil"/>
            </w:tcBorders>
            <w:shd w:val="clear" w:color="000000" w:fill="F2F2F2"/>
            <w:vAlign w:val="center"/>
            <w:hideMark/>
          </w:tcPr>
          <w:p w14:paraId="6F949172" w14:textId="77777777" w:rsidR="00133DF3" w:rsidRPr="00932A71" w:rsidRDefault="00133DF3" w:rsidP="00AC165E">
            <w:pPr>
              <w:pStyle w:val="Tabletext"/>
              <w:jc w:val="center"/>
            </w:pPr>
          </w:p>
        </w:tc>
        <w:tc>
          <w:tcPr>
            <w:tcW w:w="850" w:type="dxa"/>
            <w:tcBorders>
              <w:top w:val="single" w:sz="4" w:space="0" w:color="FFFFFF"/>
              <w:left w:val="nil"/>
              <w:bottom w:val="single" w:sz="18" w:space="0" w:color="4F81BD" w:themeColor="accent1"/>
              <w:right w:val="nil"/>
            </w:tcBorders>
            <w:shd w:val="clear" w:color="000000" w:fill="F2F2F2"/>
            <w:vAlign w:val="center"/>
            <w:hideMark/>
          </w:tcPr>
          <w:p w14:paraId="319CA9AB" w14:textId="77777777" w:rsidR="00133DF3" w:rsidRPr="00932A71" w:rsidRDefault="00133DF3" w:rsidP="00AC165E">
            <w:pPr>
              <w:pStyle w:val="Tabletext"/>
              <w:jc w:val="center"/>
            </w:pPr>
          </w:p>
        </w:tc>
        <w:tc>
          <w:tcPr>
            <w:tcW w:w="709" w:type="dxa"/>
            <w:tcBorders>
              <w:top w:val="single" w:sz="4" w:space="0" w:color="FFFFFF"/>
              <w:left w:val="nil"/>
              <w:bottom w:val="single" w:sz="18" w:space="0" w:color="4F81BD" w:themeColor="accent1"/>
              <w:right w:val="nil"/>
            </w:tcBorders>
            <w:shd w:val="clear" w:color="000000" w:fill="F2F2F2"/>
            <w:vAlign w:val="center"/>
            <w:hideMark/>
          </w:tcPr>
          <w:p w14:paraId="6225C449" w14:textId="77777777" w:rsidR="00133DF3" w:rsidRPr="00932A71" w:rsidRDefault="00133DF3" w:rsidP="00AC165E">
            <w:pPr>
              <w:pStyle w:val="Tabletext"/>
              <w:jc w:val="center"/>
            </w:pPr>
          </w:p>
        </w:tc>
        <w:tc>
          <w:tcPr>
            <w:tcW w:w="851" w:type="dxa"/>
            <w:tcBorders>
              <w:top w:val="single" w:sz="4" w:space="0" w:color="FFFFFF"/>
              <w:left w:val="nil"/>
              <w:bottom w:val="single" w:sz="18" w:space="0" w:color="4F81BD" w:themeColor="accent1"/>
              <w:right w:val="nil"/>
            </w:tcBorders>
            <w:shd w:val="clear" w:color="000000" w:fill="F2F2F2"/>
            <w:vAlign w:val="center"/>
            <w:hideMark/>
          </w:tcPr>
          <w:p w14:paraId="5DE80314" w14:textId="77777777" w:rsidR="00133DF3" w:rsidRPr="00932A71" w:rsidRDefault="00133DF3" w:rsidP="00AC165E">
            <w:pPr>
              <w:pStyle w:val="Tabletext"/>
              <w:jc w:val="center"/>
            </w:pPr>
          </w:p>
        </w:tc>
      </w:tr>
    </w:tbl>
    <w:p w14:paraId="0DBD3E39" w14:textId="0D7A2D4E" w:rsidR="00133DF3" w:rsidRPr="00634BAE" w:rsidRDefault="00133DF3" w:rsidP="001005A8">
      <w:pPr>
        <w:spacing w:before="240" w:after="120"/>
        <w:rPr>
          <w:lang w:val="en-US"/>
        </w:rPr>
      </w:pPr>
      <w:r w:rsidRPr="00634BAE">
        <w:rPr>
          <w:lang w:val="en-US"/>
        </w:rPr>
        <w:t xml:space="preserve">In the loan facility, which mainly concerns the granting of loans through the commercial banks and International Financial Institutions for the implementation of investment projects in 5 strategic pillars by private businesses, 532 loan agreements have been signed so far (Oct 2025), with a total budget of €17.58 billion (out of which: €7.71 billion RRF loans, €5.80 billion bank loans and €4.07 billion investors’ own resources). </w:t>
      </w:r>
    </w:p>
    <w:p w14:paraId="3008D02C" w14:textId="77777777" w:rsidR="00133DF3" w:rsidRDefault="00133DF3" w:rsidP="00133DF3">
      <w:pPr>
        <w:rPr>
          <w:lang w:val="en-US"/>
        </w:rPr>
      </w:pPr>
      <w:r>
        <w:rPr>
          <w:lang w:val="en-US"/>
        </w:rPr>
        <w:t>Moreover, Greece has allocated an amount of up to €0.4 billion of RRF loans to the European Investment Fund for the implementation of selected guarantee instruments under the Member State Compartment of InvestEU. Guarantee products are now available for the Greek SMEs providing them access to investment loans and working capital.</w:t>
      </w:r>
    </w:p>
    <w:p w14:paraId="5D26FC0D" w14:textId="77777777" w:rsidR="00133DF3" w:rsidRDefault="00133DF3" w:rsidP="00133DF3">
      <w:pPr>
        <w:rPr>
          <w:lang w:val="en-US"/>
        </w:rPr>
      </w:pPr>
      <w:r>
        <w:rPr>
          <w:lang w:val="en-US"/>
        </w:rPr>
        <w:t xml:space="preserve">Also, following the latest revision of Greece’s NRRP in January 2025, the loan component has been enriched with two new measures of a total RRF budget of €1.3 billion, the «My Home II" measure which provides loan support to individuals or families with low income for the acquisition of their primary residence (€1 billion RRF funds) and the "Upgrade My Home" measure providing loan support to individuals for energy upgrades to their residential properties (€0.3 billion RRF funds). </w:t>
      </w:r>
      <w:r w:rsidRPr="00634BAE">
        <w:rPr>
          <w:lang w:val="en-US"/>
        </w:rPr>
        <w:t xml:space="preserve">So far (Oct 2025), RRF loans contracted amount </w:t>
      </w:r>
      <w:r>
        <w:rPr>
          <w:lang w:val="en-US"/>
        </w:rPr>
        <w:t>to</w:t>
      </w:r>
      <w:r w:rsidRPr="00634BAE">
        <w:rPr>
          <w:lang w:val="en-US"/>
        </w:rPr>
        <w:t xml:space="preserve"> €303.3 million under «My Home II" measure and at €39.2 million under "Upgrade My Home" measure.</w:t>
      </w:r>
    </w:p>
    <w:p w14:paraId="3BA07748" w14:textId="618E9FA7" w:rsidR="00133DF3" w:rsidRPr="00634BAE" w:rsidRDefault="00133DF3" w:rsidP="00AC165E">
      <w:pPr>
        <w:pStyle w:val="ae"/>
        <w:spacing w:before="120"/>
      </w:pPr>
      <w:bookmarkStart w:id="66" w:name="_Toc211249685"/>
      <w:bookmarkStart w:id="67" w:name="_Toc211355102"/>
      <w:r>
        <w:t xml:space="preserve">Table </w:t>
      </w:r>
      <w:r>
        <w:fldChar w:fldCharType="begin"/>
      </w:r>
      <w:r>
        <w:instrText xml:space="preserve"> SEQ Table \* ARABIC </w:instrText>
      </w:r>
      <w:r>
        <w:fldChar w:fldCharType="separate"/>
      </w:r>
      <w:r w:rsidR="00AF0E6B">
        <w:rPr>
          <w:noProof/>
        </w:rPr>
        <w:t>8</w:t>
      </w:r>
      <w:r>
        <w:fldChar w:fldCharType="end"/>
      </w:r>
      <w:r>
        <w:t xml:space="preserve"> | </w:t>
      </w:r>
      <w:r w:rsidRPr="009E0C15">
        <w:t>RRF loans</w:t>
      </w:r>
      <w:r>
        <w:t xml:space="preserve"> </w:t>
      </w:r>
      <w:r w:rsidRPr="009E0C15">
        <w:rPr>
          <w:b w:val="0"/>
        </w:rPr>
        <w:t>(% of GDP)</w:t>
      </w:r>
      <w:bookmarkEnd w:id="66"/>
      <w:bookmarkEnd w:id="67"/>
    </w:p>
    <w:tbl>
      <w:tblPr>
        <w:tblW w:w="8984" w:type="dxa"/>
        <w:jc w:val="center"/>
        <w:tblLook w:val="04A0" w:firstRow="1" w:lastRow="0" w:firstColumn="1" w:lastColumn="0" w:noHBand="0" w:noVBand="1"/>
      </w:tblPr>
      <w:tblGrid>
        <w:gridCol w:w="4594"/>
        <w:gridCol w:w="858"/>
        <w:gridCol w:w="709"/>
        <w:gridCol w:w="709"/>
        <w:gridCol w:w="708"/>
        <w:gridCol w:w="703"/>
        <w:gridCol w:w="703"/>
      </w:tblGrid>
      <w:tr w:rsidR="00133DF3" w:rsidRPr="00FF51D6" w14:paraId="77740018" w14:textId="77777777" w:rsidTr="00133DF3">
        <w:trPr>
          <w:trHeight w:val="227"/>
          <w:jc w:val="center"/>
        </w:trPr>
        <w:tc>
          <w:tcPr>
            <w:tcW w:w="4678" w:type="dxa"/>
            <w:tcBorders>
              <w:top w:val="nil"/>
              <w:left w:val="nil"/>
              <w:bottom w:val="nil"/>
              <w:right w:val="nil"/>
            </w:tcBorders>
            <w:shd w:val="clear" w:color="000000" w:fill="BFBFBF"/>
            <w:vAlign w:val="center"/>
            <w:hideMark/>
          </w:tcPr>
          <w:p w14:paraId="160CE8F7" w14:textId="77777777" w:rsidR="00133DF3" w:rsidRPr="00FF51D6" w:rsidRDefault="00133DF3" w:rsidP="001005A8">
            <w:pPr>
              <w:pStyle w:val="Tabletext"/>
              <w:rPr>
                <w:b/>
                <w:sz w:val="24"/>
              </w:rPr>
            </w:pPr>
            <w:r w:rsidRPr="00FF51D6">
              <w:rPr>
                <w:b/>
                <w:sz w:val="24"/>
              </w:rPr>
              <w:t> </w:t>
            </w:r>
          </w:p>
        </w:tc>
        <w:tc>
          <w:tcPr>
            <w:tcW w:w="858" w:type="dxa"/>
            <w:tcBorders>
              <w:top w:val="nil"/>
              <w:left w:val="nil"/>
              <w:bottom w:val="nil"/>
              <w:right w:val="nil"/>
            </w:tcBorders>
            <w:shd w:val="clear" w:color="000000" w:fill="BFBFBF"/>
            <w:vAlign w:val="center"/>
            <w:hideMark/>
          </w:tcPr>
          <w:p w14:paraId="0851FD1D" w14:textId="77777777" w:rsidR="00133DF3" w:rsidRPr="00FF51D6" w:rsidRDefault="00133DF3" w:rsidP="001005A8">
            <w:pPr>
              <w:pStyle w:val="Tabletext"/>
              <w:rPr>
                <w:b/>
                <w:sz w:val="24"/>
              </w:rPr>
            </w:pPr>
            <w:r w:rsidRPr="00FF51D6">
              <w:rPr>
                <w:b/>
                <w:sz w:val="24"/>
              </w:rPr>
              <w:t>2021</w:t>
            </w:r>
          </w:p>
        </w:tc>
        <w:tc>
          <w:tcPr>
            <w:tcW w:w="709" w:type="dxa"/>
            <w:tcBorders>
              <w:top w:val="nil"/>
              <w:left w:val="nil"/>
              <w:bottom w:val="nil"/>
              <w:right w:val="nil"/>
            </w:tcBorders>
            <w:shd w:val="clear" w:color="000000" w:fill="BFBFBF"/>
            <w:vAlign w:val="center"/>
            <w:hideMark/>
          </w:tcPr>
          <w:p w14:paraId="4C67E98C" w14:textId="77777777" w:rsidR="00133DF3" w:rsidRPr="00FF51D6" w:rsidRDefault="00133DF3" w:rsidP="001005A8">
            <w:pPr>
              <w:pStyle w:val="Tabletext"/>
              <w:rPr>
                <w:b/>
                <w:sz w:val="24"/>
              </w:rPr>
            </w:pPr>
            <w:r w:rsidRPr="00FF51D6">
              <w:rPr>
                <w:b/>
                <w:sz w:val="24"/>
              </w:rPr>
              <w:t>2022</w:t>
            </w:r>
          </w:p>
        </w:tc>
        <w:tc>
          <w:tcPr>
            <w:tcW w:w="709" w:type="dxa"/>
            <w:tcBorders>
              <w:top w:val="nil"/>
              <w:left w:val="nil"/>
              <w:bottom w:val="nil"/>
              <w:right w:val="nil"/>
            </w:tcBorders>
            <w:shd w:val="clear" w:color="000000" w:fill="BFBFBF"/>
            <w:vAlign w:val="center"/>
            <w:hideMark/>
          </w:tcPr>
          <w:p w14:paraId="4977798C" w14:textId="77777777" w:rsidR="00133DF3" w:rsidRPr="00FF51D6" w:rsidRDefault="00133DF3" w:rsidP="001005A8">
            <w:pPr>
              <w:pStyle w:val="Tabletext"/>
              <w:rPr>
                <w:b/>
                <w:sz w:val="24"/>
              </w:rPr>
            </w:pPr>
            <w:r w:rsidRPr="00FF51D6">
              <w:rPr>
                <w:b/>
                <w:sz w:val="24"/>
              </w:rPr>
              <w:t>2023</w:t>
            </w:r>
          </w:p>
        </w:tc>
        <w:tc>
          <w:tcPr>
            <w:tcW w:w="708" w:type="dxa"/>
            <w:tcBorders>
              <w:top w:val="nil"/>
              <w:left w:val="nil"/>
              <w:bottom w:val="nil"/>
              <w:right w:val="nil"/>
            </w:tcBorders>
            <w:shd w:val="clear" w:color="000000" w:fill="BFBFBF"/>
            <w:vAlign w:val="center"/>
            <w:hideMark/>
          </w:tcPr>
          <w:p w14:paraId="077ED9F6" w14:textId="77777777" w:rsidR="00133DF3" w:rsidRPr="00FF51D6" w:rsidRDefault="00133DF3" w:rsidP="001005A8">
            <w:pPr>
              <w:pStyle w:val="Tabletext"/>
              <w:rPr>
                <w:b/>
                <w:sz w:val="24"/>
              </w:rPr>
            </w:pPr>
            <w:r w:rsidRPr="00FF51D6">
              <w:rPr>
                <w:b/>
                <w:sz w:val="24"/>
              </w:rPr>
              <w:t>2024</w:t>
            </w:r>
          </w:p>
        </w:tc>
        <w:tc>
          <w:tcPr>
            <w:tcW w:w="661" w:type="dxa"/>
            <w:tcBorders>
              <w:top w:val="nil"/>
              <w:left w:val="nil"/>
              <w:bottom w:val="nil"/>
              <w:right w:val="nil"/>
            </w:tcBorders>
            <w:shd w:val="clear" w:color="000000" w:fill="BFBFBF"/>
            <w:vAlign w:val="center"/>
            <w:hideMark/>
          </w:tcPr>
          <w:p w14:paraId="287C6DA3" w14:textId="77777777" w:rsidR="00133DF3" w:rsidRPr="00FF51D6" w:rsidRDefault="00133DF3" w:rsidP="001005A8">
            <w:pPr>
              <w:pStyle w:val="Tabletext"/>
              <w:rPr>
                <w:b/>
                <w:sz w:val="24"/>
              </w:rPr>
            </w:pPr>
            <w:r w:rsidRPr="00FF51D6">
              <w:rPr>
                <w:b/>
                <w:sz w:val="24"/>
              </w:rPr>
              <w:t>2025</w:t>
            </w:r>
          </w:p>
        </w:tc>
        <w:tc>
          <w:tcPr>
            <w:tcW w:w="661" w:type="dxa"/>
            <w:tcBorders>
              <w:top w:val="nil"/>
              <w:left w:val="nil"/>
              <w:bottom w:val="nil"/>
              <w:right w:val="nil"/>
            </w:tcBorders>
            <w:shd w:val="clear" w:color="000000" w:fill="BFBFBF"/>
            <w:vAlign w:val="center"/>
            <w:hideMark/>
          </w:tcPr>
          <w:p w14:paraId="4886D3B1" w14:textId="77777777" w:rsidR="00133DF3" w:rsidRPr="00FF51D6" w:rsidRDefault="00133DF3" w:rsidP="001005A8">
            <w:pPr>
              <w:pStyle w:val="Tabletext"/>
              <w:rPr>
                <w:b/>
                <w:sz w:val="24"/>
              </w:rPr>
            </w:pPr>
            <w:r w:rsidRPr="00FF51D6">
              <w:rPr>
                <w:b/>
                <w:sz w:val="24"/>
              </w:rPr>
              <w:t>2026</w:t>
            </w:r>
          </w:p>
        </w:tc>
      </w:tr>
      <w:tr w:rsidR="00133DF3" w:rsidRPr="00FF51D6" w14:paraId="59714111" w14:textId="77777777" w:rsidTr="00133DF3">
        <w:trPr>
          <w:trHeight w:val="227"/>
          <w:jc w:val="center"/>
        </w:trPr>
        <w:tc>
          <w:tcPr>
            <w:tcW w:w="4678" w:type="dxa"/>
            <w:tcBorders>
              <w:top w:val="nil"/>
              <w:left w:val="nil"/>
              <w:bottom w:val="nil"/>
              <w:right w:val="nil"/>
            </w:tcBorders>
            <w:shd w:val="clear" w:color="000000" w:fill="BFBFBF"/>
            <w:vAlign w:val="center"/>
            <w:hideMark/>
          </w:tcPr>
          <w:p w14:paraId="38348DE8" w14:textId="77777777" w:rsidR="00133DF3" w:rsidRPr="00FF51D6" w:rsidRDefault="00133DF3" w:rsidP="001005A8">
            <w:pPr>
              <w:pStyle w:val="Tabletext"/>
              <w:rPr>
                <w:b/>
                <w:sz w:val="24"/>
              </w:rPr>
            </w:pPr>
            <w:r w:rsidRPr="00FF51D6">
              <w:rPr>
                <w:b/>
                <w:sz w:val="24"/>
              </w:rPr>
              <w:t>Revenue from RRF loans</w:t>
            </w:r>
          </w:p>
        </w:tc>
        <w:tc>
          <w:tcPr>
            <w:tcW w:w="858" w:type="dxa"/>
            <w:tcBorders>
              <w:top w:val="nil"/>
              <w:left w:val="nil"/>
              <w:bottom w:val="nil"/>
              <w:right w:val="nil"/>
            </w:tcBorders>
            <w:shd w:val="clear" w:color="000000" w:fill="C0C0C0"/>
            <w:noWrap/>
            <w:vAlign w:val="center"/>
            <w:hideMark/>
          </w:tcPr>
          <w:p w14:paraId="5334DA6B" w14:textId="77777777" w:rsidR="00133DF3" w:rsidRPr="00FF51D6" w:rsidRDefault="00133DF3" w:rsidP="001005A8">
            <w:pPr>
              <w:pStyle w:val="Tabletext"/>
              <w:rPr>
                <w:b/>
                <w:sz w:val="24"/>
              </w:rPr>
            </w:pPr>
            <w:r w:rsidRPr="00FF51D6">
              <w:rPr>
                <w:b/>
                <w:sz w:val="24"/>
              </w:rPr>
              <w:t> </w:t>
            </w:r>
          </w:p>
        </w:tc>
        <w:tc>
          <w:tcPr>
            <w:tcW w:w="709" w:type="dxa"/>
            <w:tcBorders>
              <w:top w:val="nil"/>
              <w:left w:val="nil"/>
              <w:bottom w:val="nil"/>
              <w:right w:val="nil"/>
            </w:tcBorders>
            <w:shd w:val="clear" w:color="000000" w:fill="C0C0C0"/>
            <w:noWrap/>
            <w:vAlign w:val="center"/>
            <w:hideMark/>
          </w:tcPr>
          <w:p w14:paraId="2DAC0C3F" w14:textId="77777777" w:rsidR="00133DF3" w:rsidRPr="00FF51D6" w:rsidRDefault="00133DF3" w:rsidP="001005A8">
            <w:pPr>
              <w:pStyle w:val="Tabletext"/>
              <w:rPr>
                <w:b/>
                <w:sz w:val="24"/>
              </w:rPr>
            </w:pPr>
            <w:r w:rsidRPr="00FF51D6">
              <w:rPr>
                <w:b/>
                <w:sz w:val="24"/>
              </w:rPr>
              <w:t> </w:t>
            </w:r>
          </w:p>
        </w:tc>
        <w:tc>
          <w:tcPr>
            <w:tcW w:w="709" w:type="dxa"/>
            <w:tcBorders>
              <w:top w:val="nil"/>
              <w:left w:val="nil"/>
              <w:bottom w:val="nil"/>
              <w:right w:val="nil"/>
            </w:tcBorders>
            <w:shd w:val="clear" w:color="000000" w:fill="C0C0C0"/>
            <w:noWrap/>
            <w:vAlign w:val="center"/>
            <w:hideMark/>
          </w:tcPr>
          <w:p w14:paraId="3C5E8A67" w14:textId="77777777" w:rsidR="00133DF3" w:rsidRPr="00FF51D6" w:rsidRDefault="00133DF3" w:rsidP="001005A8">
            <w:pPr>
              <w:pStyle w:val="Tabletext"/>
              <w:rPr>
                <w:b/>
                <w:sz w:val="24"/>
              </w:rPr>
            </w:pPr>
            <w:r w:rsidRPr="00FF51D6">
              <w:rPr>
                <w:b/>
                <w:sz w:val="24"/>
              </w:rPr>
              <w:t> </w:t>
            </w:r>
          </w:p>
        </w:tc>
        <w:tc>
          <w:tcPr>
            <w:tcW w:w="708" w:type="dxa"/>
            <w:tcBorders>
              <w:top w:val="nil"/>
              <w:left w:val="nil"/>
              <w:bottom w:val="nil"/>
              <w:right w:val="nil"/>
            </w:tcBorders>
            <w:shd w:val="clear" w:color="000000" w:fill="C0C0C0"/>
            <w:noWrap/>
            <w:vAlign w:val="center"/>
            <w:hideMark/>
          </w:tcPr>
          <w:p w14:paraId="11F07021" w14:textId="77777777" w:rsidR="00133DF3" w:rsidRPr="00FF51D6" w:rsidRDefault="00133DF3" w:rsidP="001005A8">
            <w:pPr>
              <w:pStyle w:val="Tabletext"/>
              <w:rPr>
                <w:b/>
                <w:sz w:val="24"/>
              </w:rPr>
            </w:pPr>
            <w:r w:rsidRPr="00FF51D6">
              <w:rPr>
                <w:b/>
                <w:sz w:val="24"/>
              </w:rPr>
              <w:t> </w:t>
            </w:r>
          </w:p>
        </w:tc>
        <w:tc>
          <w:tcPr>
            <w:tcW w:w="661" w:type="dxa"/>
            <w:tcBorders>
              <w:top w:val="nil"/>
              <w:left w:val="nil"/>
              <w:bottom w:val="nil"/>
              <w:right w:val="nil"/>
            </w:tcBorders>
            <w:shd w:val="clear" w:color="000000" w:fill="C0C0C0"/>
            <w:noWrap/>
            <w:vAlign w:val="center"/>
            <w:hideMark/>
          </w:tcPr>
          <w:p w14:paraId="500A6C3E" w14:textId="77777777" w:rsidR="00133DF3" w:rsidRPr="00FF51D6" w:rsidRDefault="00133DF3" w:rsidP="001005A8">
            <w:pPr>
              <w:pStyle w:val="Tabletext"/>
              <w:rPr>
                <w:b/>
                <w:sz w:val="24"/>
              </w:rPr>
            </w:pPr>
            <w:r w:rsidRPr="00FF51D6">
              <w:rPr>
                <w:b/>
                <w:sz w:val="24"/>
              </w:rPr>
              <w:t> </w:t>
            </w:r>
          </w:p>
        </w:tc>
        <w:tc>
          <w:tcPr>
            <w:tcW w:w="661" w:type="dxa"/>
            <w:tcBorders>
              <w:top w:val="nil"/>
              <w:left w:val="nil"/>
              <w:bottom w:val="nil"/>
              <w:right w:val="nil"/>
            </w:tcBorders>
            <w:shd w:val="clear" w:color="000000" w:fill="C0C0C0"/>
            <w:noWrap/>
            <w:vAlign w:val="center"/>
            <w:hideMark/>
          </w:tcPr>
          <w:p w14:paraId="3AE76096" w14:textId="77777777" w:rsidR="00133DF3" w:rsidRPr="00FF51D6" w:rsidRDefault="00133DF3" w:rsidP="001005A8">
            <w:pPr>
              <w:pStyle w:val="Tabletext"/>
              <w:rPr>
                <w:b/>
                <w:sz w:val="24"/>
              </w:rPr>
            </w:pPr>
            <w:r w:rsidRPr="00FF51D6">
              <w:rPr>
                <w:b/>
                <w:sz w:val="24"/>
              </w:rPr>
              <w:t> </w:t>
            </w:r>
          </w:p>
        </w:tc>
      </w:tr>
      <w:tr w:rsidR="00133DF3" w:rsidRPr="00932A71" w14:paraId="5CA1FF83" w14:textId="77777777" w:rsidTr="00133DF3">
        <w:trPr>
          <w:trHeight w:val="227"/>
          <w:jc w:val="center"/>
        </w:trPr>
        <w:tc>
          <w:tcPr>
            <w:tcW w:w="4678" w:type="dxa"/>
            <w:tcBorders>
              <w:top w:val="nil"/>
              <w:left w:val="nil"/>
              <w:bottom w:val="single" w:sz="4" w:space="0" w:color="FFFFFF"/>
              <w:right w:val="nil"/>
            </w:tcBorders>
            <w:shd w:val="clear" w:color="000000" w:fill="F2F2F2"/>
            <w:vAlign w:val="center"/>
            <w:hideMark/>
          </w:tcPr>
          <w:p w14:paraId="68DA1C90" w14:textId="77777777" w:rsidR="00133DF3" w:rsidRPr="00932A71" w:rsidRDefault="00133DF3" w:rsidP="001005A8">
            <w:pPr>
              <w:pStyle w:val="Tabletext"/>
            </w:pPr>
            <w:r w:rsidRPr="00932A71">
              <w:t>1. Disbursements of RRF loans from EU</w:t>
            </w:r>
          </w:p>
        </w:tc>
        <w:tc>
          <w:tcPr>
            <w:tcW w:w="858" w:type="dxa"/>
            <w:tcBorders>
              <w:top w:val="nil"/>
              <w:left w:val="nil"/>
              <w:bottom w:val="single" w:sz="4" w:space="0" w:color="FFFFFF"/>
              <w:right w:val="nil"/>
            </w:tcBorders>
            <w:shd w:val="clear" w:color="000000" w:fill="F2F2F2"/>
            <w:vAlign w:val="center"/>
            <w:hideMark/>
          </w:tcPr>
          <w:p w14:paraId="1286B607" w14:textId="77777777" w:rsidR="00133DF3" w:rsidRPr="00932A71" w:rsidRDefault="00133DF3" w:rsidP="001005A8">
            <w:pPr>
              <w:pStyle w:val="Tabletext"/>
            </w:pPr>
            <w:r w:rsidRPr="00932A71">
              <w:t>0.9</w:t>
            </w:r>
          </w:p>
        </w:tc>
        <w:tc>
          <w:tcPr>
            <w:tcW w:w="709" w:type="dxa"/>
            <w:tcBorders>
              <w:top w:val="nil"/>
              <w:left w:val="nil"/>
              <w:bottom w:val="single" w:sz="4" w:space="0" w:color="FFFFFF"/>
              <w:right w:val="nil"/>
            </w:tcBorders>
            <w:shd w:val="clear" w:color="000000" w:fill="F2F2F2"/>
            <w:vAlign w:val="center"/>
            <w:hideMark/>
          </w:tcPr>
          <w:p w14:paraId="5501EBBB" w14:textId="77777777" w:rsidR="00133DF3" w:rsidRPr="00932A71" w:rsidRDefault="00133DF3" w:rsidP="001005A8">
            <w:pPr>
              <w:pStyle w:val="Tabletext"/>
            </w:pPr>
            <w:r w:rsidRPr="00932A71">
              <w:t>0.9</w:t>
            </w:r>
          </w:p>
        </w:tc>
        <w:tc>
          <w:tcPr>
            <w:tcW w:w="709" w:type="dxa"/>
            <w:tcBorders>
              <w:top w:val="nil"/>
              <w:left w:val="nil"/>
              <w:bottom w:val="single" w:sz="4" w:space="0" w:color="FFFFFF"/>
              <w:right w:val="nil"/>
            </w:tcBorders>
            <w:shd w:val="clear" w:color="000000" w:fill="F2F2F2"/>
            <w:vAlign w:val="center"/>
            <w:hideMark/>
          </w:tcPr>
          <w:p w14:paraId="45BD3FD2" w14:textId="77777777" w:rsidR="00133DF3" w:rsidRPr="00932A71" w:rsidRDefault="00133DF3" w:rsidP="001005A8">
            <w:pPr>
              <w:pStyle w:val="Tabletext"/>
            </w:pPr>
            <w:r w:rsidRPr="00932A71">
              <w:t>1.7</w:t>
            </w:r>
          </w:p>
        </w:tc>
        <w:tc>
          <w:tcPr>
            <w:tcW w:w="708" w:type="dxa"/>
            <w:tcBorders>
              <w:top w:val="nil"/>
              <w:left w:val="nil"/>
              <w:bottom w:val="single" w:sz="4" w:space="0" w:color="FFFFFF"/>
              <w:right w:val="nil"/>
            </w:tcBorders>
            <w:shd w:val="clear" w:color="000000" w:fill="F2F2F2"/>
            <w:vAlign w:val="center"/>
            <w:hideMark/>
          </w:tcPr>
          <w:p w14:paraId="084641CB" w14:textId="77777777" w:rsidR="00133DF3" w:rsidRPr="00932A71" w:rsidRDefault="00133DF3" w:rsidP="001005A8">
            <w:pPr>
              <w:pStyle w:val="Tabletext"/>
            </w:pPr>
            <w:r w:rsidRPr="00932A71">
              <w:t>1.0</w:t>
            </w:r>
          </w:p>
        </w:tc>
        <w:tc>
          <w:tcPr>
            <w:tcW w:w="661" w:type="dxa"/>
            <w:tcBorders>
              <w:top w:val="nil"/>
              <w:left w:val="nil"/>
              <w:bottom w:val="single" w:sz="4" w:space="0" w:color="FFFFFF"/>
              <w:right w:val="nil"/>
            </w:tcBorders>
            <w:shd w:val="clear" w:color="000000" w:fill="F2F2F2"/>
            <w:vAlign w:val="center"/>
            <w:hideMark/>
          </w:tcPr>
          <w:p w14:paraId="0A56CECF" w14:textId="77777777" w:rsidR="00133DF3" w:rsidRPr="00932A71" w:rsidRDefault="00133DF3" w:rsidP="001005A8">
            <w:pPr>
              <w:pStyle w:val="Tabletext"/>
            </w:pPr>
            <w:r w:rsidRPr="00932A71">
              <w:t>0.7</w:t>
            </w:r>
          </w:p>
        </w:tc>
        <w:tc>
          <w:tcPr>
            <w:tcW w:w="661" w:type="dxa"/>
            <w:tcBorders>
              <w:top w:val="nil"/>
              <w:left w:val="nil"/>
              <w:bottom w:val="single" w:sz="4" w:space="0" w:color="FFFFFF"/>
              <w:right w:val="nil"/>
            </w:tcBorders>
            <w:shd w:val="clear" w:color="000000" w:fill="F2F2F2"/>
            <w:vAlign w:val="center"/>
            <w:hideMark/>
          </w:tcPr>
          <w:p w14:paraId="3F48884E" w14:textId="77777777" w:rsidR="00133DF3" w:rsidRPr="00932A71" w:rsidRDefault="00133DF3" w:rsidP="001005A8">
            <w:pPr>
              <w:pStyle w:val="Tabletext"/>
            </w:pPr>
            <w:r w:rsidRPr="00932A71">
              <w:t>2.4</w:t>
            </w:r>
          </w:p>
        </w:tc>
      </w:tr>
      <w:tr w:rsidR="00133DF3" w:rsidRPr="00C14AE5" w14:paraId="6979B29B" w14:textId="77777777" w:rsidTr="00133DF3">
        <w:trPr>
          <w:trHeight w:val="227"/>
          <w:jc w:val="center"/>
        </w:trPr>
        <w:tc>
          <w:tcPr>
            <w:tcW w:w="4678" w:type="dxa"/>
            <w:tcBorders>
              <w:top w:val="nil"/>
              <w:left w:val="nil"/>
              <w:bottom w:val="single" w:sz="4" w:space="0" w:color="FFFFFF"/>
              <w:right w:val="nil"/>
            </w:tcBorders>
            <w:shd w:val="clear" w:color="000000" w:fill="D9D9D9"/>
            <w:vAlign w:val="center"/>
            <w:hideMark/>
          </w:tcPr>
          <w:p w14:paraId="4DD42300" w14:textId="77777777" w:rsidR="00133DF3" w:rsidRPr="00932A71" w:rsidRDefault="00133DF3" w:rsidP="001005A8">
            <w:pPr>
              <w:pStyle w:val="Tabletext"/>
            </w:pPr>
            <w:r w:rsidRPr="00932A71">
              <w:t>2. Repayment of RRF loans to EU</w:t>
            </w:r>
          </w:p>
        </w:tc>
        <w:tc>
          <w:tcPr>
            <w:tcW w:w="858" w:type="dxa"/>
            <w:tcBorders>
              <w:top w:val="nil"/>
              <w:left w:val="nil"/>
              <w:bottom w:val="single" w:sz="4" w:space="0" w:color="FFFFFF"/>
              <w:right w:val="nil"/>
            </w:tcBorders>
            <w:shd w:val="clear" w:color="000000" w:fill="D9D9D9"/>
            <w:vAlign w:val="center"/>
            <w:hideMark/>
          </w:tcPr>
          <w:p w14:paraId="5E4F8BBE"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D9D9D9"/>
            <w:vAlign w:val="center"/>
            <w:hideMark/>
          </w:tcPr>
          <w:p w14:paraId="2CB0E293"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D9D9D9"/>
            <w:vAlign w:val="center"/>
            <w:hideMark/>
          </w:tcPr>
          <w:p w14:paraId="18F0E01F" w14:textId="77777777" w:rsidR="00133DF3" w:rsidRPr="00932A71" w:rsidRDefault="00133DF3" w:rsidP="001005A8">
            <w:pPr>
              <w:pStyle w:val="Tabletext"/>
            </w:pPr>
            <w:r w:rsidRPr="00932A71">
              <w:t> </w:t>
            </w:r>
          </w:p>
        </w:tc>
        <w:tc>
          <w:tcPr>
            <w:tcW w:w="708" w:type="dxa"/>
            <w:tcBorders>
              <w:top w:val="nil"/>
              <w:left w:val="nil"/>
              <w:bottom w:val="single" w:sz="4" w:space="0" w:color="FFFFFF"/>
              <w:right w:val="nil"/>
            </w:tcBorders>
            <w:shd w:val="clear" w:color="000000" w:fill="D9D9D9"/>
            <w:vAlign w:val="center"/>
            <w:hideMark/>
          </w:tcPr>
          <w:p w14:paraId="6BD2BA02"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D9D9D9"/>
            <w:vAlign w:val="center"/>
            <w:hideMark/>
          </w:tcPr>
          <w:p w14:paraId="0E36DA23"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D9D9D9"/>
            <w:vAlign w:val="center"/>
            <w:hideMark/>
          </w:tcPr>
          <w:p w14:paraId="695B2A7B" w14:textId="77777777" w:rsidR="00133DF3" w:rsidRPr="00932A71" w:rsidRDefault="00133DF3" w:rsidP="001005A8">
            <w:pPr>
              <w:pStyle w:val="Tabletext"/>
            </w:pPr>
            <w:r w:rsidRPr="00932A71">
              <w:t> </w:t>
            </w:r>
          </w:p>
        </w:tc>
      </w:tr>
      <w:tr w:rsidR="00133DF3" w:rsidRPr="00C14AE5" w14:paraId="1D16308A" w14:textId="77777777" w:rsidTr="00133DF3">
        <w:trPr>
          <w:trHeight w:val="227"/>
          <w:jc w:val="center"/>
        </w:trPr>
        <w:tc>
          <w:tcPr>
            <w:tcW w:w="4678" w:type="dxa"/>
            <w:tcBorders>
              <w:top w:val="nil"/>
              <w:left w:val="nil"/>
              <w:bottom w:val="nil"/>
              <w:right w:val="nil"/>
            </w:tcBorders>
            <w:shd w:val="clear" w:color="000000" w:fill="BFBFBF"/>
            <w:vAlign w:val="center"/>
            <w:hideMark/>
          </w:tcPr>
          <w:p w14:paraId="7CC5E329" w14:textId="77777777" w:rsidR="00133DF3" w:rsidRPr="00FF51D6" w:rsidRDefault="00133DF3" w:rsidP="001005A8">
            <w:pPr>
              <w:pStyle w:val="Tabletext"/>
              <w:rPr>
                <w:b/>
                <w:sz w:val="24"/>
              </w:rPr>
            </w:pPr>
            <w:r w:rsidRPr="00FF51D6">
              <w:rPr>
                <w:b/>
                <w:sz w:val="24"/>
              </w:rPr>
              <w:t>Expenditure financed by RRF loans</w:t>
            </w:r>
          </w:p>
        </w:tc>
        <w:tc>
          <w:tcPr>
            <w:tcW w:w="858" w:type="dxa"/>
            <w:tcBorders>
              <w:top w:val="nil"/>
              <w:left w:val="nil"/>
              <w:bottom w:val="nil"/>
              <w:right w:val="nil"/>
            </w:tcBorders>
            <w:shd w:val="clear" w:color="000000" w:fill="C0C0C0"/>
            <w:noWrap/>
            <w:vAlign w:val="center"/>
            <w:hideMark/>
          </w:tcPr>
          <w:p w14:paraId="4EA88997" w14:textId="77777777" w:rsidR="00133DF3" w:rsidRPr="00FF51D6" w:rsidRDefault="00133DF3" w:rsidP="001005A8">
            <w:pPr>
              <w:pStyle w:val="Tabletext"/>
              <w:rPr>
                <w:b/>
                <w:sz w:val="24"/>
              </w:rPr>
            </w:pPr>
            <w:r w:rsidRPr="00FF51D6">
              <w:rPr>
                <w:b/>
                <w:sz w:val="24"/>
              </w:rPr>
              <w:t> </w:t>
            </w:r>
          </w:p>
        </w:tc>
        <w:tc>
          <w:tcPr>
            <w:tcW w:w="709" w:type="dxa"/>
            <w:tcBorders>
              <w:top w:val="nil"/>
              <w:left w:val="nil"/>
              <w:bottom w:val="nil"/>
              <w:right w:val="nil"/>
            </w:tcBorders>
            <w:shd w:val="clear" w:color="000000" w:fill="C0C0C0"/>
            <w:noWrap/>
            <w:vAlign w:val="center"/>
            <w:hideMark/>
          </w:tcPr>
          <w:p w14:paraId="32B33CB3" w14:textId="77777777" w:rsidR="00133DF3" w:rsidRPr="00FF51D6" w:rsidRDefault="00133DF3" w:rsidP="001005A8">
            <w:pPr>
              <w:pStyle w:val="Tabletext"/>
              <w:rPr>
                <w:b/>
                <w:sz w:val="24"/>
              </w:rPr>
            </w:pPr>
            <w:r w:rsidRPr="00FF51D6">
              <w:rPr>
                <w:b/>
                <w:sz w:val="24"/>
              </w:rPr>
              <w:t> </w:t>
            </w:r>
          </w:p>
        </w:tc>
        <w:tc>
          <w:tcPr>
            <w:tcW w:w="709" w:type="dxa"/>
            <w:tcBorders>
              <w:top w:val="nil"/>
              <w:left w:val="nil"/>
              <w:bottom w:val="nil"/>
              <w:right w:val="nil"/>
            </w:tcBorders>
            <w:shd w:val="clear" w:color="000000" w:fill="C0C0C0"/>
            <w:noWrap/>
            <w:vAlign w:val="center"/>
            <w:hideMark/>
          </w:tcPr>
          <w:p w14:paraId="212C6683" w14:textId="77777777" w:rsidR="00133DF3" w:rsidRPr="00FF51D6" w:rsidRDefault="00133DF3" w:rsidP="001005A8">
            <w:pPr>
              <w:pStyle w:val="Tabletext"/>
              <w:rPr>
                <w:b/>
                <w:sz w:val="24"/>
              </w:rPr>
            </w:pPr>
            <w:r w:rsidRPr="00FF51D6">
              <w:rPr>
                <w:b/>
                <w:sz w:val="24"/>
              </w:rPr>
              <w:t> </w:t>
            </w:r>
          </w:p>
        </w:tc>
        <w:tc>
          <w:tcPr>
            <w:tcW w:w="708" w:type="dxa"/>
            <w:tcBorders>
              <w:top w:val="nil"/>
              <w:left w:val="nil"/>
              <w:bottom w:val="nil"/>
              <w:right w:val="nil"/>
            </w:tcBorders>
            <w:shd w:val="clear" w:color="000000" w:fill="C0C0C0"/>
            <w:noWrap/>
            <w:vAlign w:val="center"/>
            <w:hideMark/>
          </w:tcPr>
          <w:p w14:paraId="3F656E01" w14:textId="77777777" w:rsidR="00133DF3" w:rsidRPr="00FF51D6" w:rsidRDefault="00133DF3" w:rsidP="001005A8">
            <w:pPr>
              <w:pStyle w:val="Tabletext"/>
              <w:rPr>
                <w:b/>
                <w:sz w:val="24"/>
              </w:rPr>
            </w:pPr>
            <w:r w:rsidRPr="00FF51D6">
              <w:rPr>
                <w:b/>
                <w:sz w:val="24"/>
              </w:rPr>
              <w:t> </w:t>
            </w:r>
          </w:p>
        </w:tc>
        <w:tc>
          <w:tcPr>
            <w:tcW w:w="661" w:type="dxa"/>
            <w:tcBorders>
              <w:top w:val="nil"/>
              <w:left w:val="nil"/>
              <w:bottom w:val="nil"/>
              <w:right w:val="nil"/>
            </w:tcBorders>
            <w:shd w:val="clear" w:color="000000" w:fill="C0C0C0"/>
            <w:noWrap/>
            <w:vAlign w:val="center"/>
            <w:hideMark/>
          </w:tcPr>
          <w:p w14:paraId="313A01F8" w14:textId="77777777" w:rsidR="00133DF3" w:rsidRPr="00FF51D6" w:rsidRDefault="00133DF3" w:rsidP="001005A8">
            <w:pPr>
              <w:pStyle w:val="Tabletext"/>
              <w:rPr>
                <w:b/>
                <w:sz w:val="24"/>
              </w:rPr>
            </w:pPr>
            <w:r w:rsidRPr="00FF51D6">
              <w:rPr>
                <w:b/>
                <w:sz w:val="24"/>
              </w:rPr>
              <w:t> </w:t>
            </w:r>
          </w:p>
        </w:tc>
        <w:tc>
          <w:tcPr>
            <w:tcW w:w="661" w:type="dxa"/>
            <w:tcBorders>
              <w:top w:val="nil"/>
              <w:left w:val="nil"/>
              <w:bottom w:val="nil"/>
              <w:right w:val="nil"/>
            </w:tcBorders>
            <w:shd w:val="clear" w:color="000000" w:fill="C0C0C0"/>
            <w:noWrap/>
            <w:vAlign w:val="center"/>
            <w:hideMark/>
          </w:tcPr>
          <w:p w14:paraId="196A4643" w14:textId="77777777" w:rsidR="00133DF3" w:rsidRPr="00FF51D6" w:rsidRDefault="00133DF3" w:rsidP="001005A8">
            <w:pPr>
              <w:pStyle w:val="Tabletext"/>
              <w:rPr>
                <w:b/>
                <w:sz w:val="24"/>
              </w:rPr>
            </w:pPr>
            <w:r w:rsidRPr="00FF51D6">
              <w:rPr>
                <w:b/>
                <w:sz w:val="24"/>
              </w:rPr>
              <w:t> </w:t>
            </w:r>
          </w:p>
        </w:tc>
      </w:tr>
      <w:tr w:rsidR="00133DF3" w:rsidRPr="00932A71" w14:paraId="01675FB4" w14:textId="77777777" w:rsidTr="00133DF3">
        <w:trPr>
          <w:trHeight w:val="227"/>
          <w:jc w:val="center"/>
        </w:trPr>
        <w:tc>
          <w:tcPr>
            <w:tcW w:w="4678" w:type="dxa"/>
            <w:tcBorders>
              <w:top w:val="nil"/>
              <w:left w:val="nil"/>
              <w:bottom w:val="single" w:sz="4" w:space="0" w:color="FFFFFF"/>
              <w:right w:val="nil"/>
            </w:tcBorders>
            <w:shd w:val="clear" w:color="000000" w:fill="F2F2F2"/>
            <w:vAlign w:val="center"/>
            <w:hideMark/>
          </w:tcPr>
          <w:p w14:paraId="7750DA72" w14:textId="77777777" w:rsidR="00133DF3" w:rsidRPr="00932A71" w:rsidRDefault="00133DF3" w:rsidP="001005A8">
            <w:pPr>
              <w:pStyle w:val="Tabletext"/>
            </w:pPr>
            <w:r w:rsidRPr="00932A71">
              <w:t>3. Total current expenditure</w:t>
            </w:r>
          </w:p>
        </w:tc>
        <w:tc>
          <w:tcPr>
            <w:tcW w:w="858" w:type="dxa"/>
            <w:tcBorders>
              <w:top w:val="nil"/>
              <w:left w:val="nil"/>
              <w:bottom w:val="single" w:sz="4" w:space="0" w:color="FFFFFF"/>
              <w:right w:val="nil"/>
            </w:tcBorders>
            <w:shd w:val="clear" w:color="000000" w:fill="F2F2F2"/>
            <w:vAlign w:val="center"/>
            <w:hideMark/>
          </w:tcPr>
          <w:p w14:paraId="73D95015" w14:textId="77777777" w:rsidR="00133DF3" w:rsidRPr="00932A71" w:rsidRDefault="00133DF3" w:rsidP="001005A8">
            <w:pPr>
              <w:pStyle w:val="Tabletext"/>
            </w:pPr>
            <w:r w:rsidRPr="00932A71">
              <w:t>0.0</w:t>
            </w:r>
          </w:p>
        </w:tc>
        <w:tc>
          <w:tcPr>
            <w:tcW w:w="709" w:type="dxa"/>
            <w:tcBorders>
              <w:top w:val="nil"/>
              <w:left w:val="nil"/>
              <w:bottom w:val="single" w:sz="4" w:space="0" w:color="FFFFFF"/>
              <w:right w:val="nil"/>
            </w:tcBorders>
            <w:shd w:val="clear" w:color="000000" w:fill="F2F2F2"/>
            <w:vAlign w:val="center"/>
            <w:hideMark/>
          </w:tcPr>
          <w:p w14:paraId="72E21B74" w14:textId="77777777" w:rsidR="00133DF3" w:rsidRPr="00932A71" w:rsidRDefault="00133DF3" w:rsidP="001005A8">
            <w:pPr>
              <w:pStyle w:val="Tabletext"/>
            </w:pPr>
            <w:r w:rsidRPr="00932A71">
              <w:t>0.0</w:t>
            </w:r>
          </w:p>
        </w:tc>
        <w:tc>
          <w:tcPr>
            <w:tcW w:w="709" w:type="dxa"/>
            <w:tcBorders>
              <w:top w:val="nil"/>
              <w:left w:val="nil"/>
              <w:bottom w:val="single" w:sz="4" w:space="0" w:color="FFFFFF"/>
              <w:right w:val="nil"/>
            </w:tcBorders>
            <w:shd w:val="clear" w:color="000000" w:fill="F2F2F2"/>
            <w:vAlign w:val="center"/>
            <w:hideMark/>
          </w:tcPr>
          <w:p w14:paraId="67442BA5" w14:textId="77777777" w:rsidR="00133DF3" w:rsidRPr="00932A71" w:rsidRDefault="00133DF3" w:rsidP="001005A8">
            <w:pPr>
              <w:pStyle w:val="Tabletext"/>
            </w:pPr>
            <w:r w:rsidRPr="00932A71">
              <w:t>0.0</w:t>
            </w:r>
          </w:p>
        </w:tc>
        <w:tc>
          <w:tcPr>
            <w:tcW w:w="708" w:type="dxa"/>
            <w:tcBorders>
              <w:top w:val="nil"/>
              <w:left w:val="nil"/>
              <w:bottom w:val="single" w:sz="4" w:space="0" w:color="FFFFFF"/>
              <w:right w:val="nil"/>
            </w:tcBorders>
            <w:shd w:val="clear" w:color="000000" w:fill="F2F2F2"/>
            <w:vAlign w:val="center"/>
            <w:hideMark/>
          </w:tcPr>
          <w:p w14:paraId="3D4B588B" w14:textId="77777777" w:rsidR="00133DF3" w:rsidRPr="00932A71" w:rsidRDefault="00133DF3" w:rsidP="001005A8">
            <w:pPr>
              <w:pStyle w:val="Tabletext"/>
            </w:pPr>
            <w:r w:rsidRPr="00932A71">
              <w:t>0.0</w:t>
            </w:r>
          </w:p>
        </w:tc>
        <w:tc>
          <w:tcPr>
            <w:tcW w:w="661" w:type="dxa"/>
            <w:tcBorders>
              <w:top w:val="nil"/>
              <w:left w:val="nil"/>
              <w:bottom w:val="single" w:sz="4" w:space="0" w:color="FFFFFF"/>
              <w:right w:val="nil"/>
            </w:tcBorders>
            <w:shd w:val="clear" w:color="000000" w:fill="F2F2F2"/>
            <w:vAlign w:val="center"/>
            <w:hideMark/>
          </w:tcPr>
          <w:p w14:paraId="0E90B327" w14:textId="77777777" w:rsidR="00133DF3" w:rsidRPr="00932A71" w:rsidRDefault="00133DF3" w:rsidP="001005A8">
            <w:pPr>
              <w:pStyle w:val="Tabletext"/>
            </w:pPr>
            <w:r w:rsidRPr="00932A71">
              <w:t>0.0</w:t>
            </w:r>
          </w:p>
        </w:tc>
        <w:tc>
          <w:tcPr>
            <w:tcW w:w="661" w:type="dxa"/>
            <w:tcBorders>
              <w:top w:val="nil"/>
              <w:left w:val="nil"/>
              <w:bottom w:val="single" w:sz="4" w:space="0" w:color="FFFFFF"/>
              <w:right w:val="nil"/>
            </w:tcBorders>
            <w:shd w:val="clear" w:color="000000" w:fill="F2F2F2"/>
            <w:vAlign w:val="center"/>
            <w:hideMark/>
          </w:tcPr>
          <w:p w14:paraId="60358CCC" w14:textId="77777777" w:rsidR="00133DF3" w:rsidRPr="00932A71" w:rsidRDefault="00133DF3" w:rsidP="001005A8">
            <w:pPr>
              <w:pStyle w:val="Tabletext"/>
            </w:pPr>
            <w:r w:rsidRPr="00932A71">
              <w:t>0.1</w:t>
            </w:r>
          </w:p>
        </w:tc>
      </w:tr>
      <w:tr w:rsidR="00133DF3" w:rsidRPr="00932A71" w14:paraId="1DBBD9C1" w14:textId="77777777" w:rsidTr="00133DF3">
        <w:trPr>
          <w:trHeight w:val="227"/>
          <w:jc w:val="center"/>
        </w:trPr>
        <w:tc>
          <w:tcPr>
            <w:tcW w:w="4678" w:type="dxa"/>
            <w:tcBorders>
              <w:top w:val="nil"/>
              <w:left w:val="nil"/>
              <w:bottom w:val="single" w:sz="4" w:space="0" w:color="FFFFFF"/>
              <w:right w:val="nil"/>
            </w:tcBorders>
            <w:shd w:val="clear" w:color="000000" w:fill="D9D9D9"/>
            <w:vAlign w:val="center"/>
            <w:hideMark/>
          </w:tcPr>
          <w:p w14:paraId="75CF3DF3" w14:textId="77777777" w:rsidR="00133DF3" w:rsidRPr="00932A71" w:rsidRDefault="00133DF3" w:rsidP="001005A8">
            <w:pPr>
              <w:pStyle w:val="Tabletext"/>
            </w:pPr>
            <w:r w:rsidRPr="00932A71">
              <w:t>4. Gross fixed capital formation</w:t>
            </w:r>
          </w:p>
        </w:tc>
        <w:tc>
          <w:tcPr>
            <w:tcW w:w="858" w:type="dxa"/>
            <w:tcBorders>
              <w:top w:val="nil"/>
              <w:left w:val="nil"/>
              <w:bottom w:val="single" w:sz="4" w:space="0" w:color="FFFFFF"/>
              <w:right w:val="nil"/>
            </w:tcBorders>
            <w:shd w:val="clear" w:color="000000" w:fill="D9D9D9"/>
            <w:vAlign w:val="center"/>
            <w:hideMark/>
          </w:tcPr>
          <w:p w14:paraId="2A889103"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D9D9D9"/>
            <w:vAlign w:val="center"/>
            <w:hideMark/>
          </w:tcPr>
          <w:p w14:paraId="542FD729"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D9D9D9"/>
            <w:vAlign w:val="center"/>
            <w:hideMark/>
          </w:tcPr>
          <w:p w14:paraId="4A5E2D24" w14:textId="77777777" w:rsidR="00133DF3" w:rsidRPr="00932A71" w:rsidRDefault="00133DF3" w:rsidP="001005A8">
            <w:pPr>
              <w:pStyle w:val="Tabletext"/>
            </w:pPr>
            <w:r w:rsidRPr="00932A71">
              <w:t> </w:t>
            </w:r>
          </w:p>
        </w:tc>
        <w:tc>
          <w:tcPr>
            <w:tcW w:w="708" w:type="dxa"/>
            <w:tcBorders>
              <w:top w:val="nil"/>
              <w:left w:val="nil"/>
              <w:bottom w:val="single" w:sz="4" w:space="0" w:color="FFFFFF"/>
              <w:right w:val="nil"/>
            </w:tcBorders>
            <w:shd w:val="clear" w:color="000000" w:fill="D9D9D9"/>
            <w:vAlign w:val="center"/>
            <w:hideMark/>
          </w:tcPr>
          <w:p w14:paraId="19F6917A"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D9D9D9"/>
            <w:vAlign w:val="center"/>
            <w:hideMark/>
          </w:tcPr>
          <w:p w14:paraId="2337AF2B"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D9D9D9"/>
            <w:vAlign w:val="center"/>
            <w:hideMark/>
          </w:tcPr>
          <w:p w14:paraId="2A47C0CA" w14:textId="77777777" w:rsidR="00133DF3" w:rsidRPr="00932A71" w:rsidRDefault="00133DF3" w:rsidP="001005A8">
            <w:pPr>
              <w:pStyle w:val="Tabletext"/>
            </w:pPr>
            <w:r w:rsidRPr="00932A71">
              <w:t> </w:t>
            </w:r>
          </w:p>
        </w:tc>
      </w:tr>
      <w:tr w:rsidR="00133DF3" w:rsidRPr="00932A71" w14:paraId="232421EC" w14:textId="77777777" w:rsidTr="00133DF3">
        <w:trPr>
          <w:trHeight w:val="227"/>
          <w:jc w:val="center"/>
        </w:trPr>
        <w:tc>
          <w:tcPr>
            <w:tcW w:w="4678" w:type="dxa"/>
            <w:tcBorders>
              <w:top w:val="nil"/>
              <w:left w:val="nil"/>
              <w:bottom w:val="single" w:sz="4" w:space="0" w:color="FFFFFF"/>
              <w:right w:val="nil"/>
            </w:tcBorders>
            <w:shd w:val="clear" w:color="000000" w:fill="F2F2F2"/>
            <w:vAlign w:val="center"/>
            <w:hideMark/>
          </w:tcPr>
          <w:p w14:paraId="4A9D88D2" w14:textId="77777777" w:rsidR="00133DF3" w:rsidRPr="00932A71" w:rsidRDefault="00133DF3" w:rsidP="001005A8">
            <w:pPr>
              <w:pStyle w:val="Tabletext"/>
            </w:pPr>
            <w:r w:rsidRPr="00932A71">
              <w:t>5. Other capital expenditure</w:t>
            </w:r>
          </w:p>
        </w:tc>
        <w:tc>
          <w:tcPr>
            <w:tcW w:w="858" w:type="dxa"/>
            <w:tcBorders>
              <w:top w:val="nil"/>
              <w:left w:val="nil"/>
              <w:bottom w:val="single" w:sz="4" w:space="0" w:color="FFFFFF"/>
              <w:right w:val="nil"/>
            </w:tcBorders>
            <w:shd w:val="clear" w:color="000000" w:fill="F2F2F2"/>
            <w:vAlign w:val="center"/>
            <w:hideMark/>
          </w:tcPr>
          <w:p w14:paraId="1896B39D"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F2F2F2"/>
            <w:vAlign w:val="center"/>
            <w:hideMark/>
          </w:tcPr>
          <w:p w14:paraId="687540E9"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F2F2F2"/>
            <w:vAlign w:val="center"/>
            <w:hideMark/>
          </w:tcPr>
          <w:p w14:paraId="7548114B" w14:textId="77777777" w:rsidR="00133DF3" w:rsidRPr="00932A71" w:rsidRDefault="00133DF3" w:rsidP="001005A8">
            <w:pPr>
              <w:pStyle w:val="Tabletext"/>
            </w:pPr>
            <w:r w:rsidRPr="00932A71">
              <w:t> </w:t>
            </w:r>
          </w:p>
        </w:tc>
        <w:tc>
          <w:tcPr>
            <w:tcW w:w="708" w:type="dxa"/>
            <w:tcBorders>
              <w:top w:val="nil"/>
              <w:left w:val="nil"/>
              <w:bottom w:val="single" w:sz="4" w:space="0" w:color="FFFFFF"/>
              <w:right w:val="nil"/>
            </w:tcBorders>
            <w:shd w:val="clear" w:color="000000" w:fill="F2F2F2"/>
            <w:vAlign w:val="center"/>
            <w:hideMark/>
          </w:tcPr>
          <w:p w14:paraId="68CC649A"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F2F2F2"/>
            <w:vAlign w:val="center"/>
            <w:hideMark/>
          </w:tcPr>
          <w:p w14:paraId="043C599E"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F2F2F2"/>
            <w:vAlign w:val="center"/>
            <w:hideMark/>
          </w:tcPr>
          <w:p w14:paraId="1A46A492" w14:textId="77777777" w:rsidR="00133DF3" w:rsidRPr="00932A71" w:rsidRDefault="00133DF3" w:rsidP="001005A8">
            <w:pPr>
              <w:pStyle w:val="Tabletext"/>
            </w:pPr>
            <w:r w:rsidRPr="00932A71">
              <w:t> </w:t>
            </w:r>
          </w:p>
        </w:tc>
      </w:tr>
      <w:tr w:rsidR="00133DF3" w:rsidRPr="00932A71" w14:paraId="3BECA13B" w14:textId="77777777" w:rsidTr="00133DF3">
        <w:trPr>
          <w:trHeight w:val="227"/>
          <w:jc w:val="center"/>
        </w:trPr>
        <w:tc>
          <w:tcPr>
            <w:tcW w:w="4678" w:type="dxa"/>
            <w:tcBorders>
              <w:top w:val="nil"/>
              <w:left w:val="nil"/>
              <w:bottom w:val="single" w:sz="4" w:space="0" w:color="FFFFFF"/>
              <w:right w:val="nil"/>
            </w:tcBorders>
            <w:shd w:val="clear" w:color="000000" w:fill="D9D9D9"/>
            <w:vAlign w:val="center"/>
            <w:hideMark/>
          </w:tcPr>
          <w:p w14:paraId="3C362D02" w14:textId="77777777" w:rsidR="00133DF3" w:rsidRPr="00932A71" w:rsidRDefault="00133DF3" w:rsidP="001005A8">
            <w:pPr>
              <w:pStyle w:val="Tabletext"/>
            </w:pPr>
            <w:r w:rsidRPr="00932A71">
              <w:t>6. Total capital expenditure (4+5)</w:t>
            </w:r>
          </w:p>
        </w:tc>
        <w:tc>
          <w:tcPr>
            <w:tcW w:w="858" w:type="dxa"/>
            <w:tcBorders>
              <w:top w:val="nil"/>
              <w:left w:val="nil"/>
              <w:bottom w:val="single" w:sz="4" w:space="0" w:color="FFFFFF"/>
              <w:right w:val="nil"/>
            </w:tcBorders>
            <w:shd w:val="clear" w:color="000000" w:fill="D9D9D9"/>
            <w:vAlign w:val="center"/>
            <w:hideMark/>
          </w:tcPr>
          <w:p w14:paraId="05696A24"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D9D9D9"/>
            <w:vAlign w:val="center"/>
            <w:hideMark/>
          </w:tcPr>
          <w:p w14:paraId="38199456"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D9D9D9"/>
            <w:vAlign w:val="center"/>
            <w:hideMark/>
          </w:tcPr>
          <w:p w14:paraId="485C75FE" w14:textId="77777777" w:rsidR="00133DF3" w:rsidRPr="00932A71" w:rsidRDefault="00133DF3" w:rsidP="001005A8">
            <w:pPr>
              <w:pStyle w:val="Tabletext"/>
            </w:pPr>
            <w:r w:rsidRPr="00932A71">
              <w:t> </w:t>
            </w:r>
          </w:p>
        </w:tc>
        <w:tc>
          <w:tcPr>
            <w:tcW w:w="708" w:type="dxa"/>
            <w:tcBorders>
              <w:top w:val="nil"/>
              <w:left w:val="nil"/>
              <w:bottom w:val="single" w:sz="4" w:space="0" w:color="FFFFFF"/>
              <w:right w:val="nil"/>
            </w:tcBorders>
            <w:shd w:val="clear" w:color="000000" w:fill="D9D9D9"/>
            <w:vAlign w:val="center"/>
            <w:hideMark/>
          </w:tcPr>
          <w:p w14:paraId="1E276772"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D9D9D9"/>
            <w:vAlign w:val="center"/>
            <w:hideMark/>
          </w:tcPr>
          <w:p w14:paraId="68B82F8B"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D9D9D9"/>
            <w:vAlign w:val="center"/>
            <w:hideMark/>
          </w:tcPr>
          <w:p w14:paraId="7D04CAFF" w14:textId="77777777" w:rsidR="00133DF3" w:rsidRPr="00932A71" w:rsidRDefault="00133DF3" w:rsidP="001005A8">
            <w:pPr>
              <w:pStyle w:val="Tabletext"/>
            </w:pPr>
            <w:r w:rsidRPr="00932A71">
              <w:t> </w:t>
            </w:r>
          </w:p>
        </w:tc>
      </w:tr>
      <w:tr w:rsidR="00133DF3" w:rsidRPr="00C14AE5" w14:paraId="6F0C07BB" w14:textId="77777777" w:rsidTr="00133DF3">
        <w:trPr>
          <w:trHeight w:val="227"/>
          <w:jc w:val="center"/>
        </w:trPr>
        <w:tc>
          <w:tcPr>
            <w:tcW w:w="4678" w:type="dxa"/>
            <w:tcBorders>
              <w:top w:val="nil"/>
              <w:left w:val="nil"/>
              <w:bottom w:val="nil"/>
              <w:right w:val="nil"/>
            </w:tcBorders>
            <w:shd w:val="clear" w:color="000000" w:fill="BFBFBF"/>
            <w:vAlign w:val="center"/>
            <w:hideMark/>
          </w:tcPr>
          <w:p w14:paraId="7FF2335D" w14:textId="77777777" w:rsidR="00133DF3" w:rsidRPr="00FF51D6" w:rsidRDefault="00133DF3" w:rsidP="001005A8">
            <w:pPr>
              <w:pStyle w:val="Tabletext"/>
              <w:rPr>
                <w:b/>
                <w:sz w:val="24"/>
              </w:rPr>
            </w:pPr>
            <w:r w:rsidRPr="00FF51D6">
              <w:rPr>
                <w:b/>
                <w:sz w:val="24"/>
              </w:rPr>
              <w:t>Other costs financed by RRF loans</w:t>
            </w:r>
          </w:p>
        </w:tc>
        <w:tc>
          <w:tcPr>
            <w:tcW w:w="858" w:type="dxa"/>
            <w:tcBorders>
              <w:top w:val="nil"/>
              <w:left w:val="nil"/>
              <w:bottom w:val="nil"/>
              <w:right w:val="nil"/>
            </w:tcBorders>
            <w:shd w:val="clear" w:color="000000" w:fill="C0C0C0"/>
            <w:noWrap/>
            <w:vAlign w:val="center"/>
            <w:hideMark/>
          </w:tcPr>
          <w:p w14:paraId="09A97C50" w14:textId="77777777" w:rsidR="00133DF3" w:rsidRPr="00FF51D6" w:rsidRDefault="00133DF3" w:rsidP="001005A8">
            <w:pPr>
              <w:pStyle w:val="Tabletext"/>
              <w:rPr>
                <w:b/>
                <w:sz w:val="24"/>
              </w:rPr>
            </w:pPr>
            <w:r w:rsidRPr="00FF51D6">
              <w:rPr>
                <w:b/>
                <w:sz w:val="24"/>
              </w:rPr>
              <w:t> </w:t>
            </w:r>
          </w:p>
        </w:tc>
        <w:tc>
          <w:tcPr>
            <w:tcW w:w="709" w:type="dxa"/>
            <w:tcBorders>
              <w:top w:val="nil"/>
              <w:left w:val="nil"/>
              <w:bottom w:val="nil"/>
              <w:right w:val="nil"/>
            </w:tcBorders>
            <w:shd w:val="clear" w:color="000000" w:fill="C0C0C0"/>
            <w:noWrap/>
            <w:vAlign w:val="center"/>
            <w:hideMark/>
          </w:tcPr>
          <w:p w14:paraId="4612B08D" w14:textId="77777777" w:rsidR="00133DF3" w:rsidRPr="00FF51D6" w:rsidRDefault="00133DF3" w:rsidP="001005A8">
            <w:pPr>
              <w:pStyle w:val="Tabletext"/>
              <w:rPr>
                <w:b/>
                <w:sz w:val="24"/>
              </w:rPr>
            </w:pPr>
            <w:r w:rsidRPr="00FF51D6">
              <w:rPr>
                <w:b/>
                <w:sz w:val="24"/>
              </w:rPr>
              <w:t> </w:t>
            </w:r>
          </w:p>
        </w:tc>
        <w:tc>
          <w:tcPr>
            <w:tcW w:w="709" w:type="dxa"/>
            <w:tcBorders>
              <w:top w:val="nil"/>
              <w:left w:val="nil"/>
              <w:bottom w:val="nil"/>
              <w:right w:val="nil"/>
            </w:tcBorders>
            <w:shd w:val="clear" w:color="000000" w:fill="C0C0C0"/>
            <w:noWrap/>
            <w:vAlign w:val="center"/>
            <w:hideMark/>
          </w:tcPr>
          <w:p w14:paraId="560BE07F" w14:textId="77777777" w:rsidR="00133DF3" w:rsidRPr="00FF51D6" w:rsidRDefault="00133DF3" w:rsidP="001005A8">
            <w:pPr>
              <w:pStyle w:val="Tabletext"/>
              <w:rPr>
                <w:b/>
                <w:sz w:val="24"/>
              </w:rPr>
            </w:pPr>
            <w:r w:rsidRPr="00FF51D6">
              <w:rPr>
                <w:b/>
                <w:sz w:val="24"/>
              </w:rPr>
              <w:t> </w:t>
            </w:r>
          </w:p>
        </w:tc>
        <w:tc>
          <w:tcPr>
            <w:tcW w:w="708" w:type="dxa"/>
            <w:tcBorders>
              <w:top w:val="nil"/>
              <w:left w:val="nil"/>
              <w:bottom w:val="nil"/>
              <w:right w:val="nil"/>
            </w:tcBorders>
            <w:shd w:val="clear" w:color="000000" w:fill="C0C0C0"/>
            <w:noWrap/>
            <w:vAlign w:val="center"/>
            <w:hideMark/>
          </w:tcPr>
          <w:p w14:paraId="20B048B9" w14:textId="77777777" w:rsidR="00133DF3" w:rsidRPr="00FF51D6" w:rsidRDefault="00133DF3" w:rsidP="001005A8">
            <w:pPr>
              <w:pStyle w:val="Tabletext"/>
              <w:rPr>
                <w:b/>
                <w:sz w:val="24"/>
              </w:rPr>
            </w:pPr>
            <w:r w:rsidRPr="00FF51D6">
              <w:rPr>
                <w:b/>
                <w:sz w:val="24"/>
              </w:rPr>
              <w:t> </w:t>
            </w:r>
          </w:p>
        </w:tc>
        <w:tc>
          <w:tcPr>
            <w:tcW w:w="661" w:type="dxa"/>
            <w:tcBorders>
              <w:top w:val="nil"/>
              <w:left w:val="nil"/>
              <w:bottom w:val="nil"/>
              <w:right w:val="nil"/>
            </w:tcBorders>
            <w:shd w:val="clear" w:color="000000" w:fill="C0C0C0"/>
            <w:noWrap/>
            <w:vAlign w:val="center"/>
            <w:hideMark/>
          </w:tcPr>
          <w:p w14:paraId="25E299DB" w14:textId="77777777" w:rsidR="00133DF3" w:rsidRPr="00FF51D6" w:rsidRDefault="00133DF3" w:rsidP="001005A8">
            <w:pPr>
              <w:pStyle w:val="Tabletext"/>
              <w:rPr>
                <w:b/>
                <w:sz w:val="24"/>
              </w:rPr>
            </w:pPr>
            <w:r w:rsidRPr="00FF51D6">
              <w:rPr>
                <w:b/>
                <w:sz w:val="24"/>
              </w:rPr>
              <w:t> </w:t>
            </w:r>
          </w:p>
        </w:tc>
        <w:tc>
          <w:tcPr>
            <w:tcW w:w="661" w:type="dxa"/>
            <w:tcBorders>
              <w:top w:val="nil"/>
              <w:left w:val="nil"/>
              <w:bottom w:val="nil"/>
              <w:right w:val="nil"/>
            </w:tcBorders>
            <w:shd w:val="clear" w:color="000000" w:fill="C0C0C0"/>
            <w:noWrap/>
            <w:vAlign w:val="center"/>
            <w:hideMark/>
          </w:tcPr>
          <w:p w14:paraId="01352654" w14:textId="77777777" w:rsidR="00133DF3" w:rsidRPr="00FF51D6" w:rsidRDefault="00133DF3" w:rsidP="001005A8">
            <w:pPr>
              <w:pStyle w:val="Tabletext"/>
              <w:rPr>
                <w:b/>
                <w:sz w:val="24"/>
              </w:rPr>
            </w:pPr>
            <w:r w:rsidRPr="00FF51D6">
              <w:rPr>
                <w:b/>
                <w:sz w:val="24"/>
              </w:rPr>
              <w:t> </w:t>
            </w:r>
          </w:p>
        </w:tc>
      </w:tr>
      <w:tr w:rsidR="00133DF3" w:rsidRPr="00932A71" w14:paraId="710698D9" w14:textId="77777777" w:rsidTr="00133DF3">
        <w:trPr>
          <w:trHeight w:val="227"/>
          <w:jc w:val="center"/>
        </w:trPr>
        <w:tc>
          <w:tcPr>
            <w:tcW w:w="4678" w:type="dxa"/>
            <w:tcBorders>
              <w:top w:val="nil"/>
              <w:left w:val="nil"/>
              <w:bottom w:val="single" w:sz="4" w:space="0" w:color="FFFFFF"/>
              <w:right w:val="nil"/>
            </w:tcBorders>
            <w:shd w:val="clear" w:color="000000" w:fill="F2F2F2"/>
            <w:vAlign w:val="center"/>
            <w:hideMark/>
          </w:tcPr>
          <w:p w14:paraId="3B917903" w14:textId="77777777" w:rsidR="00133DF3" w:rsidRPr="00932A71" w:rsidRDefault="00133DF3" w:rsidP="001005A8">
            <w:pPr>
              <w:pStyle w:val="Tabletext"/>
            </w:pPr>
            <w:r w:rsidRPr="00932A71">
              <w:t>7. Reduction in tax revenue</w:t>
            </w:r>
          </w:p>
        </w:tc>
        <w:tc>
          <w:tcPr>
            <w:tcW w:w="858" w:type="dxa"/>
            <w:tcBorders>
              <w:top w:val="nil"/>
              <w:left w:val="nil"/>
              <w:bottom w:val="single" w:sz="4" w:space="0" w:color="FFFFFF"/>
              <w:right w:val="nil"/>
            </w:tcBorders>
            <w:shd w:val="clear" w:color="000000" w:fill="F2F2F2"/>
            <w:vAlign w:val="center"/>
            <w:hideMark/>
          </w:tcPr>
          <w:p w14:paraId="56DC32A4"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F2F2F2"/>
            <w:vAlign w:val="center"/>
            <w:hideMark/>
          </w:tcPr>
          <w:p w14:paraId="588FB384"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F2F2F2"/>
            <w:vAlign w:val="center"/>
            <w:hideMark/>
          </w:tcPr>
          <w:p w14:paraId="1BE6A50C" w14:textId="77777777" w:rsidR="00133DF3" w:rsidRPr="00932A71" w:rsidRDefault="00133DF3" w:rsidP="001005A8">
            <w:pPr>
              <w:pStyle w:val="Tabletext"/>
            </w:pPr>
            <w:r w:rsidRPr="00932A71">
              <w:t> </w:t>
            </w:r>
          </w:p>
        </w:tc>
        <w:tc>
          <w:tcPr>
            <w:tcW w:w="708" w:type="dxa"/>
            <w:tcBorders>
              <w:top w:val="nil"/>
              <w:left w:val="nil"/>
              <w:bottom w:val="single" w:sz="4" w:space="0" w:color="FFFFFF"/>
              <w:right w:val="nil"/>
            </w:tcBorders>
            <w:shd w:val="clear" w:color="000000" w:fill="F2F2F2"/>
            <w:vAlign w:val="center"/>
            <w:hideMark/>
          </w:tcPr>
          <w:p w14:paraId="7A568BE2"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F2F2F2"/>
            <w:vAlign w:val="center"/>
            <w:hideMark/>
          </w:tcPr>
          <w:p w14:paraId="654144BA"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F2F2F2"/>
            <w:vAlign w:val="center"/>
            <w:hideMark/>
          </w:tcPr>
          <w:p w14:paraId="13F67581" w14:textId="77777777" w:rsidR="00133DF3" w:rsidRPr="00932A71" w:rsidRDefault="00133DF3" w:rsidP="001005A8">
            <w:pPr>
              <w:pStyle w:val="Tabletext"/>
            </w:pPr>
            <w:r w:rsidRPr="00932A71">
              <w:t> </w:t>
            </w:r>
          </w:p>
        </w:tc>
      </w:tr>
      <w:tr w:rsidR="00133DF3" w:rsidRPr="00C14AE5" w14:paraId="7D7A1C71" w14:textId="77777777" w:rsidTr="00133DF3">
        <w:trPr>
          <w:trHeight w:val="227"/>
          <w:jc w:val="center"/>
        </w:trPr>
        <w:tc>
          <w:tcPr>
            <w:tcW w:w="4678" w:type="dxa"/>
            <w:tcBorders>
              <w:top w:val="nil"/>
              <w:left w:val="nil"/>
              <w:bottom w:val="single" w:sz="4" w:space="0" w:color="FFFFFF"/>
              <w:right w:val="nil"/>
            </w:tcBorders>
            <w:shd w:val="clear" w:color="000000" w:fill="D9D9D9"/>
            <w:vAlign w:val="center"/>
            <w:hideMark/>
          </w:tcPr>
          <w:p w14:paraId="2522A582" w14:textId="77777777" w:rsidR="00133DF3" w:rsidRPr="00932A71" w:rsidRDefault="00133DF3" w:rsidP="001005A8">
            <w:pPr>
              <w:pStyle w:val="Tabletext"/>
            </w:pPr>
            <w:r w:rsidRPr="00932A71">
              <w:t>8. Other costs with impact on revenue</w:t>
            </w:r>
          </w:p>
        </w:tc>
        <w:tc>
          <w:tcPr>
            <w:tcW w:w="858" w:type="dxa"/>
            <w:tcBorders>
              <w:top w:val="nil"/>
              <w:left w:val="nil"/>
              <w:bottom w:val="single" w:sz="4" w:space="0" w:color="FFFFFF"/>
              <w:right w:val="nil"/>
            </w:tcBorders>
            <w:shd w:val="clear" w:color="000000" w:fill="D9D9D9"/>
            <w:vAlign w:val="center"/>
            <w:hideMark/>
          </w:tcPr>
          <w:p w14:paraId="3D343CA0"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D9D9D9"/>
            <w:vAlign w:val="center"/>
            <w:hideMark/>
          </w:tcPr>
          <w:p w14:paraId="18069C25" w14:textId="77777777" w:rsidR="00133DF3" w:rsidRPr="00932A71" w:rsidRDefault="00133DF3" w:rsidP="001005A8">
            <w:pPr>
              <w:pStyle w:val="Tabletext"/>
            </w:pPr>
            <w:r w:rsidRPr="00932A71">
              <w:t> </w:t>
            </w:r>
          </w:p>
        </w:tc>
        <w:tc>
          <w:tcPr>
            <w:tcW w:w="709" w:type="dxa"/>
            <w:tcBorders>
              <w:top w:val="nil"/>
              <w:left w:val="nil"/>
              <w:bottom w:val="single" w:sz="4" w:space="0" w:color="FFFFFF"/>
              <w:right w:val="nil"/>
            </w:tcBorders>
            <w:shd w:val="clear" w:color="000000" w:fill="D9D9D9"/>
            <w:vAlign w:val="center"/>
            <w:hideMark/>
          </w:tcPr>
          <w:p w14:paraId="50A0FEFF" w14:textId="77777777" w:rsidR="00133DF3" w:rsidRPr="00932A71" w:rsidRDefault="00133DF3" w:rsidP="001005A8">
            <w:pPr>
              <w:pStyle w:val="Tabletext"/>
            </w:pPr>
            <w:r w:rsidRPr="00932A71">
              <w:t> </w:t>
            </w:r>
          </w:p>
        </w:tc>
        <w:tc>
          <w:tcPr>
            <w:tcW w:w="708" w:type="dxa"/>
            <w:tcBorders>
              <w:top w:val="nil"/>
              <w:left w:val="nil"/>
              <w:bottom w:val="single" w:sz="4" w:space="0" w:color="FFFFFF"/>
              <w:right w:val="nil"/>
            </w:tcBorders>
            <w:shd w:val="clear" w:color="000000" w:fill="D9D9D9"/>
            <w:vAlign w:val="center"/>
            <w:hideMark/>
          </w:tcPr>
          <w:p w14:paraId="4B636862"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D9D9D9"/>
            <w:vAlign w:val="center"/>
            <w:hideMark/>
          </w:tcPr>
          <w:p w14:paraId="3FA85915" w14:textId="77777777" w:rsidR="00133DF3" w:rsidRPr="00932A71" w:rsidRDefault="00133DF3" w:rsidP="001005A8">
            <w:pPr>
              <w:pStyle w:val="Tabletext"/>
            </w:pPr>
            <w:r w:rsidRPr="00932A71">
              <w:t> </w:t>
            </w:r>
          </w:p>
        </w:tc>
        <w:tc>
          <w:tcPr>
            <w:tcW w:w="661" w:type="dxa"/>
            <w:tcBorders>
              <w:top w:val="nil"/>
              <w:left w:val="nil"/>
              <w:bottom w:val="single" w:sz="4" w:space="0" w:color="FFFFFF"/>
              <w:right w:val="nil"/>
            </w:tcBorders>
            <w:shd w:val="clear" w:color="000000" w:fill="D9D9D9"/>
            <w:vAlign w:val="center"/>
            <w:hideMark/>
          </w:tcPr>
          <w:p w14:paraId="386E6088" w14:textId="77777777" w:rsidR="00133DF3" w:rsidRPr="00932A71" w:rsidRDefault="00133DF3" w:rsidP="001005A8">
            <w:pPr>
              <w:pStyle w:val="Tabletext"/>
            </w:pPr>
            <w:r w:rsidRPr="00932A71">
              <w:t> </w:t>
            </w:r>
          </w:p>
        </w:tc>
      </w:tr>
      <w:tr w:rsidR="00133DF3" w:rsidRPr="00932A71" w14:paraId="01F39ADD" w14:textId="77777777" w:rsidTr="00133DF3">
        <w:trPr>
          <w:trHeight w:val="227"/>
          <w:jc w:val="center"/>
        </w:trPr>
        <w:tc>
          <w:tcPr>
            <w:tcW w:w="4678" w:type="dxa"/>
            <w:tcBorders>
              <w:top w:val="single" w:sz="4" w:space="0" w:color="FFFFFF"/>
              <w:left w:val="nil"/>
              <w:bottom w:val="single" w:sz="18" w:space="0" w:color="4F81BD" w:themeColor="accent1"/>
              <w:right w:val="nil"/>
            </w:tcBorders>
            <w:shd w:val="clear" w:color="000000" w:fill="F2F2F2"/>
            <w:vAlign w:val="center"/>
            <w:hideMark/>
          </w:tcPr>
          <w:p w14:paraId="50A20F7D" w14:textId="77777777" w:rsidR="00133DF3" w:rsidRPr="00932A71" w:rsidRDefault="00133DF3" w:rsidP="001005A8">
            <w:pPr>
              <w:pStyle w:val="Tabletext"/>
            </w:pPr>
            <w:r w:rsidRPr="00932A71">
              <w:t>9. Financial transactions</w:t>
            </w:r>
          </w:p>
        </w:tc>
        <w:tc>
          <w:tcPr>
            <w:tcW w:w="858" w:type="dxa"/>
            <w:tcBorders>
              <w:top w:val="single" w:sz="4" w:space="0" w:color="FFFFFF"/>
              <w:left w:val="nil"/>
              <w:bottom w:val="single" w:sz="18" w:space="0" w:color="4F81BD" w:themeColor="accent1"/>
              <w:right w:val="nil"/>
            </w:tcBorders>
            <w:shd w:val="clear" w:color="000000" w:fill="F2F2F2"/>
            <w:vAlign w:val="center"/>
            <w:hideMark/>
          </w:tcPr>
          <w:p w14:paraId="743912BC" w14:textId="77777777" w:rsidR="00133DF3" w:rsidRPr="00932A71" w:rsidRDefault="00133DF3" w:rsidP="001005A8">
            <w:pPr>
              <w:pStyle w:val="Tabletext"/>
            </w:pPr>
            <w:r w:rsidRPr="00932A71">
              <w:t>0.0</w:t>
            </w:r>
          </w:p>
        </w:tc>
        <w:tc>
          <w:tcPr>
            <w:tcW w:w="709" w:type="dxa"/>
            <w:tcBorders>
              <w:top w:val="single" w:sz="4" w:space="0" w:color="FFFFFF"/>
              <w:left w:val="nil"/>
              <w:bottom w:val="single" w:sz="18" w:space="0" w:color="4F81BD" w:themeColor="accent1"/>
              <w:right w:val="nil"/>
            </w:tcBorders>
            <w:shd w:val="clear" w:color="000000" w:fill="F2F2F2"/>
            <w:vAlign w:val="center"/>
            <w:hideMark/>
          </w:tcPr>
          <w:p w14:paraId="4C90BED1" w14:textId="77777777" w:rsidR="00133DF3" w:rsidRPr="00932A71" w:rsidRDefault="00133DF3" w:rsidP="001005A8">
            <w:pPr>
              <w:pStyle w:val="Tabletext"/>
            </w:pPr>
            <w:r w:rsidRPr="00932A71">
              <w:t>0.1</w:t>
            </w:r>
          </w:p>
        </w:tc>
        <w:tc>
          <w:tcPr>
            <w:tcW w:w="709" w:type="dxa"/>
            <w:tcBorders>
              <w:top w:val="single" w:sz="4" w:space="0" w:color="FFFFFF"/>
              <w:left w:val="nil"/>
              <w:bottom w:val="single" w:sz="18" w:space="0" w:color="4F81BD" w:themeColor="accent1"/>
              <w:right w:val="nil"/>
            </w:tcBorders>
            <w:shd w:val="clear" w:color="000000" w:fill="F2F2F2"/>
            <w:vAlign w:val="center"/>
            <w:hideMark/>
          </w:tcPr>
          <w:p w14:paraId="67F52FF7" w14:textId="77777777" w:rsidR="00133DF3" w:rsidRPr="00932A71" w:rsidRDefault="00133DF3" w:rsidP="001005A8">
            <w:pPr>
              <w:pStyle w:val="Tabletext"/>
            </w:pPr>
            <w:r w:rsidRPr="00932A71">
              <w:t>0.4</w:t>
            </w:r>
          </w:p>
        </w:tc>
        <w:tc>
          <w:tcPr>
            <w:tcW w:w="708" w:type="dxa"/>
            <w:tcBorders>
              <w:top w:val="single" w:sz="4" w:space="0" w:color="FFFFFF"/>
              <w:left w:val="nil"/>
              <w:bottom w:val="single" w:sz="18" w:space="0" w:color="4F81BD" w:themeColor="accent1"/>
              <w:right w:val="nil"/>
            </w:tcBorders>
            <w:shd w:val="clear" w:color="000000" w:fill="F2F2F2"/>
            <w:vAlign w:val="center"/>
            <w:hideMark/>
          </w:tcPr>
          <w:p w14:paraId="443E00FB" w14:textId="77777777" w:rsidR="00133DF3" w:rsidRPr="00932A71" w:rsidRDefault="00133DF3" w:rsidP="001005A8">
            <w:pPr>
              <w:pStyle w:val="Tabletext"/>
            </w:pPr>
            <w:r w:rsidRPr="00932A71">
              <w:t>0.7</w:t>
            </w:r>
          </w:p>
        </w:tc>
        <w:tc>
          <w:tcPr>
            <w:tcW w:w="661" w:type="dxa"/>
            <w:tcBorders>
              <w:top w:val="single" w:sz="4" w:space="0" w:color="FFFFFF"/>
              <w:left w:val="nil"/>
              <w:bottom w:val="single" w:sz="18" w:space="0" w:color="4F81BD" w:themeColor="accent1"/>
              <w:right w:val="nil"/>
            </w:tcBorders>
            <w:shd w:val="clear" w:color="000000" w:fill="F2F2F2"/>
            <w:vAlign w:val="center"/>
            <w:hideMark/>
          </w:tcPr>
          <w:p w14:paraId="19B86664" w14:textId="77777777" w:rsidR="00133DF3" w:rsidRPr="00932A71" w:rsidRDefault="00133DF3" w:rsidP="001005A8">
            <w:pPr>
              <w:pStyle w:val="Tabletext"/>
            </w:pPr>
            <w:r w:rsidRPr="00932A71">
              <w:t>1.1</w:t>
            </w:r>
          </w:p>
        </w:tc>
        <w:tc>
          <w:tcPr>
            <w:tcW w:w="661" w:type="dxa"/>
            <w:tcBorders>
              <w:top w:val="single" w:sz="4" w:space="0" w:color="FFFFFF"/>
              <w:left w:val="nil"/>
              <w:bottom w:val="single" w:sz="18" w:space="0" w:color="4F81BD" w:themeColor="accent1"/>
              <w:right w:val="nil"/>
            </w:tcBorders>
            <w:shd w:val="clear" w:color="000000" w:fill="F2F2F2"/>
            <w:vAlign w:val="center"/>
            <w:hideMark/>
          </w:tcPr>
          <w:p w14:paraId="523CCF90" w14:textId="77777777" w:rsidR="00133DF3" w:rsidRPr="00932A71" w:rsidRDefault="00133DF3" w:rsidP="001005A8">
            <w:pPr>
              <w:pStyle w:val="Tabletext"/>
            </w:pPr>
            <w:r w:rsidRPr="00932A71">
              <w:t>1.7</w:t>
            </w:r>
          </w:p>
        </w:tc>
      </w:tr>
    </w:tbl>
    <w:p w14:paraId="50399A52" w14:textId="1A1EB330" w:rsidR="00133DF3" w:rsidRDefault="00133DF3">
      <w:pPr>
        <w:spacing w:after="200" w:line="276" w:lineRule="auto"/>
        <w:jc w:val="left"/>
        <w:rPr>
          <w:lang w:val="en-US"/>
        </w:rPr>
      </w:pPr>
      <w:r>
        <w:rPr>
          <w:lang w:val="en-US"/>
        </w:rPr>
        <w:br w:type="page"/>
      </w:r>
    </w:p>
    <w:p w14:paraId="3819FE96" w14:textId="44709117" w:rsidR="009558D0" w:rsidRDefault="00CA6BC9" w:rsidP="00C60233">
      <w:pPr>
        <w:pStyle w:val="1"/>
        <w:numPr>
          <w:ilvl w:val="0"/>
          <w:numId w:val="2"/>
        </w:numPr>
        <w:spacing w:after="480"/>
        <w:ind w:hanging="720"/>
        <w:rPr>
          <w:lang w:val="en-US"/>
        </w:rPr>
      </w:pPr>
      <w:bookmarkStart w:id="68" w:name="_Toc211418446"/>
      <w:r w:rsidRPr="00CA6BC9">
        <w:rPr>
          <w:lang w:val="en-US"/>
        </w:rPr>
        <w:t>Distributional impact of the main revenue and expenditure measures</w:t>
      </w:r>
      <w:bookmarkEnd w:id="68"/>
      <w:r w:rsidRPr="00CA6BC9" w:rsidDel="00CA6BC9">
        <w:rPr>
          <w:lang w:val="en-US"/>
        </w:rPr>
        <w:t xml:space="preserve"> </w:t>
      </w:r>
    </w:p>
    <w:p w14:paraId="522EC722" w14:textId="77777777" w:rsidR="00CA6BC9" w:rsidRPr="00831EE4" w:rsidRDefault="00CA6BC9" w:rsidP="00753C2D">
      <w:pPr>
        <w:pStyle w:val="2"/>
        <w:numPr>
          <w:ilvl w:val="1"/>
          <w:numId w:val="2"/>
        </w:numPr>
        <w:spacing w:before="0" w:after="120"/>
        <w:ind w:left="567" w:hanging="567"/>
        <w:rPr>
          <w:lang w:val="en-US"/>
        </w:rPr>
      </w:pPr>
      <w:bookmarkStart w:id="69" w:name="_Toc211418447"/>
      <w:r w:rsidRPr="00831EE4">
        <w:rPr>
          <w:lang w:val="en-US"/>
        </w:rPr>
        <w:t>Methodology</w:t>
      </w:r>
      <w:bookmarkEnd w:id="69"/>
    </w:p>
    <w:p w14:paraId="679A4BCD" w14:textId="77777777" w:rsidR="00CA6BC9" w:rsidRDefault="00CA6BC9" w:rsidP="00C60233">
      <w:pPr>
        <w:spacing w:after="120" w:line="252" w:lineRule="auto"/>
        <w:rPr>
          <w:lang w:val="en-US"/>
        </w:rPr>
      </w:pPr>
      <w:r>
        <w:rPr>
          <w:lang w:val="en-US"/>
        </w:rPr>
        <w:t>The distributional impact of budgetary interventions is estimated using the EUROMOD tax-benefit microsimulation model for Greece, on which the new measures are simulated. The input data are drawn from the 2022 Greek SILC survey (incomes 2021), adjusted with relative uprating factors for all the following years and all types of income.</w:t>
      </w:r>
      <w:r>
        <w:rPr>
          <w:rStyle w:val="af1"/>
          <w:rFonts w:ascii="Calibri Light" w:hAnsi="Calibri Light" w:cs="Calibri Light"/>
          <w:lang w:val="en-US"/>
        </w:rPr>
        <w:footnoteReference w:id="3"/>
      </w:r>
      <w:r>
        <w:rPr>
          <w:lang w:val="en-US"/>
        </w:rPr>
        <w:t xml:space="preserve"> The sample comprises 22,142 individuals, corresponding to 10,202 households. When applying survey weights, the simulated population corresponds to 10,306,111 individuals and 4,077,884 households.</w:t>
      </w:r>
    </w:p>
    <w:p w14:paraId="255AD942" w14:textId="0DAC0BB7" w:rsidR="00CA6BC9" w:rsidRDefault="00CA6BC9" w:rsidP="00C60233">
      <w:pPr>
        <w:spacing w:after="120" w:line="252" w:lineRule="auto"/>
        <w:rPr>
          <w:lang w:val="en-US"/>
        </w:rPr>
      </w:pPr>
      <w:r>
        <w:rPr>
          <w:lang w:val="en-US"/>
        </w:rPr>
        <w:t xml:space="preserve">It should be noted that the simulated policies concern personal income taxes, cash benefits, and social security contributions, and only first-round effects are estimated. Policies that do not directly affect household income, such as changes in corporate taxation, are not included. Similarly, measures affecting consumption or liquidity, such as VAT </w:t>
      </w:r>
      <w:r w:rsidR="00DE2955">
        <w:rPr>
          <w:lang w:val="en-US"/>
        </w:rPr>
        <w:t xml:space="preserve">rates </w:t>
      </w:r>
      <w:r>
        <w:rPr>
          <w:lang w:val="en-US"/>
        </w:rPr>
        <w:t>changes, suspension of tax or loan payments, or energy subsidies, are not simulated.</w:t>
      </w:r>
    </w:p>
    <w:p w14:paraId="294D6E07" w14:textId="6A4F8B04" w:rsidR="00CA6BC9" w:rsidRDefault="00CA6BC9" w:rsidP="00C60233">
      <w:pPr>
        <w:spacing w:after="120" w:line="252" w:lineRule="auto"/>
        <w:rPr>
          <w:lang w:val="en-US"/>
        </w:rPr>
      </w:pPr>
      <w:r>
        <w:rPr>
          <w:lang w:val="en-US"/>
        </w:rPr>
        <w:t xml:space="preserve">To assess the impact of the permanent measures scheduled for implementation at the end of 2025 </w:t>
      </w:r>
      <w:r w:rsidR="006E5C28">
        <w:rPr>
          <w:lang w:val="en-US"/>
        </w:rPr>
        <w:t>—</w:t>
      </w:r>
      <w:r>
        <w:rPr>
          <w:lang w:val="en-US"/>
        </w:rPr>
        <w:t>namely, the Housing Allowance Refund and the lump-sum support to vulnerable groups</w:t>
      </w:r>
      <w:r w:rsidR="006E5C28">
        <w:rPr>
          <w:lang w:val="en-US"/>
        </w:rPr>
        <w:t>—</w:t>
      </w:r>
      <w:r>
        <w:rPr>
          <w:lang w:val="en-US"/>
        </w:rPr>
        <w:t xml:space="preserve"> two alternative scenarios were simulated for 2025. Scenario 1 (2025_base) excludes these measures from the estimations, while Scenario 2 (2025_ref) incorporates them, providing a comprehensive assessment of their effects on the overall projections. To capture the impact of these policies over time, the analysis compares the results of the 2026_ref scenario, which incorporates the full set of policies, with both 2025_base and 2025_ref, allowing for a clear disentanglement of the effects of the individual measures over the two-year period.</w:t>
      </w:r>
    </w:p>
    <w:p w14:paraId="1A82CD19" w14:textId="0B174BBB" w:rsidR="00CA6BC9" w:rsidRDefault="00CA6BC9" w:rsidP="00C60233">
      <w:pPr>
        <w:spacing w:after="120" w:line="252" w:lineRule="auto"/>
        <w:rPr>
          <w:lang w:val="en-GB"/>
        </w:rPr>
      </w:pPr>
      <w:r>
        <w:rPr>
          <w:lang w:val="en-GB"/>
        </w:rPr>
        <w:t xml:space="preserve">The scenarios simulated are presented in </w:t>
      </w:r>
      <w:r>
        <w:rPr>
          <w:lang w:val="en-GB"/>
        </w:rPr>
        <w:fldChar w:fldCharType="begin"/>
      </w:r>
      <w:r>
        <w:rPr>
          <w:lang w:val="en-GB"/>
        </w:rPr>
        <w:instrText xml:space="preserve"> REF _Ref211258967 \h </w:instrText>
      </w:r>
      <w:r w:rsidR="00C60233">
        <w:rPr>
          <w:lang w:val="en-GB"/>
        </w:rPr>
        <w:instrText xml:space="preserve"> \* MERGEFORMAT </w:instrText>
      </w:r>
      <w:r>
        <w:rPr>
          <w:lang w:val="en-GB"/>
        </w:rPr>
      </w:r>
      <w:r>
        <w:rPr>
          <w:lang w:val="en-GB"/>
        </w:rPr>
        <w:fldChar w:fldCharType="separate"/>
      </w:r>
      <w:r w:rsidR="00AF0E6B" w:rsidRPr="00AF0E6B">
        <w:rPr>
          <w:lang w:val="en-US"/>
        </w:rPr>
        <w:t xml:space="preserve">Table </w:t>
      </w:r>
      <w:r w:rsidR="00AF0E6B" w:rsidRPr="00AF0E6B">
        <w:rPr>
          <w:noProof/>
          <w:lang w:val="en-US"/>
        </w:rPr>
        <w:t>9</w:t>
      </w:r>
      <w:r>
        <w:rPr>
          <w:lang w:val="en-GB"/>
        </w:rPr>
        <w:fldChar w:fldCharType="end"/>
      </w:r>
      <w:r>
        <w:rPr>
          <w:lang w:val="en-GB"/>
        </w:rPr>
        <w:t xml:space="preserve"> as follows:</w:t>
      </w:r>
    </w:p>
    <w:p w14:paraId="06CE678D" w14:textId="2D14B6BF" w:rsidR="00CA6BC9" w:rsidRDefault="00CA6BC9" w:rsidP="00753C2D">
      <w:pPr>
        <w:pStyle w:val="ae"/>
        <w:spacing w:before="120"/>
        <w:rPr>
          <w:lang w:val="en-GB"/>
        </w:rPr>
      </w:pPr>
      <w:bookmarkStart w:id="70" w:name="_Ref211258967"/>
      <w:bookmarkStart w:id="71" w:name="_Toc211355103"/>
      <w:r>
        <w:t xml:space="preserve">Table </w:t>
      </w:r>
      <w:r>
        <w:fldChar w:fldCharType="begin"/>
      </w:r>
      <w:r>
        <w:instrText xml:space="preserve"> SEQ Table \* ARABIC </w:instrText>
      </w:r>
      <w:r>
        <w:fldChar w:fldCharType="separate"/>
      </w:r>
      <w:r w:rsidR="00AF0E6B">
        <w:rPr>
          <w:noProof/>
        </w:rPr>
        <w:t>9</w:t>
      </w:r>
      <w:r>
        <w:fldChar w:fldCharType="end"/>
      </w:r>
      <w:bookmarkEnd w:id="70"/>
      <w:r>
        <w:t xml:space="preserve"> | </w:t>
      </w:r>
      <w:r w:rsidRPr="00CA6BC9">
        <w:rPr>
          <w:lang w:val="en-GB"/>
        </w:rPr>
        <w:t>Scenarios simulated for distributional analysis</w:t>
      </w:r>
      <w:bookmarkEnd w:id="71"/>
    </w:p>
    <w:tbl>
      <w:tblPr>
        <w:tblW w:w="8931" w:type="dxa"/>
        <w:jc w:val="center"/>
        <w:tblBorders>
          <w:bottom w:val="single" w:sz="18" w:space="0" w:color="4F81BD" w:themeColor="accent1"/>
        </w:tblBorders>
        <w:tblLook w:val="04A0" w:firstRow="1" w:lastRow="0" w:firstColumn="1" w:lastColumn="0" w:noHBand="0" w:noVBand="1"/>
      </w:tblPr>
      <w:tblGrid>
        <w:gridCol w:w="1276"/>
        <w:gridCol w:w="7655"/>
      </w:tblGrid>
      <w:tr w:rsidR="00CA6BC9" w:rsidRPr="00CA6BC9" w14:paraId="6B757F46" w14:textId="77777777" w:rsidTr="008F4F14">
        <w:trPr>
          <w:trHeight w:val="405"/>
          <w:jc w:val="center"/>
        </w:trPr>
        <w:tc>
          <w:tcPr>
            <w:tcW w:w="1276" w:type="dxa"/>
            <w:shd w:val="clear" w:color="000000" w:fill="BFBFBF"/>
            <w:vAlign w:val="center"/>
            <w:hideMark/>
          </w:tcPr>
          <w:p w14:paraId="188D415B" w14:textId="77777777" w:rsidR="00CA6BC9" w:rsidRPr="00CA6BC9" w:rsidRDefault="00CA6BC9" w:rsidP="00C60233">
            <w:pPr>
              <w:spacing w:after="0" w:line="240" w:lineRule="exact"/>
              <w:jc w:val="center"/>
              <w:rPr>
                <w:rFonts w:eastAsia="Times New Roman" w:cs="Calibri"/>
                <w:b/>
                <w:bCs/>
                <w:color w:val="000000"/>
                <w:sz w:val="22"/>
              </w:rPr>
            </w:pPr>
            <w:r w:rsidRPr="00CA6BC9">
              <w:rPr>
                <w:rFonts w:eastAsia="Times New Roman" w:cs="Calibri"/>
                <w:b/>
                <w:bCs/>
                <w:color w:val="000000"/>
                <w:sz w:val="22"/>
                <w:lang w:val="en-GB"/>
              </w:rPr>
              <w:t>Scenario</w:t>
            </w:r>
          </w:p>
        </w:tc>
        <w:tc>
          <w:tcPr>
            <w:tcW w:w="7655" w:type="dxa"/>
            <w:shd w:val="clear" w:color="000000" w:fill="BFBFBF"/>
            <w:vAlign w:val="center"/>
            <w:hideMark/>
          </w:tcPr>
          <w:p w14:paraId="7E10F435" w14:textId="77777777" w:rsidR="00CA6BC9" w:rsidRPr="00CA6BC9" w:rsidRDefault="00CA6BC9" w:rsidP="00E2601D">
            <w:pPr>
              <w:spacing w:after="0" w:line="240" w:lineRule="exact"/>
              <w:jc w:val="center"/>
              <w:rPr>
                <w:rFonts w:eastAsia="Times New Roman" w:cs="Calibri"/>
                <w:b/>
                <w:bCs/>
                <w:color w:val="000000"/>
                <w:sz w:val="22"/>
              </w:rPr>
            </w:pPr>
            <w:r w:rsidRPr="00CA6BC9">
              <w:rPr>
                <w:rFonts w:eastAsia="Times New Roman" w:cs="Calibri"/>
                <w:b/>
                <w:bCs/>
                <w:color w:val="000000"/>
                <w:sz w:val="22"/>
                <w:lang w:val="en-GB"/>
              </w:rPr>
              <w:t>Measures</w:t>
            </w:r>
          </w:p>
        </w:tc>
      </w:tr>
      <w:tr w:rsidR="00CA6BC9" w:rsidRPr="00DE2955" w14:paraId="2E5BC6C9" w14:textId="77777777" w:rsidTr="008F4F14">
        <w:trPr>
          <w:trHeight w:val="227"/>
          <w:jc w:val="center"/>
        </w:trPr>
        <w:tc>
          <w:tcPr>
            <w:tcW w:w="1276" w:type="dxa"/>
            <w:vMerge w:val="restart"/>
            <w:shd w:val="clear" w:color="auto" w:fill="F2F2F2" w:themeFill="background1" w:themeFillShade="F2"/>
            <w:vAlign w:val="center"/>
            <w:hideMark/>
          </w:tcPr>
          <w:p w14:paraId="4B4C6E36" w14:textId="77777777" w:rsidR="00CA6BC9" w:rsidRPr="00831EE4" w:rsidRDefault="00CA6BC9" w:rsidP="008F4F14">
            <w:pPr>
              <w:spacing w:after="0" w:line="240" w:lineRule="exact"/>
              <w:jc w:val="center"/>
              <w:rPr>
                <w:rFonts w:eastAsia="Times New Roman" w:cs="Calibri"/>
                <w:b/>
                <w:sz w:val="22"/>
              </w:rPr>
            </w:pPr>
            <w:r w:rsidRPr="00831EE4">
              <w:rPr>
                <w:rFonts w:eastAsia="Times New Roman" w:cs="Calibri"/>
                <w:b/>
                <w:sz w:val="22"/>
                <w:lang w:val="en-GB"/>
              </w:rPr>
              <w:t>2025_ref</w:t>
            </w:r>
          </w:p>
        </w:tc>
        <w:tc>
          <w:tcPr>
            <w:tcW w:w="7655" w:type="dxa"/>
            <w:shd w:val="clear" w:color="auto" w:fill="F2F2F2" w:themeFill="background1" w:themeFillShade="F2"/>
            <w:vAlign w:val="center"/>
            <w:hideMark/>
          </w:tcPr>
          <w:p w14:paraId="4E2CF910" w14:textId="0B2A46BA" w:rsidR="00CA6BC9" w:rsidRPr="00831EE4" w:rsidRDefault="00CA6BC9" w:rsidP="008F4F14">
            <w:pPr>
              <w:spacing w:after="0" w:line="240" w:lineRule="exact"/>
              <w:ind w:left="222" w:hanging="222"/>
              <w:jc w:val="left"/>
              <w:rPr>
                <w:rFonts w:eastAsia="Times New Roman" w:cs="Calibri"/>
                <w:b/>
                <w:bCs/>
                <w:sz w:val="22"/>
                <w:lang w:val="en-US"/>
              </w:rPr>
            </w:pPr>
            <w:r w:rsidRPr="00CA6BC9">
              <w:rPr>
                <w:rFonts w:eastAsia="Times New Roman" w:cs="Calibri"/>
                <w:b/>
                <w:bCs/>
                <w:sz w:val="22"/>
                <w:lang w:val="en-GB"/>
              </w:rPr>
              <w:t>On top of 2025_base:</w:t>
            </w:r>
          </w:p>
        </w:tc>
      </w:tr>
      <w:tr w:rsidR="00CA6BC9" w:rsidRPr="00C14AE5" w14:paraId="3AE30BEF" w14:textId="77777777" w:rsidTr="008F4F14">
        <w:trPr>
          <w:trHeight w:val="227"/>
          <w:jc w:val="center"/>
        </w:trPr>
        <w:tc>
          <w:tcPr>
            <w:tcW w:w="1276" w:type="dxa"/>
            <w:vMerge/>
            <w:shd w:val="clear" w:color="auto" w:fill="F2F2F2" w:themeFill="background1" w:themeFillShade="F2"/>
            <w:vAlign w:val="center"/>
            <w:hideMark/>
          </w:tcPr>
          <w:p w14:paraId="11E5DD0C" w14:textId="77777777" w:rsidR="00CA6BC9" w:rsidRPr="00831EE4" w:rsidRDefault="00CA6BC9" w:rsidP="008F4F14">
            <w:pPr>
              <w:spacing w:after="0" w:line="240" w:lineRule="exact"/>
              <w:jc w:val="left"/>
              <w:rPr>
                <w:rFonts w:eastAsia="Times New Roman" w:cs="Calibri"/>
                <w:sz w:val="22"/>
                <w:lang w:val="en-US"/>
              </w:rPr>
            </w:pPr>
          </w:p>
        </w:tc>
        <w:tc>
          <w:tcPr>
            <w:tcW w:w="7655" w:type="dxa"/>
            <w:shd w:val="clear" w:color="auto" w:fill="F2F2F2" w:themeFill="background1" w:themeFillShade="F2"/>
            <w:vAlign w:val="center"/>
            <w:hideMark/>
          </w:tcPr>
          <w:p w14:paraId="3A5DC889" w14:textId="6598914C" w:rsidR="00CA6BC9" w:rsidRPr="00831EE4" w:rsidRDefault="00CA6BC9" w:rsidP="008F4F14">
            <w:pPr>
              <w:spacing w:after="0" w:line="240" w:lineRule="exact"/>
              <w:ind w:left="222" w:hanging="222"/>
              <w:jc w:val="left"/>
              <w:rPr>
                <w:rFonts w:eastAsia="Times New Roman" w:cs="Calibri"/>
                <w:sz w:val="22"/>
                <w:lang w:val="en-US"/>
              </w:rPr>
            </w:pPr>
            <w:r w:rsidRPr="00CA6BC9">
              <w:rPr>
                <w:rFonts w:eastAsia="Times New Roman" w:cs="Calibri"/>
                <w:sz w:val="22"/>
                <w:lang w:val="en-GB"/>
              </w:rPr>
              <w:t>1.</w:t>
            </w:r>
            <w:r w:rsidRPr="00CA6BC9">
              <w:rPr>
                <w:rFonts w:eastAsia="Times New Roman" w:cs="Calibri"/>
                <w:color w:val="000000"/>
                <w:sz w:val="22"/>
                <w:lang w:val="en-GB"/>
              </w:rPr>
              <w:t> Introduce a new policy for the Housing Allowance Refund.</w:t>
            </w:r>
          </w:p>
        </w:tc>
      </w:tr>
      <w:tr w:rsidR="00CA6BC9" w:rsidRPr="00C14AE5" w14:paraId="7DF001EE" w14:textId="77777777" w:rsidTr="008F4F14">
        <w:trPr>
          <w:trHeight w:val="255"/>
          <w:jc w:val="center"/>
        </w:trPr>
        <w:tc>
          <w:tcPr>
            <w:tcW w:w="1276" w:type="dxa"/>
            <w:vMerge/>
            <w:shd w:val="clear" w:color="auto" w:fill="F2F2F2" w:themeFill="background1" w:themeFillShade="F2"/>
            <w:vAlign w:val="center"/>
            <w:hideMark/>
          </w:tcPr>
          <w:p w14:paraId="334D9356" w14:textId="77777777" w:rsidR="00CA6BC9" w:rsidRPr="00831EE4" w:rsidRDefault="00CA6BC9" w:rsidP="008F4F14">
            <w:pPr>
              <w:spacing w:after="0" w:line="240" w:lineRule="exact"/>
              <w:jc w:val="left"/>
              <w:rPr>
                <w:rFonts w:eastAsia="Times New Roman" w:cs="Calibri"/>
                <w:sz w:val="22"/>
                <w:lang w:val="en-US"/>
              </w:rPr>
            </w:pPr>
          </w:p>
        </w:tc>
        <w:tc>
          <w:tcPr>
            <w:tcW w:w="7655" w:type="dxa"/>
            <w:shd w:val="clear" w:color="auto" w:fill="F2F2F2" w:themeFill="background1" w:themeFillShade="F2"/>
            <w:vAlign w:val="center"/>
            <w:hideMark/>
          </w:tcPr>
          <w:p w14:paraId="421A16F8" w14:textId="6D2CF744" w:rsidR="00CA6BC9" w:rsidRPr="00831EE4" w:rsidRDefault="00CA6BC9" w:rsidP="008F4F14">
            <w:pPr>
              <w:spacing w:after="0" w:line="240" w:lineRule="exact"/>
              <w:ind w:left="222" w:hanging="222"/>
              <w:jc w:val="left"/>
              <w:rPr>
                <w:rFonts w:eastAsia="Times New Roman" w:cs="Calibri"/>
                <w:sz w:val="22"/>
                <w:lang w:val="en-US"/>
              </w:rPr>
            </w:pPr>
            <w:r w:rsidRPr="00CA6BC9">
              <w:rPr>
                <w:rFonts w:eastAsia="Times New Roman" w:cs="Calibri"/>
                <w:sz w:val="22"/>
                <w:lang w:val="en-GB"/>
              </w:rPr>
              <w:t>2.</w:t>
            </w:r>
            <w:r w:rsidRPr="00CA6BC9">
              <w:rPr>
                <w:rFonts w:eastAsia="Times New Roman" w:cs="Calibri"/>
                <w:color w:val="000000"/>
                <w:sz w:val="22"/>
                <w:lang w:val="en-GB"/>
              </w:rPr>
              <w:t xml:space="preserve"> Introduce a lump sum support to vulnerable groups, in particular: (i) disability benefit recipients, (ii) uninsured-elderly benefit recipients, (iii) low-income pensioners. </w:t>
            </w:r>
          </w:p>
        </w:tc>
      </w:tr>
      <w:tr w:rsidR="00CA6BC9" w:rsidRPr="00C14AE5" w14:paraId="1962BD16" w14:textId="77777777" w:rsidTr="008F4F14">
        <w:trPr>
          <w:trHeight w:val="227"/>
          <w:jc w:val="center"/>
        </w:trPr>
        <w:tc>
          <w:tcPr>
            <w:tcW w:w="1276" w:type="dxa"/>
            <w:vMerge w:val="restart"/>
            <w:shd w:val="clear" w:color="auto" w:fill="D9D9D9" w:themeFill="background1" w:themeFillShade="D9"/>
            <w:vAlign w:val="center"/>
            <w:hideMark/>
          </w:tcPr>
          <w:p w14:paraId="7B86FF7E" w14:textId="77777777" w:rsidR="00CA6BC9" w:rsidRPr="00831EE4" w:rsidRDefault="00CA6BC9" w:rsidP="008F4F14">
            <w:pPr>
              <w:spacing w:after="0" w:line="240" w:lineRule="exact"/>
              <w:jc w:val="center"/>
              <w:rPr>
                <w:rFonts w:eastAsia="Times New Roman" w:cs="Calibri"/>
                <w:b/>
                <w:sz w:val="22"/>
              </w:rPr>
            </w:pPr>
            <w:r w:rsidRPr="00831EE4">
              <w:rPr>
                <w:rFonts w:eastAsia="Times New Roman" w:cs="Calibri"/>
                <w:b/>
                <w:sz w:val="22"/>
                <w:lang w:val="en-GB"/>
              </w:rPr>
              <w:t>2026_ref</w:t>
            </w:r>
          </w:p>
        </w:tc>
        <w:tc>
          <w:tcPr>
            <w:tcW w:w="7655" w:type="dxa"/>
            <w:shd w:val="clear" w:color="auto" w:fill="D9D9D9" w:themeFill="background1" w:themeFillShade="D9"/>
            <w:vAlign w:val="center"/>
            <w:hideMark/>
          </w:tcPr>
          <w:p w14:paraId="050484AE" w14:textId="77777777" w:rsidR="00CA6BC9" w:rsidRPr="00831EE4" w:rsidRDefault="00CA6BC9" w:rsidP="008F4F14">
            <w:pPr>
              <w:spacing w:after="0" w:line="240" w:lineRule="exact"/>
              <w:ind w:left="222" w:hanging="222"/>
              <w:jc w:val="left"/>
              <w:rPr>
                <w:rFonts w:eastAsia="Times New Roman" w:cs="Calibri"/>
                <w:b/>
                <w:bCs/>
                <w:sz w:val="22"/>
                <w:lang w:val="en-US"/>
              </w:rPr>
            </w:pPr>
            <w:r w:rsidRPr="00CA6BC9">
              <w:rPr>
                <w:rFonts w:eastAsia="Times New Roman" w:cs="Calibri"/>
                <w:b/>
                <w:bCs/>
                <w:sz w:val="22"/>
                <w:lang w:val="en-GB"/>
              </w:rPr>
              <w:t>On top of scenario 2025_ref:</w:t>
            </w:r>
          </w:p>
        </w:tc>
      </w:tr>
      <w:tr w:rsidR="00FA70AC" w:rsidRPr="00C14AE5" w14:paraId="3C7FE409" w14:textId="77777777" w:rsidTr="008F4F14">
        <w:trPr>
          <w:trHeight w:val="227"/>
          <w:jc w:val="center"/>
        </w:trPr>
        <w:tc>
          <w:tcPr>
            <w:tcW w:w="1276" w:type="dxa"/>
            <w:vMerge/>
            <w:shd w:val="clear" w:color="auto" w:fill="D9D9D9" w:themeFill="background1" w:themeFillShade="D9"/>
            <w:vAlign w:val="center"/>
          </w:tcPr>
          <w:p w14:paraId="6E00417E" w14:textId="77777777" w:rsidR="00FA70AC" w:rsidRPr="00831EE4" w:rsidRDefault="00FA70AC" w:rsidP="008F4F14">
            <w:pPr>
              <w:spacing w:after="0" w:line="240" w:lineRule="exact"/>
              <w:jc w:val="left"/>
              <w:rPr>
                <w:rFonts w:eastAsia="Times New Roman" w:cs="Calibri"/>
                <w:sz w:val="22"/>
                <w:lang w:val="en-US"/>
              </w:rPr>
            </w:pPr>
          </w:p>
        </w:tc>
        <w:tc>
          <w:tcPr>
            <w:tcW w:w="7655" w:type="dxa"/>
            <w:shd w:val="clear" w:color="auto" w:fill="D9D9D9" w:themeFill="background1" w:themeFillShade="D9"/>
            <w:vAlign w:val="center"/>
          </w:tcPr>
          <w:p w14:paraId="1ADD728A" w14:textId="2004D38F" w:rsidR="00FA70AC" w:rsidRPr="00D129CD" w:rsidRDefault="00FA70AC" w:rsidP="008F4F14">
            <w:pPr>
              <w:pStyle w:val="a4"/>
              <w:numPr>
                <w:ilvl w:val="0"/>
                <w:numId w:val="92"/>
              </w:numPr>
              <w:spacing w:after="0" w:line="240" w:lineRule="exact"/>
              <w:ind w:left="180" w:hanging="180"/>
              <w:jc w:val="left"/>
              <w:rPr>
                <w:rFonts w:eastAsia="Times New Roman" w:cs="Calibri"/>
                <w:sz w:val="22"/>
                <w:lang w:val="en-GB"/>
              </w:rPr>
            </w:pPr>
            <w:r w:rsidRPr="00CA6BC9">
              <w:rPr>
                <w:rFonts w:eastAsia="Times New Roman" w:cs="Calibri"/>
                <w:sz w:val="22"/>
                <w:lang w:val="en-GB"/>
              </w:rPr>
              <w:t>Apply the new tax schedule for Personal Income Tax (PIT).</w:t>
            </w:r>
          </w:p>
        </w:tc>
      </w:tr>
      <w:tr w:rsidR="00FA70AC" w:rsidRPr="00C14AE5" w14:paraId="308037C0" w14:textId="77777777" w:rsidTr="008F4F14">
        <w:trPr>
          <w:trHeight w:val="227"/>
          <w:jc w:val="center"/>
        </w:trPr>
        <w:tc>
          <w:tcPr>
            <w:tcW w:w="1276" w:type="dxa"/>
            <w:vMerge/>
            <w:shd w:val="clear" w:color="auto" w:fill="D9D9D9" w:themeFill="background1" w:themeFillShade="D9"/>
            <w:vAlign w:val="center"/>
          </w:tcPr>
          <w:p w14:paraId="115C0730" w14:textId="77777777" w:rsidR="00FA70AC" w:rsidRPr="00831EE4" w:rsidRDefault="00FA70AC" w:rsidP="008F4F14">
            <w:pPr>
              <w:spacing w:after="0" w:line="240" w:lineRule="exact"/>
              <w:jc w:val="left"/>
              <w:rPr>
                <w:rFonts w:eastAsia="Times New Roman" w:cs="Calibri"/>
                <w:sz w:val="22"/>
                <w:lang w:val="en-US"/>
              </w:rPr>
            </w:pPr>
          </w:p>
        </w:tc>
        <w:tc>
          <w:tcPr>
            <w:tcW w:w="7655" w:type="dxa"/>
            <w:shd w:val="clear" w:color="auto" w:fill="D9D9D9" w:themeFill="background1" w:themeFillShade="D9"/>
            <w:vAlign w:val="center"/>
          </w:tcPr>
          <w:p w14:paraId="128C6EB8" w14:textId="406C5D43" w:rsidR="00FA70AC" w:rsidRPr="00D129CD" w:rsidRDefault="00FA70AC" w:rsidP="008F4F14">
            <w:pPr>
              <w:pStyle w:val="a4"/>
              <w:numPr>
                <w:ilvl w:val="0"/>
                <w:numId w:val="92"/>
              </w:numPr>
              <w:spacing w:after="0" w:line="240" w:lineRule="exact"/>
              <w:ind w:left="180" w:hanging="180"/>
              <w:jc w:val="left"/>
              <w:rPr>
                <w:rFonts w:eastAsia="Times New Roman" w:cs="Calibri"/>
                <w:sz w:val="22"/>
                <w:lang w:val="en-GB"/>
              </w:rPr>
            </w:pPr>
            <w:r w:rsidRPr="00CA6BC9">
              <w:rPr>
                <w:rFonts w:eastAsia="Times New Roman" w:cs="Calibri"/>
                <w:color w:val="000000"/>
                <w:sz w:val="22"/>
                <w:lang w:val="en-GB"/>
              </w:rPr>
              <w:t>Apply the new tax schedule for Property Income of the PIT</w:t>
            </w:r>
            <w:r>
              <w:rPr>
                <w:rFonts w:eastAsia="Times New Roman" w:cs="Calibri"/>
                <w:color w:val="000000"/>
                <w:sz w:val="22"/>
                <w:lang w:val="en-GB"/>
              </w:rPr>
              <w:t>.</w:t>
            </w:r>
          </w:p>
        </w:tc>
      </w:tr>
      <w:tr w:rsidR="00FA70AC" w:rsidRPr="00C14AE5" w14:paraId="3E355CD5" w14:textId="77777777" w:rsidTr="008F4F14">
        <w:trPr>
          <w:trHeight w:val="227"/>
          <w:jc w:val="center"/>
        </w:trPr>
        <w:tc>
          <w:tcPr>
            <w:tcW w:w="1276" w:type="dxa"/>
            <w:vMerge/>
            <w:shd w:val="clear" w:color="auto" w:fill="D9D9D9" w:themeFill="background1" w:themeFillShade="D9"/>
            <w:vAlign w:val="center"/>
          </w:tcPr>
          <w:p w14:paraId="41E78F5A" w14:textId="77777777" w:rsidR="00FA70AC" w:rsidRPr="00831EE4" w:rsidRDefault="00FA70AC" w:rsidP="008F4F14">
            <w:pPr>
              <w:spacing w:after="0" w:line="240" w:lineRule="exact"/>
              <w:jc w:val="left"/>
              <w:rPr>
                <w:rFonts w:eastAsia="Times New Roman" w:cs="Calibri"/>
                <w:sz w:val="22"/>
                <w:lang w:val="en-US"/>
              </w:rPr>
            </w:pPr>
          </w:p>
        </w:tc>
        <w:tc>
          <w:tcPr>
            <w:tcW w:w="7655" w:type="dxa"/>
            <w:shd w:val="clear" w:color="auto" w:fill="D9D9D9" w:themeFill="background1" w:themeFillShade="D9"/>
            <w:vAlign w:val="center"/>
          </w:tcPr>
          <w:p w14:paraId="6B7337ED" w14:textId="015B584C" w:rsidR="00FA70AC" w:rsidRPr="00D129CD" w:rsidRDefault="00FA70AC" w:rsidP="008F4F14">
            <w:pPr>
              <w:pStyle w:val="a4"/>
              <w:numPr>
                <w:ilvl w:val="0"/>
                <w:numId w:val="92"/>
              </w:numPr>
              <w:spacing w:after="0" w:line="240" w:lineRule="exact"/>
              <w:ind w:left="180" w:hanging="180"/>
              <w:jc w:val="left"/>
              <w:rPr>
                <w:rFonts w:eastAsia="Times New Roman" w:cs="Calibri"/>
                <w:sz w:val="22"/>
                <w:lang w:val="en-GB"/>
              </w:rPr>
            </w:pPr>
            <w:r w:rsidRPr="00CA6BC9">
              <w:rPr>
                <w:rFonts w:eastAsia="Times New Roman" w:cs="Calibri"/>
                <w:color w:val="000000"/>
                <w:sz w:val="22"/>
                <w:lang w:val="en-GB"/>
              </w:rPr>
              <w:t xml:space="preserve">Increase </w:t>
            </w:r>
            <w:r>
              <w:rPr>
                <w:rFonts w:eastAsia="Times New Roman" w:cs="Calibri"/>
                <w:color w:val="000000"/>
                <w:sz w:val="22"/>
                <w:lang w:val="en-GB"/>
              </w:rPr>
              <w:t xml:space="preserve">pensions on basis of GDP and inflation, as well as increase </w:t>
            </w:r>
            <w:r w:rsidRPr="00CA6BC9">
              <w:rPr>
                <w:rFonts w:eastAsia="Times New Roman" w:cs="Calibri"/>
                <w:color w:val="000000"/>
                <w:sz w:val="22"/>
                <w:lang w:val="en-GB"/>
              </w:rPr>
              <w:t>each band of the Special Solidarity Contribution by the forecasted pension increment (2.4%).</w:t>
            </w:r>
          </w:p>
        </w:tc>
      </w:tr>
      <w:tr w:rsidR="00CA6BC9" w:rsidRPr="00C14AE5" w14:paraId="7F8E6799" w14:textId="77777777" w:rsidTr="008F4F14">
        <w:trPr>
          <w:trHeight w:val="227"/>
          <w:jc w:val="center"/>
        </w:trPr>
        <w:tc>
          <w:tcPr>
            <w:tcW w:w="1276" w:type="dxa"/>
            <w:vMerge/>
            <w:shd w:val="clear" w:color="auto" w:fill="D9D9D9" w:themeFill="background1" w:themeFillShade="D9"/>
            <w:vAlign w:val="center"/>
            <w:hideMark/>
          </w:tcPr>
          <w:p w14:paraId="7BFCBF78" w14:textId="77777777" w:rsidR="00CA6BC9" w:rsidRPr="00831EE4" w:rsidRDefault="00CA6BC9" w:rsidP="008F4F14">
            <w:pPr>
              <w:spacing w:after="0" w:line="240" w:lineRule="exact"/>
              <w:jc w:val="left"/>
              <w:rPr>
                <w:rFonts w:eastAsia="Times New Roman" w:cs="Calibri"/>
                <w:sz w:val="22"/>
                <w:lang w:val="en-US"/>
              </w:rPr>
            </w:pPr>
          </w:p>
        </w:tc>
        <w:tc>
          <w:tcPr>
            <w:tcW w:w="7655" w:type="dxa"/>
            <w:shd w:val="clear" w:color="auto" w:fill="D9D9D9" w:themeFill="background1" w:themeFillShade="D9"/>
            <w:vAlign w:val="center"/>
            <w:hideMark/>
          </w:tcPr>
          <w:p w14:paraId="2A4A4D90" w14:textId="09F4E494" w:rsidR="00CA6BC9" w:rsidRPr="00831EE4" w:rsidRDefault="00FA70AC" w:rsidP="008F4F14">
            <w:pPr>
              <w:spacing w:after="0" w:line="240" w:lineRule="exact"/>
              <w:ind w:left="222" w:hanging="222"/>
              <w:jc w:val="left"/>
              <w:rPr>
                <w:rFonts w:eastAsia="Times New Roman" w:cs="Calibri"/>
                <w:sz w:val="22"/>
                <w:lang w:val="en-US"/>
              </w:rPr>
            </w:pPr>
            <w:r>
              <w:rPr>
                <w:rFonts w:eastAsia="Times New Roman" w:cs="Calibri"/>
                <w:sz w:val="22"/>
                <w:lang w:val="en-GB"/>
              </w:rPr>
              <w:t>4</w:t>
            </w:r>
            <w:r w:rsidR="00CA6BC9" w:rsidRPr="00CA6BC9">
              <w:rPr>
                <w:rFonts w:eastAsia="Times New Roman" w:cs="Calibri"/>
                <w:sz w:val="22"/>
                <w:lang w:val="en-GB"/>
              </w:rPr>
              <w:t>.</w:t>
            </w:r>
            <w:r w:rsidR="00CA6BC9" w:rsidRPr="00CA6BC9">
              <w:rPr>
                <w:rFonts w:eastAsia="Times New Roman" w:cs="Calibri"/>
                <w:color w:val="000000"/>
                <w:sz w:val="22"/>
                <w:lang w:val="en-GB"/>
              </w:rPr>
              <w:t> Increase of the minimum wage</w:t>
            </w:r>
            <w:r w:rsidR="00BB7752">
              <w:rPr>
                <w:rFonts w:eastAsia="Times New Roman" w:cs="Calibri"/>
                <w:color w:val="000000"/>
                <w:sz w:val="22"/>
                <w:lang w:val="en-GB"/>
              </w:rPr>
              <w:t xml:space="preserve"> and the </w:t>
            </w:r>
            <w:r w:rsidR="00D66632">
              <w:rPr>
                <w:rFonts w:eastAsia="Times New Roman" w:cs="Calibri"/>
                <w:color w:val="000000"/>
                <w:sz w:val="22"/>
                <w:lang w:val="en-GB"/>
              </w:rPr>
              <w:t>associated</w:t>
            </w:r>
            <w:r w:rsidR="00691F5E">
              <w:rPr>
                <w:rFonts w:eastAsia="Times New Roman" w:cs="Calibri"/>
                <w:color w:val="000000"/>
                <w:sz w:val="22"/>
                <w:lang w:val="en-GB"/>
              </w:rPr>
              <w:t xml:space="preserve"> unemployment and other</w:t>
            </w:r>
            <w:r w:rsidR="00D66632">
              <w:rPr>
                <w:rFonts w:eastAsia="Times New Roman" w:cs="Calibri"/>
                <w:color w:val="000000"/>
                <w:sz w:val="22"/>
                <w:lang w:val="en-GB"/>
              </w:rPr>
              <w:t xml:space="preserve"> benefit</w:t>
            </w:r>
            <w:r w:rsidR="00691F5E">
              <w:rPr>
                <w:rFonts w:eastAsia="Times New Roman" w:cs="Calibri"/>
                <w:color w:val="000000"/>
                <w:sz w:val="22"/>
                <w:lang w:val="en-GB"/>
              </w:rPr>
              <w:t>s</w:t>
            </w:r>
            <w:r w:rsidR="00D66632">
              <w:rPr>
                <w:rFonts w:eastAsia="Times New Roman" w:cs="Calibri"/>
                <w:color w:val="000000"/>
                <w:sz w:val="22"/>
                <w:lang w:val="en-GB"/>
              </w:rPr>
              <w:t xml:space="preserve"> (estimation on the hypothesis of 4.5% i</w:t>
            </w:r>
            <w:r w:rsidR="00211D8B">
              <w:rPr>
                <w:rFonts w:eastAsia="Times New Roman" w:cs="Calibri"/>
                <w:color w:val="000000"/>
                <w:sz w:val="22"/>
                <w:lang w:val="en-GB"/>
              </w:rPr>
              <w:t>n</w:t>
            </w:r>
            <w:r w:rsidR="00D66632">
              <w:rPr>
                <w:rFonts w:eastAsia="Times New Roman" w:cs="Calibri"/>
                <w:color w:val="000000"/>
                <w:sz w:val="22"/>
                <w:lang w:val="en-GB"/>
              </w:rPr>
              <w:t>crease).</w:t>
            </w:r>
            <w:r w:rsidR="00211D8B">
              <w:rPr>
                <w:rFonts w:eastAsia="Times New Roman" w:cs="Calibri"/>
                <w:color w:val="000000"/>
                <w:sz w:val="22"/>
                <w:lang w:val="en-GB"/>
              </w:rPr>
              <w:t xml:space="preserve"> </w:t>
            </w:r>
          </w:p>
        </w:tc>
      </w:tr>
      <w:tr w:rsidR="00CA6BC9" w:rsidRPr="008E5621" w14:paraId="3ED72B3A" w14:textId="77777777" w:rsidTr="008F4F14">
        <w:trPr>
          <w:trHeight w:val="227"/>
          <w:jc w:val="center"/>
        </w:trPr>
        <w:tc>
          <w:tcPr>
            <w:tcW w:w="1276" w:type="dxa"/>
            <w:vMerge/>
            <w:shd w:val="clear" w:color="auto" w:fill="D9D9D9" w:themeFill="background1" w:themeFillShade="D9"/>
            <w:vAlign w:val="center"/>
            <w:hideMark/>
          </w:tcPr>
          <w:p w14:paraId="573C42E7" w14:textId="77777777" w:rsidR="00CA6BC9" w:rsidRPr="00831EE4" w:rsidRDefault="00CA6BC9" w:rsidP="008F4F14">
            <w:pPr>
              <w:spacing w:after="0" w:line="240" w:lineRule="exact"/>
              <w:jc w:val="left"/>
              <w:rPr>
                <w:rFonts w:eastAsia="Times New Roman" w:cs="Calibri"/>
                <w:sz w:val="22"/>
                <w:lang w:val="en-US"/>
              </w:rPr>
            </w:pPr>
          </w:p>
        </w:tc>
        <w:tc>
          <w:tcPr>
            <w:tcW w:w="7655" w:type="dxa"/>
            <w:shd w:val="clear" w:color="auto" w:fill="D9D9D9" w:themeFill="background1" w:themeFillShade="D9"/>
            <w:vAlign w:val="center"/>
            <w:hideMark/>
          </w:tcPr>
          <w:p w14:paraId="3DDF694B" w14:textId="612B31F3" w:rsidR="00CA6BC9" w:rsidRPr="00831EE4" w:rsidRDefault="00FA70AC" w:rsidP="008F4F14">
            <w:pPr>
              <w:spacing w:after="0" w:line="240" w:lineRule="exact"/>
              <w:ind w:left="222" w:hanging="222"/>
              <w:jc w:val="left"/>
              <w:rPr>
                <w:rFonts w:eastAsia="Times New Roman" w:cs="Calibri"/>
                <w:sz w:val="22"/>
                <w:lang w:val="en-US"/>
              </w:rPr>
            </w:pPr>
            <w:r>
              <w:rPr>
                <w:rFonts w:eastAsia="Times New Roman" w:cs="Calibri"/>
                <w:sz w:val="22"/>
                <w:lang w:val="en-GB"/>
              </w:rPr>
              <w:t>5</w:t>
            </w:r>
            <w:r w:rsidR="00CA6BC9" w:rsidRPr="00CA6BC9">
              <w:rPr>
                <w:rFonts w:eastAsia="Times New Roman" w:cs="Calibri"/>
                <w:sz w:val="22"/>
                <w:lang w:val="en-GB"/>
              </w:rPr>
              <w:t>.</w:t>
            </w:r>
            <w:r w:rsidR="00CA6BC9" w:rsidRPr="00CA6BC9">
              <w:rPr>
                <w:rFonts w:eastAsia="Times New Roman" w:cs="Calibri"/>
                <w:color w:val="000000"/>
                <w:sz w:val="22"/>
                <w:lang w:val="en-GB"/>
              </w:rPr>
              <w:t xml:space="preserve"> Increase monthly salaries for civil servants </w:t>
            </w:r>
            <w:r w:rsidR="00BB7752">
              <w:rPr>
                <w:rFonts w:eastAsia="Times New Roman" w:cs="Calibri"/>
                <w:color w:val="000000"/>
                <w:sz w:val="22"/>
                <w:lang w:val="en-GB"/>
              </w:rPr>
              <w:t xml:space="preserve"> (in line with the minimum wage increase).</w:t>
            </w:r>
            <w:r w:rsidR="00CA6BC9" w:rsidRPr="00CA6BC9">
              <w:rPr>
                <w:rFonts w:eastAsia="Times New Roman" w:cs="Calibri"/>
                <w:color w:val="000000"/>
                <w:sz w:val="22"/>
                <w:lang w:val="en-GB"/>
              </w:rPr>
              <w:t xml:space="preserve"> </w:t>
            </w:r>
          </w:p>
        </w:tc>
      </w:tr>
    </w:tbl>
    <w:p w14:paraId="6927526D" w14:textId="77777777" w:rsidR="00CA6BC9" w:rsidRPr="00831EE4" w:rsidRDefault="00CA6BC9" w:rsidP="00C60233">
      <w:pPr>
        <w:pStyle w:val="2"/>
        <w:numPr>
          <w:ilvl w:val="1"/>
          <w:numId w:val="2"/>
        </w:numPr>
        <w:spacing w:before="240" w:after="480"/>
        <w:ind w:left="567" w:hanging="567"/>
        <w:rPr>
          <w:lang w:val="en-US"/>
        </w:rPr>
      </w:pPr>
      <w:bookmarkStart w:id="72" w:name="_Toc211418448"/>
      <w:r w:rsidRPr="00831EE4">
        <w:rPr>
          <w:lang w:val="en-US"/>
        </w:rPr>
        <w:t>Results</w:t>
      </w:r>
      <w:bookmarkEnd w:id="72"/>
    </w:p>
    <w:p w14:paraId="304CEC9C" w14:textId="4B773B0A" w:rsidR="00CA6BC9" w:rsidRPr="00831EE4" w:rsidRDefault="00BF6899" w:rsidP="00831EE4">
      <w:pPr>
        <w:rPr>
          <w:lang w:val="en-US"/>
        </w:rPr>
      </w:pPr>
      <w:r>
        <w:rPr>
          <w:bCs/>
          <w:highlight w:val="yellow"/>
        </w:rPr>
        <w:fldChar w:fldCharType="begin"/>
      </w:r>
      <w:r w:rsidRPr="00831EE4">
        <w:rPr>
          <w:bCs/>
          <w:highlight w:val="yellow"/>
          <w:lang w:val="en-US"/>
        </w:rPr>
        <w:instrText xml:space="preserve"> REF _Ref211259667 \h </w:instrText>
      </w:r>
      <w:r>
        <w:rPr>
          <w:bCs/>
          <w:highlight w:val="yellow"/>
        </w:rPr>
      </w:r>
      <w:r>
        <w:rPr>
          <w:bCs/>
          <w:highlight w:val="yellow"/>
        </w:rPr>
        <w:fldChar w:fldCharType="separate"/>
      </w:r>
      <w:r w:rsidR="00AF0E6B" w:rsidRPr="00AF0E6B">
        <w:rPr>
          <w:szCs w:val="23"/>
          <w:lang w:val="en-US"/>
        </w:rPr>
        <w:t xml:space="preserve">Table </w:t>
      </w:r>
      <w:r w:rsidR="00AF0E6B" w:rsidRPr="00AF0E6B">
        <w:rPr>
          <w:noProof/>
          <w:szCs w:val="23"/>
          <w:lang w:val="en-US"/>
        </w:rPr>
        <w:t>10</w:t>
      </w:r>
      <w:r>
        <w:rPr>
          <w:bCs/>
          <w:highlight w:val="yellow"/>
        </w:rPr>
        <w:fldChar w:fldCharType="end"/>
      </w:r>
      <w:r w:rsidRPr="00831EE4">
        <w:rPr>
          <w:bCs/>
          <w:lang w:val="en-US"/>
        </w:rPr>
        <w:t xml:space="preserve"> </w:t>
      </w:r>
      <w:r w:rsidR="00CA6BC9" w:rsidRPr="00831EE4">
        <w:rPr>
          <w:lang w:val="en-US"/>
        </w:rPr>
        <w:t xml:space="preserve">presents the mean annual equivalized disposable income (in euros) by decile for the </w:t>
      </w:r>
      <w:r w:rsidR="00CA6BC9" w:rsidRPr="00831EE4">
        <w:rPr>
          <w:bCs/>
          <w:lang w:val="en-US"/>
        </w:rPr>
        <w:t>2025_base</w:t>
      </w:r>
      <w:r w:rsidR="00CA6BC9" w:rsidRPr="00831EE4">
        <w:rPr>
          <w:lang w:val="en-US"/>
        </w:rPr>
        <w:t xml:space="preserve"> scenario, along with the relative and absolute changes observed in the simulated scenarios (</w:t>
      </w:r>
      <w:r w:rsidR="00CA6BC9" w:rsidRPr="00831EE4">
        <w:rPr>
          <w:bCs/>
          <w:lang w:val="en-US"/>
        </w:rPr>
        <w:t>2025_ref</w:t>
      </w:r>
      <w:r w:rsidR="00CA6BC9" w:rsidRPr="00831EE4">
        <w:rPr>
          <w:lang w:val="en-US"/>
        </w:rPr>
        <w:t xml:space="preserve"> and </w:t>
      </w:r>
      <w:r w:rsidR="00CA6BC9" w:rsidRPr="00831EE4">
        <w:rPr>
          <w:bCs/>
          <w:lang w:val="en-US"/>
        </w:rPr>
        <w:t>2026_ref</w:t>
      </w:r>
      <w:r w:rsidR="00CA6BC9" w:rsidRPr="00831EE4">
        <w:rPr>
          <w:lang w:val="en-US"/>
        </w:rPr>
        <w:t xml:space="preserve">) as a result of the fiscal interventions. </w:t>
      </w:r>
      <w:r w:rsidR="00CA6BC9" w:rsidRPr="00831EE4">
        <w:rPr>
          <w:bCs/>
          <w:lang w:val="en-US"/>
        </w:rPr>
        <w:t>Disposable income</w:t>
      </w:r>
      <w:r w:rsidR="00CA6BC9" w:rsidRPr="00831EE4">
        <w:rPr>
          <w:lang w:val="en-US"/>
        </w:rPr>
        <w:t xml:space="preserve"> refers to the income available to individuals for consumption or savings, after deduction of direct taxes and social security contributions and the addition of cash transfers, including pensions and benefits. </w:t>
      </w:r>
      <w:r w:rsidR="00CA6BC9" w:rsidRPr="00831EE4">
        <w:rPr>
          <w:bCs/>
          <w:lang w:val="en-US"/>
        </w:rPr>
        <w:t>Equivalized income</w:t>
      </w:r>
      <w:r w:rsidR="00CA6BC9" w:rsidRPr="00831EE4">
        <w:rPr>
          <w:lang w:val="en-US"/>
        </w:rPr>
        <w:t xml:space="preserve"> assumes that all household resources are pooled and distributed according to the OECD equivalence scale, which assigns a weight of 1 to the first adult, 0.5 to each additional adult, and 0.3 to children under 14.</w:t>
      </w:r>
    </w:p>
    <w:p w14:paraId="10939E6C" w14:textId="6082A82D" w:rsidR="00CA6BC9" w:rsidRPr="00831EE4" w:rsidRDefault="00BF6899" w:rsidP="00C60233">
      <w:pPr>
        <w:pStyle w:val="Table"/>
        <w:spacing w:before="480"/>
        <w:rPr>
          <w:szCs w:val="23"/>
        </w:rPr>
      </w:pPr>
      <w:bookmarkStart w:id="73" w:name="_Ref211259667"/>
      <w:bookmarkStart w:id="74" w:name="_Toc211355104"/>
      <w:r w:rsidRPr="00831EE4">
        <w:rPr>
          <w:sz w:val="23"/>
          <w:szCs w:val="23"/>
        </w:rPr>
        <w:t xml:space="preserve">Table </w:t>
      </w:r>
      <w:r w:rsidRPr="00831EE4">
        <w:rPr>
          <w:sz w:val="23"/>
          <w:szCs w:val="23"/>
        </w:rPr>
        <w:fldChar w:fldCharType="begin"/>
      </w:r>
      <w:r w:rsidRPr="00831EE4">
        <w:rPr>
          <w:sz w:val="23"/>
          <w:szCs w:val="23"/>
        </w:rPr>
        <w:instrText xml:space="preserve"> SEQ Table \* ARABIC </w:instrText>
      </w:r>
      <w:r w:rsidRPr="00831EE4">
        <w:rPr>
          <w:sz w:val="23"/>
          <w:szCs w:val="23"/>
        </w:rPr>
        <w:fldChar w:fldCharType="separate"/>
      </w:r>
      <w:r w:rsidR="00AF0E6B">
        <w:rPr>
          <w:noProof/>
          <w:sz w:val="23"/>
          <w:szCs w:val="23"/>
        </w:rPr>
        <w:t>10</w:t>
      </w:r>
      <w:r w:rsidRPr="00831EE4">
        <w:rPr>
          <w:sz w:val="23"/>
          <w:szCs w:val="23"/>
        </w:rPr>
        <w:fldChar w:fldCharType="end"/>
      </w:r>
      <w:bookmarkEnd w:id="73"/>
      <w:r w:rsidRPr="00831EE4">
        <w:rPr>
          <w:sz w:val="23"/>
          <w:szCs w:val="23"/>
        </w:rPr>
        <w:t xml:space="preserve"> | </w:t>
      </w:r>
      <w:r w:rsidR="00CA6BC9" w:rsidRPr="00831EE4">
        <w:rPr>
          <w:sz w:val="23"/>
          <w:szCs w:val="23"/>
        </w:rPr>
        <w:t xml:space="preserve">Mean annual equivalised disposable income </w:t>
      </w:r>
      <w:r w:rsidR="00CA6BC9" w:rsidRPr="00831EE4">
        <w:rPr>
          <w:b w:val="0"/>
          <w:sz w:val="23"/>
          <w:szCs w:val="23"/>
        </w:rPr>
        <w:t>(EUR)</w:t>
      </w:r>
      <w:r w:rsidR="00CA6BC9" w:rsidRPr="00831EE4">
        <w:rPr>
          <w:sz w:val="23"/>
          <w:szCs w:val="23"/>
        </w:rPr>
        <w:t>, relative and absolute changes</w:t>
      </w:r>
      <w:bookmarkEnd w:id="74"/>
    </w:p>
    <w:tbl>
      <w:tblPr>
        <w:tblW w:w="8902" w:type="dxa"/>
        <w:jc w:val="center"/>
        <w:tblLook w:val="04A0" w:firstRow="1" w:lastRow="0" w:firstColumn="1" w:lastColumn="0" w:noHBand="0" w:noVBand="1"/>
      </w:tblPr>
      <w:tblGrid>
        <w:gridCol w:w="938"/>
        <w:gridCol w:w="1387"/>
        <w:gridCol w:w="2185"/>
        <w:gridCol w:w="1198"/>
        <w:gridCol w:w="1968"/>
        <w:gridCol w:w="1226"/>
      </w:tblGrid>
      <w:tr w:rsidR="00BF6899" w:rsidRPr="00BF6899" w14:paraId="3A999E8A" w14:textId="77777777" w:rsidTr="00C60233">
        <w:trPr>
          <w:trHeight w:val="807"/>
          <w:jc w:val="center"/>
        </w:trPr>
        <w:tc>
          <w:tcPr>
            <w:tcW w:w="938" w:type="dxa"/>
            <w:vMerge w:val="restart"/>
            <w:tcBorders>
              <w:top w:val="nil"/>
              <w:left w:val="nil"/>
              <w:bottom w:val="nil"/>
              <w:right w:val="nil"/>
            </w:tcBorders>
            <w:shd w:val="clear" w:color="000000" w:fill="BFBFBF"/>
            <w:vAlign w:val="center"/>
            <w:hideMark/>
          </w:tcPr>
          <w:p w14:paraId="7A2C505E" w14:textId="77777777" w:rsidR="00BF6899" w:rsidRPr="00831EE4" w:rsidRDefault="00BF6899" w:rsidP="00C60233">
            <w:pPr>
              <w:pStyle w:val="Tabletext"/>
              <w:spacing w:line="260" w:lineRule="exact"/>
              <w:rPr>
                <w:b/>
                <w:sz w:val="24"/>
              </w:rPr>
            </w:pPr>
            <w:r w:rsidRPr="00831EE4">
              <w:rPr>
                <w:b/>
                <w:sz w:val="24"/>
              </w:rPr>
              <w:t>Decile</w:t>
            </w:r>
          </w:p>
        </w:tc>
        <w:tc>
          <w:tcPr>
            <w:tcW w:w="1387" w:type="dxa"/>
            <w:tcBorders>
              <w:top w:val="nil"/>
              <w:left w:val="nil"/>
              <w:bottom w:val="nil"/>
              <w:right w:val="single" w:sz="2" w:space="0" w:color="FFFFFF"/>
            </w:tcBorders>
            <w:shd w:val="clear" w:color="000000" w:fill="BFBFBF"/>
            <w:vAlign w:val="center"/>
            <w:hideMark/>
          </w:tcPr>
          <w:p w14:paraId="11141DF6" w14:textId="77777777" w:rsidR="00BF6899" w:rsidRPr="00831EE4" w:rsidRDefault="00BF6899" w:rsidP="00C60233">
            <w:pPr>
              <w:pStyle w:val="Tabletext"/>
              <w:spacing w:line="260" w:lineRule="exact"/>
              <w:jc w:val="center"/>
              <w:rPr>
                <w:b/>
                <w:sz w:val="24"/>
              </w:rPr>
            </w:pPr>
            <w:r w:rsidRPr="00831EE4">
              <w:rPr>
                <w:b/>
                <w:sz w:val="24"/>
              </w:rPr>
              <w:t>2025_base</w:t>
            </w:r>
          </w:p>
        </w:tc>
        <w:tc>
          <w:tcPr>
            <w:tcW w:w="3383" w:type="dxa"/>
            <w:gridSpan w:val="2"/>
            <w:tcBorders>
              <w:top w:val="nil"/>
              <w:left w:val="single" w:sz="2" w:space="0" w:color="FFFFFF"/>
              <w:bottom w:val="nil"/>
              <w:right w:val="single" w:sz="2" w:space="0" w:color="FFFFFF"/>
            </w:tcBorders>
            <w:shd w:val="clear" w:color="000000" w:fill="BFBFBF"/>
            <w:vAlign w:val="center"/>
            <w:hideMark/>
          </w:tcPr>
          <w:p w14:paraId="4BCE2AED" w14:textId="77777777" w:rsidR="00BF6899" w:rsidRPr="00831EE4" w:rsidRDefault="00BF6899" w:rsidP="00C60233">
            <w:pPr>
              <w:pStyle w:val="Tabletext"/>
              <w:spacing w:line="260" w:lineRule="exact"/>
              <w:jc w:val="center"/>
              <w:rPr>
                <w:b/>
                <w:sz w:val="24"/>
              </w:rPr>
            </w:pPr>
            <w:r w:rsidRPr="00831EE4">
              <w:rPr>
                <w:b/>
                <w:sz w:val="24"/>
              </w:rPr>
              <w:t>2025_ref</w:t>
            </w:r>
          </w:p>
        </w:tc>
        <w:tc>
          <w:tcPr>
            <w:tcW w:w="3194" w:type="dxa"/>
            <w:gridSpan w:val="2"/>
            <w:tcBorders>
              <w:top w:val="nil"/>
              <w:left w:val="single" w:sz="2" w:space="0" w:color="FFFFFF"/>
              <w:bottom w:val="nil"/>
              <w:right w:val="nil"/>
            </w:tcBorders>
            <w:shd w:val="clear" w:color="000000" w:fill="BFBFBF"/>
            <w:vAlign w:val="center"/>
            <w:hideMark/>
          </w:tcPr>
          <w:p w14:paraId="3F51A7A8" w14:textId="77777777" w:rsidR="00BF6899" w:rsidRPr="00831EE4" w:rsidRDefault="00BF6899" w:rsidP="00C60233">
            <w:pPr>
              <w:pStyle w:val="Tabletext"/>
              <w:spacing w:line="260" w:lineRule="exact"/>
              <w:jc w:val="center"/>
              <w:rPr>
                <w:b/>
                <w:sz w:val="24"/>
              </w:rPr>
            </w:pPr>
            <w:r w:rsidRPr="00831EE4">
              <w:rPr>
                <w:b/>
                <w:sz w:val="24"/>
              </w:rPr>
              <w:t>2026_ref</w:t>
            </w:r>
          </w:p>
        </w:tc>
      </w:tr>
      <w:tr w:rsidR="00BF6899" w:rsidRPr="00BF6899" w14:paraId="17234F8A" w14:textId="77777777" w:rsidTr="00C60233">
        <w:trPr>
          <w:trHeight w:val="279"/>
          <w:jc w:val="center"/>
        </w:trPr>
        <w:tc>
          <w:tcPr>
            <w:tcW w:w="938" w:type="dxa"/>
            <w:vMerge/>
            <w:tcBorders>
              <w:top w:val="nil"/>
              <w:left w:val="nil"/>
              <w:bottom w:val="nil"/>
              <w:right w:val="nil"/>
            </w:tcBorders>
            <w:vAlign w:val="center"/>
            <w:hideMark/>
          </w:tcPr>
          <w:p w14:paraId="3263EB0D" w14:textId="77777777" w:rsidR="00BF6899" w:rsidRPr="00831EE4" w:rsidRDefault="00BF6899" w:rsidP="00C60233">
            <w:pPr>
              <w:pStyle w:val="Tabletext"/>
              <w:spacing w:line="260" w:lineRule="exact"/>
              <w:jc w:val="center"/>
              <w:rPr>
                <w:b/>
                <w:sz w:val="24"/>
              </w:rPr>
            </w:pPr>
          </w:p>
        </w:tc>
        <w:tc>
          <w:tcPr>
            <w:tcW w:w="1387" w:type="dxa"/>
            <w:tcBorders>
              <w:top w:val="nil"/>
              <w:left w:val="nil"/>
              <w:bottom w:val="nil"/>
              <w:right w:val="single" w:sz="2" w:space="0" w:color="FFFFFF"/>
            </w:tcBorders>
            <w:shd w:val="clear" w:color="000000" w:fill="BFBFBF"/>
            <w:vAlign w:val="center"/>
            <w:hideMark/>
          </w:tcPr>
          <w:p w14:paraId="3E3D202C" w14:textId="6C32CA45" w:rsidR="00BF6899" w:rsidRPr="00831EE4" w:rsidRDefault="00BF6899" w:rsidP="00C60233">
            <w:pPr>
              <w:pStyle w:val="Tabletext"/>
              <w:spacing w:line="260" w:lineRule="exact"/>
              <w:jc w:val="center"/>
              <w:rPr>
                <w:sz w:val="24"/>
              </w:rPr>
            </w:pPr>
            <w:r w:rsidRPr="00831EE4">
              <w:rPr>
                <w:sz w:val="24"/>
              </w:rPr>
              <w:t xml:space="preserve">Mean </w:t>
            </w:r>
            <w:r>
              <w:rPr>
                <w:sz w:val="24"/>
              </w:rPr>
              <w:br/>
            </w:r>
            <w:r w:rsidRPr="00831EE4">
              <w:rPr>
                <w:sz w:val="24"/>
              </w:rPr>
              <w:t>(EUR)</w:t>
            </w:r>
          </w:p>
        </w:tc>
        <w:tc>
          <w:tcPr>
            <w:tcW w:w="2185" w:type="dxa"/>
            <w:tcBorders>
              <w:top w:val="nil"/>
              <w:left w:val="single" w:sz="2" w:space="0" w:color="FFFFFF"/>
              <w:bottom w:val="nil"/>
              <w:right w:val="nil"/>
            </w:tcBorders>
            <w:shd w:val="clear" w:color="000000" w:fill="BFBFBF"/>
            <w:vAlign w:val="center"/>
            <w:hideMark/>
          </w:tcPr>
          <w:p w14:paraId="4A0818A4" w14:textId="77777777" w:rsidR="00BF6899" w:rsidRPr="00831EE4" w:rsidRDefault="00BF6899" w:rsidP="00C60233">
            <w:pPr>
              <w:pStyle w:val="Tabletext"/>
              <w:spacing w:line="260" w:lineRule="exact"/>
              <w:jc w:val="center"/>
              <w:rPr>
                <w:sz w:val="24"/>
              </w:rPr>
            </w:pPr>
            <w:r w:rsidRPr="00831EE4">
              <w:rPr>
                <w:sz w:val="24"/>
              </w:rPr>
              <w:t>Absolute change (EUR)</w:t>
            </w:r>
          </w:p>
        </w:tc>
        <w:tc>
          <w:tcPr>
            <w:tcW w:w="1198" w:type="dxa"/>
            <w:tcBorders>
              <w:top w:val="nil"/>
              <w:left w:val="nil"/>
              <w:bottom w:val="nil"/>
              <w:right w:val="single" w:sz="2" w:space="0" w:color="FFFFFF"/>
            </w:tcBorders>
            <w:shd w:val="clear" w:color="000000" w:fill="BFBFBF"/>
            <w:vAlign w:val="center"/>
            <w:hideMark/>
          </w:tcPr>
          <w:p w14:paraId="33A6318E" w14:textId="77777777" w:rsidR="00BF6899" w:rsidRPr="00831EE4" w:rsidRDefault="00BF6899" w:rsidP="00C60233">
            <w:pPr>
              <w:pStyle w:val="Tabletext"/>
              <w:spacing w:line="260" w:lineRule="exact"/>
              <w:jc w:val="center"/>
              <w:rPr>
                <w:sz w:val="24"/>
              </w:rPr>
            </w:pPr>
            <w:r w:rsidRPr="00831EE4">
              <w:rPr>
                <w:sz w:val="24"/>
              </w:rPr>
              <w:t>Relative change</w:t>
            </w:r>
          </w:p>
        </w:tc>
        <w:tc>
          <w:tcPr>
            <w:tcW w:w="1968" w:type="dxa"/>
            <w:tcBorders>
              <w:top w:val="nil"/>
              <w:left w:val="single" w:sz="2" w:space="0" w:color="FFFFFF"/>
              <w:bottom w:val="nil"/>
              <w:right w:val="nil"/>
            </w:tcBorders>
            <w:shd w:val="clear" w:color="000000" w:fill="BFBFBF"/>
            <w:vAlign w:val="center"/>
            <w:hideMark/>
          </w:tcPr>
          <w:p w14:paraId="09C7F699" w14:textId="77777777" w:rsidR="00BF6899" w:rsidRPr="00831EE4" w:rsidRDefault="00BF6899" w:rsidP="00C60233">
            <w:pPr>
              <w:pStyle w:val="Tabletext"/>
              <w:spacing w:line="260" w:lineRule="exact"/>
              <w:jc w:val="center"/>
              <w:rPr>
                <w:sz w:val="24"/>
              </w:rPr>
            </w:pPr>
            <w:r w:rsidRPr="00831EE4">
              <w:rPr>
                <w:sz w:val="24"/>
              </w:rPr>
              <w:t>Absolute change (EUR)</w:t>
            </w:r>
          </w:p>
        </w:tc>
        <w:tc>
          <w:tcPr>
            <w:tcW w:w="1226" w:type="dxa"/>
            <w:tcBorders>
              <w:top w:val="nil"/>
              <w:left w:val="nil"/>
              <w:bottom w:val="nil"/>
              <w:right w:val="nil"/>
            </w:tcBorders>
            <w:shd w:val="clear" w:color="000000" w:fill="BFBFBF"/>
            <w:vAlign w:val="center"/>
            <w:hideMark/>
          </w:tcPr>
          <w:p w14:paraId="574BEF2C" w14:textId="77777777" w:rsidR="00BF6899" w:rsidRPr="00831EE4" w:rsidRDefault="00BF6899" w:rsidP="00C60233">
            <w:pPr>
              <w:pStyle w:val="Tabletext"/>
              <w:spacing w:line="260" w:lineRule="exact"/>
              <w:jc w:val="center"/>
              <w:rPr>
                <w:sz w:val="24"/>
              </w:rPr>
            </w:pPr>
            <w:r w:rsidRPr="00831EE4">
              <w:rPr>
                <w:sz w:val="24"/>
              </w:rPr>
              <w:t>Relative change</w:t>
            </w:r>
          </w:p>
        </w:tc>
      </w:tr>
      <w:tr w:rsidR="00BF6899" w:rsidRPr="00BF6899" w14:paraId="445387B8" w14:textId="77777777" w:rsidTr="00C60233">
        <w:trPr>
          <w:trHeight w:val="397"/>
          <w:jc w:val="center"/>
        </w:trPr>
        <w:tc>
          <w:tcPr>
            <w:tcW w:w="938" w:type="dxa"/>
            <w:tcBorders>
              <w:top w:val="nil"/>
              <w:left w:val="nil"/>
              <w:bottom w:val="single" w:sz="4" w:space="0" w:color="FFFFFF"/>
              <w:right w:val="nil"/>
            </w:tcBorders>
            <w:shd w:val="clear" w:color="000000" w:fill="F2F2F2"/>
            <w:vAlign w:val="center"/>
            <w:hideMark/>
          </w:tcPr>
          <w:p w14:paraId="40AF31D5" w14:textId="77777777" w:rsidR="00BF6899" w:rsidRPr="00BF6899" w:rsidRDefault="00BF6899" w:rsidP="00C60233">
            <w:pPr>
              <w:pStyle w:val="Tabletext"/>
              <w:spacing w:line="260" w:lineRule="exact"/>
            </w:pPr>
            <w:r w:rsidRPr="00BF6899">
              <w:t>1</w:t>
            </w:r>
          </w:p>
        </w:tc>
        <w:tc>
          <w:tcPr>
            <w:tcW w:w="1387" w:type="dxa"/>
            <w:tcBorders>
              <w:top w:val="nil"/>
              <w:left w:val="nil"/>
              <w:bottom w:val="single" w:sz="4" w:space="0" w:color="FFFFFF"/>
              <w:right w:val="single" w:sz="2" w:space="0" w:color="FFFFFF"/>
            </w:tcBorders>
            <w:shd w:val="clear" w:color="000000" w:fill="F2F2F2"/>
            <w:vAlign w:val="center"/>
            <w:hideMark/>
          </w:tcPr>
          <w:p w14:paraId="1C1783E9" w14:textId="77777777" w:rsidR="00BF6899" w:rsidRPr="00BF6899" w:rsidRDefault="00BF6899" w:rsidP="00C60233">
            <w:pPr>
              <w:pStyle w:val="Tabletext"/>
              <w:spacing w:line="260" w:lineRule="exact"/>
              <w:jc w:val="center"/>
            </w:pPr>
            <w:r w:rsidRPr="00BF6899">
              <w:t>3,959</w:t>
            </w:r>
          </w:p>
        </w:tc>
        <w:tc>
          <w:tcPr>
            <w:tcW w:w="2185" w:type="dxa"/>
            <w:tcBorders>
              <w:top w:val="nil"/>
              <w:left w:val="single" w:sz="2" w:space="0" w:color="FFFFFF"/>
              <w:bottom w:val="single" w:sz="4" w:space="0" w:color="FFFFFF"/>
              <w:right w:val="nil"/>
            </w:tcBorders>
            <w:shd w:val="clear" w:color="000000" w:fill="F2F2F2"/>
            <w:vAlign w:val="center"/>
            <w:hideMark/>
          </w:tcPr>
          <w:p w14:paraId="4D2C38B7" w14:textId="77777777" w:rsidR="00BF6899" w:rsidRPr="00BF6899" w:rsidRDefault="00BF6899" w:rsidP="00C60233">
            <w:pPr>
              <w:pStyle w:val="Tabletext"/>
              <w:spacing w:line="260" w:lineRule="exact"/>
              <w:jc w:val="center"/>
            </w:pPr>
            <w:r w:rsidRPr="00BF6899">
              <w:t>75</w:t>
            </w:r>
          </w:p>
        </w:tc>
        <w:tc>
          <w:tcPr>
            <w:tcW w:w="1198" w:type="dxa"/>
            <w:tcBorders>
              <w:top w:val="nil"/>
              <w:left w:val="nil"/>
              <w:bottom w:val="single" w:sz="4" w:space="0" w:color="FFFFFF"/>
              <w:right w:val="single" w:sz="2" w:space="0" w:color="FFFFFF"/>
            </w:tcBorders>
            <w:shd w:val="clear" w:color="000000" w:fill="F2F2F2"/>
            <w:vAlign w:val="center"/>
            <w:hideMark/>
          </w:tcPr>
          <w:p w14:paraId="3488B1BA" w14:textId="77777777" w:rsidR="00BF6899" w:rsidRPr="00BF6899" w:rsidRDefault="00BF6899" w:rsidP="00C60233">
            <w:pPr>
              <w:pStyle w:val="Tabletext"/>
              <w:spacing w:line="260" w:lineRule="exact"/>
              <w:jc w:val="center"/>
            </w:pPr>
            <w:r w:rsidRPr="00BF6899">
              <w:t>1.88%</w:t>
            </w:r>
          </w:p>
        </w:tc>
        <w:tc>
          <w:tcPr>
            <w:tcW w:w="1968" w:type="dxa"/>
            <w:tcBorders>
              <w:top w:val="nil"/>
              <w:left w:val="single" w:sz="2" w:space="0" w:color="FFFFFF"/>
              <w:bottom w:val="single" w:sz="4" w:space="0" w:color="FFFFFF"/>
              <w:right w:val="nil"/>
            </w:tcBorders>
            <w:shd w:val="clear" w:color="000000" w:fill="F2F2F2"/>
            <w:vAlign w:val="center"/>
            <w:hideMark/>
          </w:tcPr>
          <w:p w14:paraId="7B16FFF6" w14:textId="77777777" w:rsidR="00BF6899" w:rsidRPr="00BF6899" w:rsidRDefault="00BF6899" w:rsidP="00C60233">
            <w:pPr>
              <w:pStyle w:val="Tabletext"/>
              <w:spacing w:line="260" w:lineRule="exact"/>
              <w:jc w:val="center"/>
            </w:pPr>
            <w:r w:rsidRPr="00BF6899">
              <w:t>152</w:t>
            </w:r>
          </w:p>
        </w:tc>
        <w:tc>
          <w:tcPr>
            <w:tcW w:w="1226" w:type="dxa"/>
            <w:tcBorders>
              <w:top w:val="nil"/>
              <w:left w:val="nil"/>
              <w:bottom w:val="single" w:sz="4" w:space="0" w:color="FFFFFF"/>
              <w:right w:val="nil"/>
            </w:tcBorders>
            <w:shd w:val="clear" w:color="000000" w:fill="F2F2F2"/>
            <w:vAlign w:val="center"/>
            <w:hideMark/>
          </w:tcPr>
          <w:p w14:paraId="3C6686F0" w14:textId="77777777" w:rsidR="00BF6899" w:rsidRPr="00BF6899" w:rsidRDefault="00BF6899" w:rsidP="00C60233">
            <w:pPr>
              <w:pStyle w:val="Tabletext"/>
              <w:spacing w:line="260" w:lineRule="exact"/>
              <w:jc w:val="center"/>
            </w:pPr>
            <w:r w:rsidRPr="00BF6899">
              <w:t>3.83%</w:t>
            </w:r>
          </w:p>
        </w:tc>
      </w:tr>
      <w:tr w:rsidR="00BF6899" w:rsidRPr="00BF6899" w14:paraId="23393A1D" w14:textId="77777777" w:rsidTr="00C60233">
        <w:trPr>
          <w:trHeight w:val="397"/>
          <w:jc w:val="center"/>
        </w:trPr>
        <w:tc>
          <w:tcPr>
            <w:tcW w:w="938" w:type="dxa"/>
            <w:tcBorders>
              <w:top w:val="nil"/>
              <w:left w:val="nil"/>
              <w:bottom w:val="single" w:sz="4" w:space="0" w:color="FFFFFF"/>
              <w:right w:val="nil"/>
            </w:tcBorders>
            <w:shd w:val="clear" w:color="000000" w:fill="D9D9D9"/>
            <w:vAlign w:val="center"/>
            <w:hideMark/>
          </w:tcPr>
          <w:p w14:paraId="538A7236" w14:textId="77777777" w:rsidR="00BF6899" w:rsidRPr="00BF6899" w:rsidRDefault="00BF6899" w:rsidP="00C60233">
            <w:pPr>
              <w:pStyle w:val="Tabletext"/>
              <w:spacing w:line="260" w:lineRule="exact"/>
            </w:pPr>
            <w:r w:rsidRPr="00BF6899">
              <w:t>2</w:t>
            </w:r>
          </w:p>
        </w:tc>
        <w:tc>
          <w:tcPr>
            <w:tcW w:w="1387" w:type="dxa"/>
            <w:tcBorders>
              <w:top w:val="nil"/>
              <w:left w:val="nil"/>
              <w:bottom w:val="single" w:sz="4" w:space="0" w:color="FFFFFF"/>
              <w:right w:val="single" w:sz="2" w:space="0" w:color="FFFFFF"/>
            </w:tcBorders>
            <w:shd w:val="clear" w:color="000000" w:fill="D9D9D9"/>
            <w:vAlign w:val="center"/>
            <w:hideMark/>
          </w:tcPr>
          <w:p w14:paraId="014C6FB1" w14:textId="77777777" w:rsidR="00BF6899" w:rsidRPr="00BF6899" w:rsidRDefault="00BF6899" w:rsidP="00C60233">
            <w:pPr>
              <w:pStyle w:val="Tabletext"/>
              <w:spacing w:line="260" w:lineRule="exact"/>
              <w:jc w:val="center"/>
            </w:pPr>
            <w:r w:rsidRPr="00BF6899">
              <w:t>6,397</w:t>
            </w:r>
          </w:p>
        </w:tc>
        <w:tc>
          <w:tcPr>
            <w:tcW w:w="2185" w:type="dxa"/>
            <w:tcBorders>
              <w:top w:val="nil"/>
              <w:left w:val="single" w:sz="2" w:space="0" w:color="FFFFFF"/>
              <w:bottom w:val="single" w:sz="4" w:space="0" w:color="FFFFFF"/>
              <w:right w:val="nil"/>
            </w:tcBorders>
            <w:shd w:val="clear" w:color="000000" w:fill="D9D9D9"/>
            <w:vAlign w:val="center"/>
            <w:hideMark/>
          </w:tcPr>
          <w:p w14:paraId="6C658641" w14:textId="77777777" w:rsidR="00BF6899" w:rsidRPr="00BF6899" w:rsidRDefault="00BF6899" w:rsidP="00C60233">
            <w:pPr>
              <w:pStyle w:val="Tabletext"/>
              <w:spacing w:line="260" w:lineRule="exact"/>
              <w:jc w:val="center"/>
            </w:pPr>
            <w:r w:rsidRPr="00BF6899">
              <w:t>96</w:t>
            </w:r>
          </w:p>
        </w:tc>
        <w:tc>
          <w:tcPr>
            <w:tcW w:w="1198" w:type="dxa"/>
            <w:tcBorders>
              <w:top w:val="nil"/>
              <w:left w:val="nil"/>
              <w:bottom w:val="single" w:sz="4" w:space="0" w:color="FFFFFF"/>
              <w:right w:val="single" w:sz="2" w:space="0" w:color="FFFFFF"/>
            </w:tcBorders>
            <w:shd w:val="clear" w:color="000000" w:fill="D9D9D9"/>
            <w:vAlign w:val="center"/>
            <w:hideMark/>
          </w:tcPr>
          <w:p w14:paraId="0DDC6B39" w14:textId="77777777" w:rsidR="00BF6899" w:rsidRPr="00BF6899" w:rsidRDefault="00BF6899" w:rsidP="00C60233">
            <w:pPr>
              <w:pStyle w:val="Tabletext"/>
              <w:spacing w:line="260" w:lineRule="exact"/>
              <w:jc w:val="center"/>
            </w:pPr>
            <w:r w:rsidRPr="00BF6899">
              <w:t>1.50%</w:t>
            </w:r>
          </w:p>
        </w:tc>
        <w:tc>
          <w:tcPr>
            <w:tcW w:w="1968" w:type="dxa"/>
            <w:tcBorders>
              <w:top w:val="nil"/>
              <w:left w:val="single" w:sz="2" w:space="0" w:color="FFFFFF"/>
              <w:bottom w:val="single" w:sz="4" w:space="0" w:color="FFFFFF"/>
              <w:right w:val="nil"/>
            </w:tcBorders>
            <w:shd w:val="clear" w:color="000000" w:fill="D9D9D9"/>
            <w:vAlign w:val="center"/>
            <w:hideMark/>
          </w:tcPr>
          <w:p w14:paraId="5C0A0F3F" w14:textId="77777777" w:rsidR="00BF6899" w:rsidRPr="00BF6899" w:rsidRDefault="00BF6899" w:rsidP="00C60233">
            <w:pPr>
              <w:pStyle w:val="Tabletext"/>
              <w:spacing w:line="260" w:lineRule="exact"/>
              <w:jc w:val="center"/>
            </w:pPr>
            <w:r w:rsidRPr="00BF6899">
              <w:t>258</w:t>
            </w:r>
          </w:p>
        </w:tc>
        <w:tc>
          <w:tcPr>
            <w:tcW w:w="1226" w:type="dxa"/>
            <w:tcBorders>
              <w:top w:val="nil"/>
              <w:left w:val="nil"/>
              <w:bottom w:val="single" w:sz="4" w:space="0" w:color="FFFFFF"/>
              <w:right w:val="nil"/>
            </w:tcBorders>
            <w:shd w:val="clear" w:color="000000" w:fill="D9D9D9"/>
            <w:vAlign w:val="center"/>
            <w:hideMark/>
          </w:tcPr>
          <w:p w14:paraId="08F7BDCE" w14:textId="77777777" w:rsidR="00BF6899" w:rsidRPr="00BF6899" w:rsidRDefault="00BF6899" w:rsidP="00C60233">
            <w:pPr>
              <w:pStyle w:val="Tabletext"/>
              <w:spacing w:line="260" w:lineRule="exact"/>
              <w:jc w:val="center"/>
            </w:pPr>
            <w:r w:rsidRPr="00BF6899">
              <w:t>4.03%</w:t>
            </w:r>
          </w:p>
        </w:tc>
      </w:tr>
      <w:tr w:rsidR="00BF6899" w:rsidRPr="00BF6899" w14:paraId="2DF4EC33" w14:textId="77777777" w:rsidTr="00C60233">
        <w:trPr>
          <w:trHeight w:val="397"/>
          <w:jc w:val="center"/>
        </w:trPr>
        <w:tc>
          <w:tcPr>
            <w:tcW w:w="938" w:type="dxa"/>
            <w:tcBorders>
              <w:top w:val="nil"/>
              <w:left w:val="nil"/>
              <w:bottom w:val="single" w:sz="4" w:space="0" w:color="FFFFFF"/>
              <w:right w:val="nil"/>
            </w:tcBorders>
            <w:shd w:val="clear" w:color="000000" w:fill="F2F2F2"/>
            <w:vAlign w:val="center"/>
            <w:hideMark/>
          </w:tcPr>
          <w:p w14:paraId="65773FCD" w14:textId="77777777" w:rsidR="00BF6899" w:rsidRPr="00BF6899" w:rsidRDefault="00BF6899" w:rsidP="00C60233">
            <w:pPr>
              <w:pStyle w:val="Tabletext"/>
              <w:spacing w:line="260" w:lineRule="exact"/>
            </w:pPr>
            <w:r w:rsidRPr="00BF6899">
              <w:t>3</w:t>
            </w:r>
          </w:p>
        </w:tc>
        <w:tc>
          <w:tcPr>
            <w:tcW w:w="1387" w:type="dxa"/>
            <w:tcBorders>
              <w:top w:val="nil"/>
              <w:left w:val="nil"/>
              <w:bottom w:val="single" w:sz="4" w:space="0" w:color="FFFFFF"/>
              <w:right w:val="single" w:sz="2" w:space="0" w:color="FFFFFF"/>
            </w:tcBorders>
            <w:shd w:val="clear" w:color="000000" w:fill="F2F2F2"/>
            <w:vAlign w:val="center"/>
            <w:hideMark/>
          </w:tcPr>
          <w:p w14:paraId="2AD79070" w14:textId="77777777" w:rsidR="00BF6899" w:rsidRPr="00BF6899" w:rsidRDefault="00BF6899" w:rsidP="00C60233">
            <w:pPr>
              <w:pStyle w:val="Tabletext"/>
              <w:spacing w:line="260" w:lineRule="exact"/>
              <w:jc w:val="center"/>
            </w:pPr>
            <w:r w:rsidRPr="00BF6899">
              <w:t>7,805</w:t>
            </w:r>
          </w:p>
        </w:tc>
        <w:tc>
          <w:tcPr>
            <w:tcW w:w="2185" w:type="dxa"/>
            <w:tcBorders>
              <w:top w:val="nil"/>
              <w:left w:val="single" w:sz="2" w:space="0" w:color="FFFFFF"/>
              <w:bottom w:val="single" w:sz="4" w:space="0" w:color="FFFFFF"/>
              <w:right w:val="nil"/>
            </w:tcBorders>
            <w:shd w:val="clear" w:color="000000" w:fill="F2F2F2"/>
            <w:vAlign w:val="center"/>
            <w:hideMark/>
          </w:tcPr>
          <w:p w14:paraId="2ACCE0EC" w14:textId="77777777" w:rsidR="00BF6899" w:rsidRPr="00BF6899" w:rsidRDefault="00BF6899" w:rsidP="00C60233">
            <w:pPr>
              <w:pStyle w:val="Tabletext"/>
              <w:spacing w:line="260" w:lineRule="exact"/>
              <w:jc w:val="center"/>
            </w:pPr>
            <w:r w:rsidRPr="00BF6899">
              <w:t>108</w:t>
            </w:r>
          </w:p>
        </w:tc>
        <w:tc>
          <w:tcPr>
            <w:tcW w:w="1198" w:type="dxa"/>
            <w:tcBorders>
              <w:top w:val="nil"/>
              <w:left w:val="nil"/>
              <w:bottom w:val="single" w:sz="4" w:space="0" w:color="FFFFFF"/>
              <w:right w:val="single" w:sz="2" w:space="0" w:color="FFFFFF"/>
            </w:tcBorders>
            <w:shd w:val="clear" w:color="000000" w:fill="F2F2F2"/>
            <w:vAlign w:val="center"/>
            <w:hideMark/>
          </w:tcPr>
          <w:p w14:paraId="10DD751C" w14:textId="77777777" w:rsidR="00BF6899" w:rsidRPr="00BF6899" w:rsidRDefault="00BF6899" w:rsidP="00C60233">
            <w:pPr>
              <w:pStyle w:val="Tabletext"/>
              <w:spacing w:line="260" w:lineRule="exact"/>
              <w:jc w:val="center"/>
            </w:pPr>
            <w:r w:rsidRPr="00BF6899">
              <w:t>1.39%</w:t>
            </w:r>
          </w:p>
        </w:tc>
        <w:tc>
          <w:tcPr>
            <w:tcW w:w="1968" w:type="dxa"/>
            <w:tcBorders>
              <w:top w:val="nil"/>
              <w:left w:val="single" w:sz="2" w:space="0" w:color="FFFFFF"/>
              <w:bottom w:val="single" w:sz="4" w:space="0" w:color="FFFFFF"/>
              <w:right w:val="nil"/>
            </w:tcBorders>
            <w:shd w:val="clear" w:color="000000" w:fill="F2F2F2"/>
            <w:vAlign w:val="center"/>
            <w:hideMark/>
          </w:tcPr>
          <w:p w14:paraId="1AE26F91" w14:textId="77777777" w:rsidR="00BF6899" w:rsidRPr="00BF6899" w:rsidRDefault="00BF6899" w:rsidP="00C60233">
            <w:pPr>
              <w:pStyle w:val="Tabletext"/>
              <w:spacing w:line="260" w:lineRule="exact"/>
              <w:jc w:val="center"/>
            </w:pPr>
            <w:r w:rsidRPr="00BF6899">
              <w:t>363</w:t>
            </w:r>
          </w:p>
        </w:tc>
        <w:tc>
          <w:tcPr>
            <w:tcW w:w="1226" w:type="dxa"/>
            <w:tcBorders>
              <w:top w:val="nil"/>
              <w:left w:val="nil"/>
              <w:bottom w:val="single" w:sz="4" w:space="0" w:color="FFFFFF"/>
              <w:right w:val="nil"/>
            </w:tcBorders>
            <w:shd w:val="clear" w:color="000000" w:fill="F2F2F2"/>
            <w:vAlign w:val="center"/>
            <w:hideMark/>
          </w:tcPr>
          <w:p w14:paraId="7BDED095" w14:textId="77777777" w:rsidR="00BF6899" w:rsidRPr="00BF6899" w:rsidRDefault="00BF6899" w:rsidP="00C60233">
            <w:pPr>
              <w:pStyle w:val="Tabletext"/>
              <w:spacing w:line="260" w:lineRule="exact"/>
              <w:jc w:val="center"/>
            </w:pPr>
            <w:r w:rsidRPr="00BF6899">
              <w:t>4.65%</w:t>
            </w:r>
          </w:p>
        </w:tc>
      </w:tr>
      <w:tr w:rsidR="00BF6899" w:rsidRPr="00BF6899" w14:paraId="45B76082" w14:textId="77777777" w:rsidTr="00C60233">
        <w:trPr>
          <w:trHeight w:val="397"/>
          <w:jc w:val="center"/>
        </w:trPr>
        <w:tc>
          <w:tcPr>
            <w:tcW w:w="938" w:type="dxa"/>
            <w:tcBorders>
              <w:top w:val="nil"/>
              <w:left w:val="nil"/>
              <w:bottom w:val="single" w:sz="4" w:space="0" w:color="FFFFFF"/>
              <w:right w:val="nil"/>
            </w:tcBorders>
            <w:shd w:val="clear" w:color="000000" w:fill="D9D9D9"/>
            <w:vAlign w:val="center"/>
            <w:hideMark/>
          </w:tcPr>
          <w:p w14:paraId="281634F9" w14:textId="77777777" w:rsidR="00BF6899" w:rsidRPr="00BF6899" w:rsidRDefault="00BF6899" w:rsidP="00C60233">
            <w:pPr>
              <w:pStyle w:val="Tabletext"/>
              <w:spacing w:line="260" w:lineRule="exact"/>
            </w:pPr>
            <w:r w:rsidRPr="00BF6899">
              <w:t>4</w:t>
            </w:r>
          </w:p>
        </w:tc>
        <w:tc>
          <w:tcPr>
            <w:tcW w:w="1387" w:type="dxa"/>
            <w:tcBorders>
              <w:top w:val="nil"/>
              <w:left w:val="nil"/>
              <w:bottom w:val="single" w:sz="4" w:space="0" w:color="FFFFFF"/>
              <w:right w:val="single" w:sz="2" w:space="0" w:color="FFFFFF"/>
            </w:tcBorders>
            <w:shd w:val="clear" w:color="000000" w:fill="D9D9D9"/>
            <w:vAlign w:val="center"/>
            <w:hideMark/>
          </w:tcPr>
          <w:p w14:paraId="76FB0321" w14:textId="77777777" w:rsidR="00BF6899" w:rsidRPr="00BF6899" w:rsidRDefault="00BF6899" w:rsidP="00C60233">
            <w:pPr>
              <w:pStyle w:val="Tabletext"/>
              <w:spacing w:line="260" w:lineRule="exact"/>
              <w:jc w:val="center"/>
            </w:pPr>
            <w:r w:rsidRPr="00BF6899">
              <w:t>9,150</w:t>
            </w:r>
          </w:p>
        </w:tc>
        <w:tc>
          <w:tcPr>
            <w:tcW w:w="2185" w:type="dxa"/>
            <w:tcBorders>
              <w:top w:val="nil"/>
              <w:left w:val="single" w:sz="2" w:space="0" w:color="FFFFFF"/>
              <w:bottom w:val="single" w:sz="4" w:space="0" w:color="FFFFFF"/>
              <w:right w:val="nil"/>
            </w:tcBorders>
            <w:shd w:val="clear" w:color="000000" w:fill="D9D9D9"/>
            <w:vAlign w:val="center"/>
            <w:hideMark/>
          </w:tcPr>
          <w:p w14:paraId="16B3FE8E" w14:textId="77777777" w:rsidR="00BF6899" w:rsidRPr="00BF6899" w:rsidRDefault="00BF6899" w:rsidP="00C60233">
            <w:pPr>
              <w:pStyle w:val="Tabletext"/>
              <w:spacing w:line="260" w:lineRule="exact"/>
              <w:jc w:val="center"/>
            </w:pPr>
            <w:r w:rsidRPr="00BF6899">
              <w:t>106</w:t>
            </w:r>
          </w:p>
        </w:tc>
        <w:tc>
          <w:tcPr>
            <w:tcW w:w="1198" w:type="dxa"/>
            <w:tcBorders>
              <w:top w:val="nil"/>
              <w:left w:val="nil"/>
              <w:bottom w:val="single" w:sz="4" w:space="0" w:color="FFFFFF"/>
              <w:right w:val="single" w:sz="2" w:space="0" w:color="FFFFFF"/>
            </w:tcBorders>
            <w:shd w:val="clear" w:color="000000" w:fill="D9D9D9"/>
            <w:vAlign w:val="center"/>
            <w:hideMark/>
          </w:tcPr>
          <w:p w14:paraId="123940EA" w14:textId="77777777" w:rsidR="00BF6899" w:rsidRPr="00BF6899" w:rsidRDefault="00BF6899" w:rsidP="00C60233">
            <w:pPr>
              <w:pStyle w:val="Tabletext"/>
              <w:spacing w:line="260" w:lineRule="exact"/>
              <w:jc w:val="center"/>
            </w:pPr>
            <w:r w:rsidRPr="00BF6899">
              <w:t>1.15%</w:t>
            </w:r>
          </w:p>
        </w:tc>
        <w:tc>
          <w:tcPr>
            <w:tcW w:w="1968" w:type="dxa"/>
            <w:tcBorders>
              <w:top w:val="nil"/>
              <w:left w:val="single" w:sz="2" w:space="0" w:color="FFFFFF"/>
              <w:bottom w:val="single" w:sz="4" w:space="0" w:color="FFFFFF"/>
              <w:right w:val="nil"/>
            </w:tcBorders>
            <w:shd w:val="clear" w:color="000000" w:fill="D9D9D9"/>
            <w:vAlign w:val="center"/>
            <w:hideMark/>
          </w:tcPr>
          <w:p w14:paraId="397C14BE" w14:textId="77777777" w:rsidR="00BF6899" w:rsidRPr="00BF6899" w:rsidRDefault="00BF6899" w:rsidP="00C60233">
            <w:pPr>
              <w:pStyle w:val="Tabletext"/>
              <w:spacing w:line="260" w:lineRule="exact"/>
              <w:jc w:val="center"/>
            </w:pPr>
            <w:r w:rsidRPr="00BF6899">
              <w:t>396</w:t>
            </w:r>
          </w:p>
        </w:tc>
        <w:tc>
          <w:tcPr>
            <w:tcW w:w="1226" w:type="dxa"/>
            <w:tcBorders>
              <w:top w:val="nil"/>
              <w:left w:val="nil"/>
              <w:bottom w:val="single" w:sz="4" w:space="0" w:color="FFFFFF"/>
              <w:right w:val="nil"/>
            </w:tcBorders>
            <w:shd w:val="clear" w:color="000000" w:fill="D9D9D9"/>
            <w:vAlign w:val="center"/>
            <w:hideMark/>
          </w:tcPr>
          <w:p w14:paraId="68349EA7" w14:textId="77777777" w:rsidR="00BF6899" w:rsidRPr="00BF6899" w:rsidRDefault="00BF6899" w:rsidP="00C60233">
            <w:pPr>
              <w:pStyle w:val="Tabletext"/>
              <w:spacing w:line="260" w:lineRule="exact"/>
              <w:jc w:val="center"/>
            </w:pPr>
            <w:r w:rsidRPr="00BF6899">
              <w:t>4.33%</w:t>
            </w:r>
          </w:p>
        </w:tc>
      </w:tr>
      <w:tr w:rsidR="00BF6899" w:rsidRPr="00BF6899" w14:paraId="0B3848ED" w14:textId="77777777" w:rsidTr="00C60233">
        <w:trPr>
          <w:trHeight w:val="397"/>
          <w:jc w:val="center"/>
        </w:trPr>
        <w:tc>
          <w:tcPr>
            <w:tcW w:w="938" w:type="dxa"/>
            <w:tcBorders>
              <w:top w:val="nil"/>
              <w:left w:val="nil"/>
              <w:bottom w:val="single" w:sz="4" w:space="0" w:color="FFFFFF"/>
              <w:right w:val="nil"/>
            </w:tcBorders>
            <w:shd w:val="clear" w:color="000000" w:fill="F2F2F2"/>
            <w:vAlign w:val="center"/>
            <w:hideMark/>
          </w:tcPr>
          <w:p w14:paraId="26FE2E06" w14:textId="77777777" w:rsidR="00BF6899" w:rsidRPr="00BF6899" w:rsidRDefault="00BF6899" w:rsidP="00C60233">
            <w:pPr>
              <w:pStyle w:val="Tabletext"/>
              <w:spacing w:line="260" w:lineRule="exact"/>
            </w:pPr>
            <w:r w:rsidRPr="00BF6899">
              <w:t>5</w:t>
            </w:r>
          </w:p>
        </w:tc>
        <w:tc>
          <w:tcPr>
            <w:tcW w:w="1387" w:type="dxa"/>
            <w:tcBorders>
              <w:top w:val="nil"/>
              <w:left w:val="nil"/>
              <w:bottom w:val="single" w:sz="4" w:space="0" w:color="FFFFFF"/>
              <w:right w:val="single" w:sz="2" w:space="0" w:color="FFFFFF"/>
            </w:tcBorders>
            <w:shd w:val="clear" w:color="000000" w:fill="F2F2F2"/>
            <w:vAlign w:val="center"/>
            <w:hideMark/>
          </w:tcPr>
          <w:p w14:paraId="00386B02" w14:textId="77777777" w:rsidR="00BF6899" w:rsidRPr="00BF6899" w:rsidRDefault="00BF6899" w:rsidP="00C60233">
            <w:pPr>
              <w:pStyle w:val="Tabletext"/>
              <w:spacing w:line="260" w:lineRule="exact"/>
              <w:jc w:val="center"/>
            </w:pPr>
            <w:r w:rsidRPr="00BF6899">
              <w:t>10,494</w:t>
            </w:r>
          </w:p>
        </w:tc>
        <w:tc>
          <w:tcPr>
            <w:tcW w:w="2185" w:type="dxa"/>
            <w:tcBorders>
              <w:top w:val="nil"/>
              <w:left w:val="single" w:sz="2" w:space="0" w:color="FFFFFF"/>
              <w:bottom w:val="single" w:sz="4" w:space="0" w:color="FFFFFF"/>
              <w:right w:val="nil"/>
            </w:tcBorders>
            <w:shd w:val="clear" w:color="000000" w:fill="F2F2F2"/>
            <w:vAlign w:val="center"/>
            <w:hideMark/>
          </w:tcPr>
          <w:p w14:paraId="0F6DE281" w14:textId="77777777" w:rsidR="00BF6899" w:rsidRPr="00BF6899" w:rsidRDefault="00BF6899" w:rsidP="00C60233">
            <w:pPr>
              <w:pStyle w:val="Tabletext"/>
              <w:spacing w:line="260" w:lineRule="exact"/>
              <w:jc w:val="center"/>
            </w:pPr>
            <w:r w:rsidRPr="00BF6899">
              <w:t>94</w:t>
            </w:r>
          </w:p>
        </w:tc>
        <w:tc>
          <w:tcPr>
            <w:tcW w:w="1198" w:type="dxa"/>
            <w:tcBorders>
              <w:top w:val="nil"/>
              <w:left w:val="nil"/>
              <w:bottom w:val="single" w:sz="4" w:space="0" w:color="FFFFFF"/>
              <w:right w:val="single" w:sz="2" w:space="0" w:color="FFFFFF"/>
            </w:tcBorders>
            <w:shd w:val="clear" w:color="000000" w:fill="F2F2F2"/>
            <w:vAlign w:val="center"/>
            <w:hideMark/>
          </w:tcPr>
          <w:p w14:paraId="059719E1" w14:textId="77777777" w:rsidR="00BF6899" w:rsidRPr="00BF6899" w:rsidRDefault="00BF6899" w:rsidP="00C60233">
            <w:pPr>
              <w:pStyle w:val="Tabletext"/>
              <w:spacing w:line="260" w:lineRule="exact"/>
              <w:jc w:val="center"/>
            </w:pPr>
            <w:r w:rsidRPr="00BF6899">
              <w:t>0.89%</w:t>
            </w:r>
          </w:p>
        </w:tc>
        <w:tc>
          <w:tcPr>
            <w:tcW w:w="1968" w:type="dxa"/>
            <w:tcBorders>
              <w:top w:val="nil"/>
              <w:left w:val="single" w:sz="2" w:space="0" w:color="FFFFFF"/>
              <w:bottom w:val="single" w:sz="4" w:space="0" w:color="FFFFFF"/>
              <w:right w:val="nil"/>
            </w:tcBorders>
            <w:shd w:val="clear" w:color="000000" w:fill="F2F2F2"/>
            <w:vAlign w:val="center"/>
            <w:hideMark/>
          </w:tcPr>
          <w:p w14:paraId="10C87243" w14:textId="77777777" w:rsidR="00BF6899" w:rsidRPr="00BF6899" w:rsidRDefault="00BF6899" w:rsidP="00C60233">
            <w:pPr>
              <w:pStyle w:val="Tabletext"/>
              <w:spacing w:line="260" w:lineRule="exact"/>
              <w:jc w:val="center"/>
            </w:pPr>
            <w:r w:rsidRPr="00BF6899">
              <w:t>496</w:t>
            </w:r>
          </w:p>
        </w:tc>
        <w:tc>
          <w:tcPr>
            <w:tcW w:w="1226" w:type="dxa"/>
            <w:tcBorders>
              <w:top w:val="nil"/>
              <w:left w:val="nil"/>
              <w:bottom w:val="single" w:sz="4" w:space="0" w:color="FFFFFF"/>
              <w:right w:val="nil"/>
            </w:tcBorders>
            <w:shd w:val="clear" w:color="000000" w:fill="F2F2F2"/>
            <w:vAlign w:val="center"/>
            <w:hideMark/>
          </w:tcPr>
          <w:p w14:paraId="74D42FBD" w14:textId="77777777" w:rsidR="00BF6899" w:rsidRPr="00BF6899" w:rsidRDefault="00BF6899" w:rsidP="00C60233">
            <w:pPr>
              <w:pStyle w:val="Tabletext"/>
              <w:spacing w:line="260" w:lineRule="exact"/>
              <w:jc w:val="center"/>
            </w:pPr>
            <w:r w:rsidRPr="00BF6899">
              <w:t>4.72%</w:t>
            </w:r>
          </w:p>
        </w:tc>
      </w:tr>
      <w:tr w:rsidR="00BF6899" w:rsidRPr="00BF6899" w14:paraId="5B6B17CE" w14:textId="77777777" w:rsidTr="00C60233">
        <w:trPr>
          <w:trHeight w:val="397"/>
          <w:jc w:val="center"/>
        </w:trPr>
        <w:tc>
          <w:tcPr>
            <w:tcW w:w="938" w:type="dxa"/>
            <w:tcBorders>
              <w:top w:val="nil"/>
              <w:left w:val="nil"/>
              <w:bottom w:val="single" w:sz="4" w:space="0" w:color="FFFFFF"/>
              <w:right w:val="nil"/>
            </w:tcBorders>
            <w:shd w:val="clear" w:color="000000" w:fill="D9D9D9"/>
            <w:vAlign w:val="center"/>
            <w:hideMark/>
          </w:tcPr>
          <w:p w14:paraId="09525AEE" w14:textId="77777777" w:rsidR="00BF6899" w:rsidRPr="00BF6899" w:rsidRDefault="00BF6899" w:rsidP="00C60233">
            <w:pPr>
              <w:pStyle w:val="Tabletext"/>
              <w:spacing w:line="260" w:lineRule="exact"/>
            </w:pPr>
            <w:r w:rsidRPr="00BF6899">
              <w:t>6</w:t>
            </w:r>
          </w:p>
        </w:tc>
        <w:tc>
          <w:tcPr>
            <w:tcW w:w="1387" w:type="dxa"/>
            <w:tcBorders>
              <w:top w:val="nil"/>
              <w:left w:val="nil"/>
              <w:bottom w:val="single" w:sz="4" w:space="0" w:color="FFFFFF"/>
              <w:right w:val="single" w:sz="2" w:space="0" w:color="FFFFFF"/>
            </w:tcBorders>
            <w:shd w:val="clear" w:color="000000" w:fill="D9D9D9"/>
            <w:vAlign w:val="center"/>
            <w:hideMark/>
          </w:tcPr>
          <w:p w14:paraId="37772418" w14:textId="77777777" w:rsidR="00BF6899" w:rsidRPr="00BF6899" w:rsidRDefault="00BF6899" w:rsidP="00C60233">
            <w:pPr>
              <w:pStyle w:val="Tabletext"/>
              <w:spacing w:line="260" w:lineRule="exact"/>
              <w:jc w:val="center"/>
            </w:pPr>
            <w:r w:rsidRPr="00BF6899">
              <w:t>11,902</w:t>
            </w:r>
          </w:p>
        </w:tc>
        <w:tc>
          <w:tcPr>
            <w:tcW w:w="2185" w:type="dxa"/>
            <w:tcBorders>
              <w:top w:val="nil"/>
              <w:left w:val="single" w:sz="2" w:space="0" w:color="FFFFFF"/>
              <w:bottom w:val="single" w:sz="4" w:space="0" w:color="FFFFFF"/>
              <w:right w:val="nil"/>
            </w:tcBorders>
            <w:shd w:val="clear" w:color="000000" w:fill="D9D9D9"/>
            <w:vAlign w:val="center"/>
            <w:hideMark/>
          </w:tcPr>
          <w:p w14:paraId="70B07911" w14:textId="77777777" w:rsidR="00BF6899" w:rsidRPr="00BF6899" w:rsidRDefault="00BF6899" w:rsidP="00C60233">
            <w:pPr>
              <w:pStyle w:val="Tabletext"/>
              <w:spacing w:line="260" w:lineRule="exact"/>
              <w:jc w:val="center"/>
            </w:pPr>
            <w:r w:rsidRPr="00BF6899">
              <w:t>96</w:t>
            </w:r>
          </w:p>
        </w:tc>
        <w:tc>
          <w:tcPr>
            <w:tcW w:w="1198" w:type="dxa"/>
            <w:tcBorders>
              <w:top w:val="nil"/>
              <w:left w:val="nil"/>
              <w:bottom w:val="single" w:sz="4" w:space="0" w:color="FFFFFF"/>
              <w:right w:val="single" w:sz="2" w:space="0" w:color="FFFFFF"/>
            </w:tcBorders>
            <w:shd w:val="clear" w:color="000000" w:fill="D9D9D9"/>
            <w:vAlign w:val="center"/>
            <w:hideMark/>
          </w:tcPr>
          <w:p w14:paraId="3D2184E6" w14:textId="77777777" w:rsidR="00BF6899" w:rsidRPr="00BF6899" w:rsidRDefault="00BF6899" w:rsidP="00C60233">
            <w:pPr>
              <w:pStyle w:val="Tabletext"/>
              <w:spacing w:line="260" w:lineRule="exact"/>
              <w:jc w:val="center"/>
            </w:pPr>
            <w:r w:rsidRPr="00BF6899">
              <w:t>0.80%</w:t>
            </w:r>
          </w:p>
        </w:tc>
        <w:tc>
          <w:tcPr>
            <w:tcW w:w="1968" w:type="dxa"/>
            <w:tcBorders>
              <w:top w:val="nil"/>
              <w:left w:val="single" w:sz="2" w:space="0" w:color="FFFFFF"/>
              <w:bottom w:val="single" w:sz="4" w:space="0" w:color="FFFFFF"/>
              <w:right w:val="nil"/>
            </w:tcBorders>
            <w:shd w:val="clear" w:color="000000" w:fill="D9D9D9"/>
            <w:vAlign w:val="center"/>
            <w:hideMark/>
          </w:tcPr>
          <w:p w14:paraId="49F451FB" w14:textId="77777777" w:rsidR="00BF6899" w:rsidRPr="00BF6899" w:rsidRDefault="00BF6899" w:rsidP="00C60233">
            <w:pPr>
              <w:pStyle w:val="Tabletext"/>
              <w:spacing w:line="260" w:lineRule="exact"/>
              <w:jc w:val="center"/>
            </w:pPr>
            <w:r w:rsidRPr="00BF6899">
              <w:t>493</w:t>
            </w:r>
          </w:p>
        </w:tc>
        <w:tc>
          <w:tcPr>
            <w:tcW w:w="1226" w:type="dxa"/>
            <w:tcBorders>
              <w:top w:val="nil"/>
              <w:left w:val="nil"/>
              <w:bottom w:val="single" w:sz="4" w:space="0" w:color="FFFFFF"/>
              <w:right w:val="nil"/>
            </w:tcBorders>
            <w:shd w:val="clear" w:color="000000" w:fill="D9D9D9"/>
            <w:vAlign w:val="center"/>
            <w:hideMark/>
          </w:tcPr>
          <w:p w14:paraId="3CF9EFA3" w14:textId="77777777" w:rsidR="00BF6899" w:rsidRPr="00BF6899" w:rsidRDefault="00BF6899" w:rsidP="00C60233">
            <w:pPr>
              <w:pStyle w:val="Tabletext"/>
              <w:spacing w:line="260" w:lineRule="exact"/>
              <w:jc w:val="center"/>
            </w:pPr>
            <w:r w:rsidRPr="00BF6899">
              <w:t>4.14%</w:t>
            </w:r>
          </w:p>
        </w:tc>
      </w:tr>
      <w:tr w:rsidR="00BF6899" w:rsidRPr="00BF6899" w14:paraId="6685FF57" w14:textId="77777777" w:rsidTr="00C60233">
        <w:trPr>
          <w:trHeight w:val="397"/>
          <w:jc w:val="center"/>
        </w:trPr>
        <w:tc>
          <w:tcPr>
            <w:tcW w:w="938" w:type="dxa"/>
            <w:tcBorders>
              <w:top w:val="nil"/>
              <w:left w:val="nil"/>
              <w:bottom w:val="single" w:sz="4" w:space="0" w:color="FFFFFF"/>
              <w:right w:val="nil"/>
            </w:tcBorders>
            <w:shd w:val="clear" w:color="000000" w:fill="F2F2F2"/>
            <w:vAlign w:val="center"/>
            <w:hideMark/>
          </w:tcPr>
          <w:p w14:paraId="367D20A3" w14:textId="77777777" w:rsidR="00BF6899" w:rsidRPr="00BF6899" w:rsidRDefault="00BF6899" w:rsidP="00C60233">
            <w:pPr>
              <w:pStyle w:val="Tabletext"/>
              <w:spacing w:line="260" w:lineRule="exact"/>
            </w:pPr>
            <w:r w:rsidRPr="00BF6899">
              <w:t>7</w:t>
            </w:r>
          </w:p>
        </w:tc>
        <w:tc>
          <w:tcPr>
            <w:tcW w:w="1387" w:type="dxa"/>
            <w:tcBorders>
              <w:top w:val="nil"/>
              <w:left w:val="nil"/>
              <w:bottom w:val="single" w:sz="4" w:space="0" w:color="FFFFFF"/>
              <w:right w:val="single" w:sz="2" w:space="0" w:color="FFFFFF"/>
            </w:tcBorders>
            <w:shd w:val="clear" w:color="000000" w:fill="F2F2F2"/>
            <w:vAlign w:val="center"/>
            <w:hideMark/>
          </w:tcPr>
          <w:p w14:paraId="7959EF25" w14:textId="77777777" w:rsidR="00BF6899" w:rsidRPr="00BF6899" w:rsidRDefault="00BF6899" w:rsidP="00C60233">
            <w:pPr>
              <w:pStyle w:val="Tabletext"/>
              <w:spacing w:line="260" w:lineRule="exact"/>
              <w:jc w:val="center"/>
            </w:pPr>
            <w:r w:rsidRPr="00BF6899">
              <w:t>13,599</w:t>
            </w:r>
          </w:p>
        </w:tc>
        <w:tc>
          <w:tcPr>
            <w:tcW w:w="2185" w:type="dxa"/>
            <w:tcBorders>
              <w:top w:val="nil"/>
              <w:left w:val="single" w:sz="2" w:space="0" w:color="FFFFFF"/>
              <w:bottom w:val="single" w:sz="4" w:space="0" w:color="FFFFFF"/>
              <w:right w:val="nil"/>
            </w:tcBorders>
            <w:shd w:val="clear" w:color="000000" w:fill="F2F2F2"/>
            <w:vAlign w:val="center"/>
            <w:hideMark/>
          </w:tcPr>
          <w:p w14:paraId="0A3847CB" w14:textId="77777777" w:rsidR="00BF6899" w:rsidRPr="00BF6899" w:rsidRDefault="00BF6899" w:rsidP="00C60233">
            <w:pPr>
              <w:pStyle w:val="Tabletext"/>
              <w:spacing w:line="260" w:lineRule="exact"/>
              <w:jc w:val="center"/>
            </w:pPr>
            <w:r w:rsidRPr="00BF6899">
              <w:t>89</w:t>
            </w:r>
          </w:p>
        </w:tc>
        <w:tc>
          <w:tcPr>
            <w:tcW w:w="1198" w:type="dxa"/>
            <w:tcBorders>
              <w:top w:val="nil"/>
              <w:left w:val="nil"/>
              <w:bottom w:val="single" w:sz="4" w:space="0" w:color="FFFFFF"/>
              <w:right w:val="single" w:sz="2" w:space="0" w:color="FFFFFF"/>
            </w:tcBorders>
            <w:shd w:val="clear" w:color="000000" w:fill="F2F2F2"/>
            <w:vAlign w:val="center"/>
            <w:hideMark/>
          </w:tcPr>
          <w:p w14:paraId="2C26F936" w14:textId="77777777" w:rsidR="00BF6899" w:rsidRPr="00BF6899" w:rsidRDefault="00BF6899" w:rsidP="00C60233">
            <w:pPr>
              <w:pStyle w:val="Tabletext"/>
              <w:spacing w:line="260" w:lineRule="exact"/>
              <w:jc w:val="center"/>
            </w:pPr>
            <w:r w:rsidRPr="00BF6899">
              <w:t>0.66%</w:t>
            </w:r>
          </w:p>
        </w:tc>
        <w:tc>
          <w:tcPr>
            <w:tcW w:w="1968" w:type="dxa"/>
            <w:tcBorders>
              <w:top w:val="nil"/>
              <w:left w:val="single" w:sz="2" w:space="0" w:color="FFFFFF"/>
              <w:bottom w:val="single" w:sz="4" w:space="0" w:color="FFFFFF"/>
              <w:right w:val="nil"/>
            </w:tcBorders>
            <w:shd w:val="clear" w:color="000000" w:fill="F2F2F2"/>
            <w:vAlign w:val="center"/>
            <w:hideMark/>
          </w:tcPr>
          <w:p w14:paraId="6E334483" w14:textId="77777777" w:rsidR="00BF6899" w:rsidRPr="00BF6899" w:rsidRDefault="00BF6899" w:rsidP="00C60233">
            <w:pPr>
              <w:pStyle w:val="Tabletext"/>
              <w:spacing w:line="260" w:lineRule="exact"/>
              <w:jc w:val="center"/>
            </w:pPr>
            <w:r w:rsidRPr="00BF6899">
              <w:t>606</w:t>
            </w:r>
          </w:p>
        </w:tc>
        <w:tc>
          <w:tcPr>
            <w:tcW w:w="1226" w:type="dxa"/>
            <w:tcBorders>
              <w:top w:val="nil"/>
              <w:left w:val="nil"/>
              <w:bottom w:val="single" w:sz="4" w:space="0" w:color="FFFFFF"/>
              <w:right w:val="nil"/>
            </w:tcBorders>
            <w:shd w:val="clear" w:color="000000" w:fill="F2F2F2"/>
            <w:vAlign w:val="center"/>
            <w:hideMark/>
          </w:tcPr>
          <w:p w14:paraId="3FD842C3" w14:textId="77777777" w:rsidR="00BF6899" w:rsidRPr="00BF6899" w:rsidRDefault="00BF6899" w:rsidP="00C60233">
            <w:pPr>
              <w:pStyle w:val="Tabletext"/>
              <w:spacing w:line="260" w:lineRule="exact"/>
              <w:jc w:val="center"/>
            </w:pPr>
            <w:r w:rsidRPr="00BF6899">
              <w:t>4.46%</w:t>
            </w:r>
          </w:p>
        </w:tc>
      </w:tr>
      <w:tr w:rsidR="00BF6899" w:rsidRPr="00BF6899" w14:paraId="2B8B4DC6" w14:textId="77777777" w:rsidTr="00C60233">
        <w:trPr>
          <w:trHeight w:val="397"/>
          <w:jc w:val="center"/>
        </w:trPr>
        <w:tc>
          <w:tcPr>
            <w:tcW w:w="938" w:type="dxa"/>
            <w:tcBorders>
              <w:top w:val="nil"/>
              <w:left w:val="nil"/>
              <w:bottom w:val="single" w:sz="4" w:space="0" w:color="FFFFFF"/>
              <w:right w:val="nil"/>
            </w:tcBorders>
            <w:shd w:val="clear" w:color="000000" w:fill="D9D9D9"/>
            <w:vAlign w:val="center"/>
            <w:hideMark/>
          </w:tcPr>
          <w:p w14:paraId="3DA197E7" w14:textId="77777777" w:rsidR="00BF6899" w:rsidRPr="00BF6899" w:rsidRDefault="00BF6899" w:rsidP="00C60233">
            <w:pPr>
              <w:pStyle w:val="Tabletext"/>
              <w:spacing w:line="260" w:lineRule="exact"/>
            </w:pPr>
            <w:r w:rsidRPr="00BF6899">
              <w:t>8</w:t>
            </w:r>
          </w:p>
        </w:tc>
        <w:tc>
          <w:tcPr>
            <w:tcW w:w="1387" w:type="dxa"/>
            <w:tcBorders>
              <w:top w:val="nil"/>
              <w:left w:val="nil"/>
              <w:bottom w:val="single" w:sz="4" w:space="0" w:color="FFFFFF"/>
              <w:right w:val="single" w:sz="2" w:space="0" w:color="FFFFFF"/>
            </w:tcBorders>
            <w:shd w:val="clear" w:color="000000" w:fill="D9D9D9"/>
            <w:vAlign w:val="center"/>
            <w:hideMark/>
          </w:tcPr>
          <w:p w14:paraId="7B4D56F3" w14:textId="77777777" w:rsidR="00BF6899" w:rsidRPr="00BF6899" w:rsidRDefault="00BF6899" w:rsidP="00C60233">
            <w:pPr>
              <w:pStyle w:val="Tabletext"/>
              <w:spacing w:line="260" w:lineRule="exact"/>
              <w:jc w:val="center"/>
            </w:pPr>
            <w:r w:rsidRPr="00BF6899">
              <w:t>15,671</w:t>
            </w:r>
          </w:p>
        </w:tc>
        <w:tc>
          <w:tcPr>
            <w:tcW w:w="2185" w:type="dxa"/>
            <w:tcBorders>
              <w:top w:val="nil"/>
              <w:left w:val="single" w:sz="2" w:space="0" w:color="FFFFFF"/>
              <w:bottom w:val="single" w:sz="4" w:space="0" w:color="FFFFFF"/>
              <w:right w:val="nil"/>
            </w:tcBorders>
            <w:shd w:val="clear" w:color="000000" w:fill="D9D9D9"/>
            <w:vAlign w:val="center"/>
            <w:hideMark/>
          </w:tcPr>
          <w:p w14:paraId="610DA6E8" w14:textId="77777777" w:rsidR="00BF6899" w:rsidRPr="00BF6899" w:rsidRDefault="00BF6899" w:rsidP="00C60233">
            <w:pPr>
              <w:pStyle w:val="Tabletext"/>
              <w:spacing w:line="260" w:lineRule="exact"/>
              <w:jc w:val="center"/>
            </w:pPr>
            <w:r w:rsidRPr="00BF6899">
              <w:t>72</w:t>
            </w:r>
          </w:p>
        </w:tc>
        <w:tc>
          <w:tcPr>
            <w:tcW w:w="1198" w:type="dxa"/>
            <w:tcBorders>
              <w:top w:val="nil"/>
              <w:left w:val="nil"/>
              <w:bottom w:val="single" w:sz="4" w:space="0" w:color="FFFFFF"/>
              <w:right w:val="single" w:sz="2" w:space="0" w:color="FFFFFF"/>
            </w:tcBorders>
            <w:shd w:val="clear" w:color="000000" w:fill="D9D9D9"/>
            <w:vAlign w:val="center"/>
            <w:hideMark/>
          </w:tcPr>
          <w:p w14:paraId="63C8EB38" w14:textId="77777777" w:rsidR="00BF6899" w:rsidRPr="00BF6899" w:rsidRDefault="00BF6899" w:rsidP="00C60233">
            <w:pPr>
              <w:pStyle w:val="Tabletext"/>
              <w:spacing w:line="260" w:lineRule="exact"/>
              <w:jc w:val="center"/>
            </w:pPr>
            <w:r w:rsidRPr="00BF6899">
              <w:t>0.46%</w:t>
            </w:r>
          </w:p>
        </w:tc>
        <w:tc>
          <w:tcPr>
            <w:tcW w:w="1968" w:type="dxa"/>
            <w:tcBorders>
              <w:top w:val="nil"/>
              <w:left w:val="single" w:sz="2" w:space="0" w:color="FFFFFF"/>
              <w:bottom w:val="single" w:sz="4" w:space="0" w:color="FFFFFF"/>
              <w:right w:val="nil"/>
            </w:tcBorders>
            <w:shd w:val="clear" w:color="000000" w:fill="D9D9D9"/>
            <w:vAlign w:val="center"/>
            <w:hideMark/>
          </w:tcPr>
          <w:p w14:paraId="2DF4B47D" w14:textId="77777777" w:rsidR="00BF6899" w:rsidRPr="00BF6899" w:rsidRDefault="00BF6899" w:rsidP="00C60233">
            <w:pPr>
              <w:pStyle w:val="Tabletext"/>
              <w:spacing w:line="260" w:lineRule="exact"/>
              <w:jc w:val="center"/>
            </w:pPr>
            <w:r w:rsidRPr="00BF6899">
              <w:t>726</w:t>
            </w:r>
          </w:p>
        </w:tc>
        <w:tc>
          <w:tcPr>
            <w:tcW w:w="1226" w:type="dxa"/>
            <w:tcBorders>
              <w:top w:val="nil"/>
              <w:left w:val="nil"/>
              <w:bottom w:val="single" w:sz="4" w:space="0" w:color="FFFFFF"/>
              <w:right w:val="nil"/>
            </w:tcBorders>
            <w:shd w:val="clear" w:color="000000" w:fill="D9D9D9"/>
            <w:vAlign w:val="center"/>
            <w:hideMark/>
          </w:tcPr>
          <w:p w14:paraId="1FBCDD87" w14:textId="77777777" w:rsidR="00BF6899" w:rsidRPr="00BF6899" w:rsidRDefault="00BF6899" w:rsidP="00C60233">
            <w:pPr>
              <w:pStyle w:val="Tabletext"/>
              <w:spacing w:line="260" w:lineRule="exact"/>
              <w:jc w:val="center"/>
            </w:pPr>
            <w:r w:rsidRPr="00BF6899">
              <w:t>4.64%</w:t>
            </w:r>
          </w:p>
        </w:tc>
      </w:tr>
      <w:tr w:rsidR="00BF6899" w:rsidRPr="00BF6899" w14:paraId="072D647B" w14:textId="77777777" w:rsidTr="00C60233">
        <w:trPr>
          <w:trHeight w:val="397"/>
          <w:jc w:val="center"/>
        </w:trPr>
        <w:tc>
          <w:tcPr>
            <w:tcW w:w="938" w:type="dxa"/>
            <w:tcBorders>
              <w:top w:val="nil"/>
              <w:left w:val="nil"/>
              <w:bottom w:val="single" w:sz="4" w:space="0" w:color="FFFFFF"/>
              <w:right w:val="nil"/>
            </w:tcBorders>
            <w:shd w:val="clear" w:color="000000" w:fill="F2F2F2"/>
            <w:vAlign w:val="center"/>
            <w:hideMark/>
          </w:tcPr>
          <w:p w14:paraId="1A337495" w14:textId="77777777" w:rsidR="00BF6899" w:rsidRPr="00BF6899" w:rsidRDefault="00BF6899" w:rsidP="00C60233">
            <w:pPr>
              <w:pStyle w:val="Tabletext"/>
              <w:spacing w:line="260" w:lineRule="exact"/>
            </w:pPr>
            <w:r w:rsidRPr="00BF6899">
              <w:t>9</w:t>
            </w:r>
          </w:p>
        </w:tc>
        <w:tc>
          <w:tcPr>
            <w:tcW w:w="1387" w:type="dxa"/>
            <w:tcBorders>
              <w:top w:val="nil"/>
              <w:left w:val="nil"/>
              <w:bottom w:val="single" w:sz="4" w:space="0" w:color="FFFFFF"/>
              <w:right w:val="single" w:sz="2" w:space="0" w:color="FFFFFF"/>
            </w:tcBorders>
            <w:shd w:val="clear" w:color="000000" w:fill="F2F2F2"/>
            <w:vAlign w:val="center"/>
            <w:hideMark/>
          </w:tcPr>
          <w:p w14:paraId="430C2ED4" w14:textId="77777777" w:rsidR="00BF6899" w:rsidRPr="00BF6899" w:rsidRDefault="00BF6899" w:rsidP="00C60233">
            <w:pPr>
              <w:pStyle w:val="Tabletext"/>
              <w:spacing w:line="260" w:lineRule="exact"/>
              <w:jc w:val="center"/>
            </w:pPr>
            <w:r w:rsidRPr="00BF6899">
              <w:t>18,785</w:t>
            </w:r>
          </w:p>
        </w:tc>
        <w:tc>
          <w:tcPr>
            <w:tcW w:w="2185" w:type="dxa"/>
            <w:tcBorders>
              <w:top w:val="nil"/>
              <w:left w:val="single" w:sz="2" w:space="0" w:color="FFFFFF"/>
              <w:bottom w:val="single" w:sz="4" w:space="0" w:color="FFFFFF"/>
              <w:right w:val="nil"/>
            </w:tcBorders>
            <w:shd w:val="clear" w:color="000000" w:fill="F2F2F2"/>
            <w:vAlign w:val="center"/>
            <w:hideMark/>
          </w:tcPr>
          <w:p w14:paraId="456D456B" w14:textId="77777777" w:rsidR="00BF6899" w:rsidRPr="00BF6899" w:rsidRDefault="00BF6899" w:rsidP="00C60233">
            <w:pPr>
              <w:pStyle w:val="Tabletext"/>
              <w:spacing w:line="260" w:lineRule="exact"/>
              <w:jc w:val="center"/>
            </w:pPr>
            <w:r w:rsidRPr="00BF6899">
              <w:t>34</w:t>
            </w:r>
          </w:p>
        </w:tc>
        <w:tc>
          <w:tcPr>
            <w:tcW w:w="1198" w:type="dxa"/>
            <w:tcBorders>
              <w:top w:val="nil"/>
              <w:left w:val="nil"/>
              <w:bottom w:val="single" w:sz="4" w:space="0" w:color="FFFFFF"/>
              <w:right w:val="single" w:sz="2" w:space="0" w:color="FFFFFF"/>
            </w:tcBorders>
            <w:shd w:val="clear" w:color="000000" w:fill="F2F2F2"/>
            <w:vAlign w:val="center"/>
            <w:hideMark/>
          </w:tcPr>
          <w:p w14:paraId="0C0D01E0" w14:textId="77777777" w:rsidR="00BF6899" w:rsidRPr="00BF6899" w:rsidRDefault="00BF6899" w:rsidP="00C60233">
            <w:pPr>
              <w:pStyle w:val="Tabletext"/>
              <w:spacing w:line="260" w:lineRule="exact"/>
              <w:jc w:val="center"/>
            </w:pPr>
            <w:r w:rsidRPr="00BF6899">
              <w:t>0.18%</w:t>
            </w:r>
          </w:p>
        </w:tc>
        <w:tc>
          <w:tcPr>
            <w:tcW w:w="1968" w:type="dxa"/>
            <w:tcBorders>
              <w:top w:val="nil"/>
              <w:left w:val="single" w:sz="2" w:space="0" w:color="FFFFFF"/>
              <w:bottom w:val="single" w:sz="4" w:space="0" w:color="FFFFFF"/>
              <w:right w:val="nil"/>
            </w:tcBorders>
            <w:shd w:val="clear" w:color="000000" w:fill="F2F2F2"/>
            <w:vAlign w:val="center"/>
            <w:hideMark/>
          </w:tcPr>
          <w:p w14:paraId="6A0DA658" w14:textId="77777777" w:rsidR="00BF6899" w:rsidRPr="00BF6899" w:rsidRDefault="00BF6899" w:rsidP="00C60233">
            <w:pPr>
              <w:pStyle w:val="Tabletext"/>
              <w:spacing w:line="260" w:lineRule="exact"/>
              <w:jc w:val="center"/>
            </w:pPr>
            <w:r w:rsidRPr="00BF6899">
              <w:t>794</w:t>
            </w:r>
          </w:p>
        </w:tc>
        <w:tc>
          <w:tcPr>
            <w:tcW w:w="1226" w:type="dxa"/>
            <w:tcBorders>
              <w:top w:val="nil"/>
              <w:left w:val="nil"/>
              <w:bottom w:val="single" w:sz="4" w:space="0" w:color="FFFFFF"/>
              <w:right w:val="nil"/>
            </w:tcBorders>
            <w:shd w:val="clear" w:color="000000" w:fill="F2F2F2"/>
            <w:vAlign w:val="center"/>
            <w:hideMark/>
          </w:tcPr>
          <w:p w14:paraId="28B3721C" w14:textId="77777777" w:rsidR="00BF6899" w:rsidRPr="00BF6899" w:rsidRDefault="00BF6899" w:rsidP="00C60233">
            <w:pPr>
              <w:pStyle w:val="Tabletext"/>
              <w:spacing w:line="260" w:lineRule="exact"/>
              <w:jc w:val="center"/>
            </w:pPr>
            <w:r w:rsidRPr="00BF6899">
              <w:t>4.23%</w:t>
            </w:r>
          </w:p>
        </w:tc>
      </w:tr>
      <w:tr w:rsidR="00BF6899" w:rsidRPr="00BF6899" w14:paraId="5EE29003" w14:textId="77777777" w:rsidTr="00C60233">
        <w:trPr>
          <w:trHeight w:val="397"/>
          <w:jc w:val="center"/>
        </w:trPr>
        <w:tc>
          <w:tcPr>
            <w:tcW w:w="938" w:type="dxa"/>
            <w:tcBorders>
              <w:top w:val="nil"/>
              <w:left w:val="nil"/>
              <w:bottom w:val="single" w:sz="4" w:space="0" w:color="FFFFFF"/>
              <w:right w:val="nil"/>
            </w:tcBorders>
            <w:shd w:val="clear" w:color="000000" w:fill="D9D9D9"/>
            <w:vAlign w:val="center"/>
            <w:hideMark/>
          </w:tcPr>
          <w:p w14:paraId="73748105" w14:textId="77777777" w:rsidR="00BF6899" w:rsidRPr="00BF6899" w:rsidRDefault="00BF6899" w:rsidP="00C60233">
            <w:pPr>
              <w:pStyle w:val="Tabletext"/>
              <w:spacing w:line="260" w:lineRule="exact"/>
            </w:pPr>
            <w:r w:rsidRPr="00BF6899">
              <w:t>10</w:t>
            </w:r>
          </w:p>
        </w:tc>
        <w:tc>
          <w:tcPr>
            <w:tcW w:w="1387" w:type="dxa"/>
            <w:tcBorders>
              <w:top w:val="nil"/>
              <w:left w:val="nil"/>
              <w:bottom w:val="single" w:sz="4" w:space="0" w:color="FFFFFF"/>
              <w:right w:val="single" w:sz="2" w:space="0" w:color="FFFFFF"/>
            </w:tcBorders>
            <w:shd w:val="clear" w:color="000000" w:fill="D9D9D9"/>
            <w:vAlign w:val="center"/>
            <w:hideMark/>
          </w:tcPr>
          <w:p w14:paraId="5786A1D0" w14:textId="77777777" w:rsidR="00BF6899" w:rsidRPr="00BF6899" w:rsidRDefault="00BF6899" w:rsidP="00C60233">
            <w:pPr>
              <w:pStyle w:val="Tabletext"/>
              <w:spacing w:line="260" w:lineRule="exact"/>
              <w:jc w:val="center"/>
            </w:pPr>
            <w:r w:rsidRPr="00BF6899">
              <w:t>31,055</w:t>
            </w:r>
          </w:p>
        </w:tc>
        <w:tc>
          <w:tcPr>
            <w:tcW w:w="2185" w:type="dxa"/>
            <w:tcBorders>
              <w:top w:val="nil"/>
              <w:left w:val="single" w:sz="2" w:space="0" w:color="FFFFFF"/>
              <w:bottom w:val="single" w:sz="4" w:space="0" w:color="FFFFFF"/>
              <w:right w:val="nil"/>
            </w:tcBorders>
            <w:shd w:val="clear" w:color="000000" w:fill="D9D9D9"/>
            <w:vAlign w:val="center"/>
            <w:hideMark/>
          </w:tcPr>
          <w:p w14:paraId="62FA9249" w14:textId="77777777" w:rsidR="00BF6899" w:rsidRPr="00BF6899" w:rsidRDefault="00BF6899" w:rsidP="00C60233">
            <w:pPr>
              <w:pStyle w:val="Tabletext"/>
              <w:spacing w:line="260" w:lineRule="exact"/>
              <w:jc w:val="center"/>
            </w:pPr>
            <w:r w:rsidRPr="00BF6899">
              <w:t>11</w:t>
            </w:r>
          </w:p>
        </w:tc>
        <w:tc>
          <w:tcPr>
            <w:tcW w:w="1198" w:type="dxa"/>
            <w:tcBorders>
              <w:top w:val="nil"/>
              <w:left w:val="nil"/>
              <w:bottom w:val="single" w:sz="4" w:space="0" w:color="FFFFFF"/>
              <w:right w:val="single" w:sz="2" w:space="0" w:color="FFFFFF"/>
            </w:tcBorders>
            <w:shd w:val="clear" w:color="000000" w:fill="D9D9D9"/>
            <w:vAlign w:val="center"/>
            <w:hideMark/>
          </w:tcPr>
          <w:p w14:paraId="41CADFAC" w14:textId="77777777" w:rsidR="00BF6899" w:rsidRPr="00BF6899" w:rsidRDefault="00BF6899" w:rsidP="00C60233">
            <w:pPr>
              <w:pStyle w:val="Tabletext"/>
              <w:spacing w:line="260" w:lineRule="exact"/>
              <w:jc w:val="center"/>
            </w:pPr>
            <w:r w:rsidRPr="00BF6899">
              <w:t>0.04%</w:t>
            </w:r>
          </w:p>
        </w:tc>
        <w:tc>
          <w:tcPr>
            <w:tcW w:w="1968" w:type="dxa"/>
            <w:tcBorders>
              <w:top w:val="nil"/>
              <w:left w:val="single" w:sz="2" w:space="0" w:color="FFFFFF"/>
              <w:bottom w:val="single" w:sz="4" w:space="0" w:color="FFFFFF"/>
              <w:right w:val="nil"/>
            </w:tcBorders>
            <w:shd w:val="clear" w:color="000000" w:fill="D9D9D9"/>
            <w:vAlign w:val="center"/>
            <w:hideMark/>
          </w:tcPr>
          <w:p w14:paraId="1EF3AB91" w14:textId="77777777" w:rsidR="00BF6899" w:rsidRPr="00BF6899" w:rsidRDefault="00BF6899" w:rsidP="00C60233">
            <w:pPr>
              <w:pStyle w:val="Tabletext"/>
              <w:spacing w:line="260" w:lineRule="exact"/>
              <w:jc w:val="center"/>
            </w:pPr>
            <w:r w:rsidRPr="00BF6899">
              <w:t>1520</w:t>
            </w:r>
          </w:p>
        </w:tc>
        <w:tc>
          <w:tcPr>
            <w:tcW w:w="1226" w:type="dxa"/>
            <w:tcBorders>
              <w:top w:val="nil"/>
              <w:left w:val="nil"/>
              <w:bottom w:val="single" w:sz="4" w:space="0" w:color="FFFFFF"/>
              <w:right w:val="nil"/>
            </w:tcBorders>
            <w:shd w:val="clear" w:color="000000" w:fill="D9D9D9"/>
            <w:vAlign w:val="center"/>
            <w:hideMark/>
          </w:tcPr>
          <w:p w14:paraId="0509AA9A" w14:textId="77777777" w:rsidR="00BF6899" w:rsidRPr="00BF6899" w:rsidRDefault="00BF6899" w:rsidP="00C60233">
            <w:pPr>
              <w:pStyle w:val="Tabletext"/>
              <w:spacing w:line="260" w:lineRule="exact"/>
              <w:jc w:val="center"/>
            </w:pPr>
            <w:r w:rsidRPr="00BF6899">
              <w:t>4.90%</w:t>
            </w:r>
          </w:p>
        </w:tc>
      </w:tr>
      <w:tr w:rsidR="00BF6899" w:rsidRPr="00BF6899" w14:paraId="5A51387F" w14:textId="77777777" w:rsidTr="00C60233">
        <w:trPr>
          <w:trHeight w:val="397"/>
          <w:jc w:val="center"/>
        </w:trPr>
        <w:tc>
          <w:tcPr>
            <w:tcW w:w="938" w:type="dxa"/>
            <w:tcBorders>
              <w:top w:val="single" w:sz="4" w:space="0" w:color="FFFFFF"/>
              <w:left w:val="nil"/>
              <w:bottom w:val="single" w:sz="18" w:space="0" w:color="4F81BD" w:themeColor="accent1"/>
              <w:right w:val="nil"/>
            </w:tcBorders>
            <w:shd w:val="clear" w:color="auto" w:fill="DDD9C3" w:themeFill="background2" w:themeFillShade="E6"/>
            <w:vAlign w:val="center"/>
            <w:hideMark/>
          </w:tcPr>
          <w:p w14:paraId="34BBBA87" w14:textId="77777777" w:rsidR="00BF6899" w:rsidRPr="00831EE4" w:rsidRDefault="00BF6899" w:rsidP="00C60233">
            <w:pPr>
              <w:pStyle w:val="Tabletext"/>
              <w:spacing w:line="260" w:lineRule="exact"/>
              <w:rPr>
                <w:b/>
                <w:sz w:val="24"/>
              </w:rPr>
            </w:pPr>
            <w:r w:rsidRPr="00831EE4">
              <w:rPr>
                <w:b/>
                <w:sz w:val="24"/>
              </w:rPr>
              <w:t>All</w:t>
            </w:r>
          </w:p>
        </w:tc>
        <w:tc>
          <w:tcPr>
            <w:tcW w:w="1387" w:type="dxa"/>
            <w:tcBorders>
              <w:top w:val="single" w:sz="4" w:space="0" w:color="FFFFFF"/>
              <w:left w:val="nil"/>
              <w:bottom w:val="single" w:sz="18" w:space="0" w:color="4F81BD" w:themeColor="accent1"/>
              <w:right w:val="single" w:sz="2" w:space="0" w:color="FFFFFF"/>
            </w:tcBorders>
            <w:shd w:val="clear" w:color="auto" w:fill="DDD9C3" w:themeFill="background2" w:themeFillShade="E6"/>
            <w:vAlign w:val="center"/>
            <w:hideMark/>
          </w:tcPr>
          <w:p w14:paraId="20EF950D" w14:textId="77777777" w:rsidR="00BF6899" w:rsidRPr="00831EE4" w:rsidRDefault="00BF6899" w:rsidP="00C60233">
            <w:pPr>
              <w:pStyle w:val="Tabletext"/>
              <w:spacing w:line="260" w:lineRule="exact"/>
              <w:jc w:val="center"/>
              <w:rPr>
                <w:b/>
                <w:sz w:val="24"/>
              </w:rPr>
            </w:pPr>
            <w:r w:rsidRPr="00831EE4">
              <w:rPr>
                <w:b/>
                <w:sz w:val="24"/>
              </w:rPr>
              <w:t>11,791</w:t>
            </w:r>
          </w:p>
        </w:tc>
        <w:tc>
          <w:tcPr>
            <w:tcW w:w="2185" w:type="dxa"/>
            <w:tcBorders>
              <w:top w:val="single" w:sz="4" w:space="0" w:color="FFFFFF"/>
              <w:left w:val="single" w:sz="2" w:space="0" w:color="FFFFFF"/>
              <w:bottom w:val="single" w:sz="18" w:space="0" w:color="4F81BD" w:themeColor="accent1"/>
              <w:right w:val="nil"/>
            </w:tcBorders>
            <w:shd w:val="clear" w:color="auto" w:fill="DDD9C3" w:themeFill="background2" w:themeFillShade="E6"/>
            <w:vAlign w:val="center"/>
            <w:hideMark/>
          </w:tcPr>
          <w:p w14:paraId="2235DC8E" w14:textId="77777777" w:rsidR="00BF6899" w:rsidRPr="00831EE4" w:rsidRDefault="00BF6899" w:rsidP="00C60233">
            <w:pPr>
              <w:pStyle w:val="Tabletext"/>
              <w:spacing w:line="260" w:lineRule="exact"/>
              <w:jc w:val="center"/>
              <w:rPr>
                <w:b/>
                <w:sz w:val="24"/>
              </w:rPr>
            </w:pPr>
            <w:r w:rsidRPr="00831EE4">
              <w:rPr>
                <w:b/>
                <w:sz w:val="24"/>
              </w:rPr>
              <w:t>78</w:t>
            </w:r>
          </w:p>
        </w:tc>
        <w:tc>
          <w:tcPr>
            <w:tcW w:w="1198" w:type="dxa"/>
            <w:tcBorders>
              <w:top w:val="single" w:sz="4" w:space="0" w:color="FFFFFF"/>
              <w:left w:val="nil"/>
              <w:bottom w:val="single" w:sz="18" w:space="0" w:color="4F81BD" w:themeColor="accent1"/>
              <w:right w:val="single" w:sz="2" w:space="0" w:color="FFFFFF"/>
            </w:tcBorders>
            <w:shd w:val="clear" w:color="auto" w:fill="DDD9C3" w:themeFill="background2" w:themeFillShade="E6"/>
            <w:vAlign w:val="center"/>
            <w:hideMark/>
          </w:tcPr>
          <w:p w14:paraId="075AFC58" w14:textId="77777777" w:rsidR="00BF6899" w:rsidRPr="00831EE4" w:rsidRDefault="00BF6899" w:rsidP="00C60233">
            <w:pPr>
              <w:pStyle w:val="Tabletext"/>
              <w:spacing w:line="260" w:lineRule="exact"/>
              <w:jc w:val="center"/>
              <w:rPr>
                <w:b/>
                <w:sz w:val="24"/>
              </w:rPr>
            </w:pPr>
            <w:r w:rsidRPr="00831EE4">
              <w:rPr>
                <w:b/>
                <w:sz w:val="24"/>
              </w:rPr>
              <w:t>0.61%</w:t>
            </w:r>
          </w:p>
        </w:tc>
        <w:tc>
          <w:tcPr>
            <w:tcW w:w="1968" w:type="dxa"/>
            <w:tcBorders>
              <w:top w:val="single" w:sz="4" w:space="0" w:color="FFFFFF"/>
              <w:left w:val="single" w:sz="2" w:space="0" w:color="FFFFFF"/>
              <w:bottom w:val="single" w:sz="18" w:space="0" w:color="4F81BD" w:themeColor="accent1"/>
              <w:right w:val="nil"/>
            </w:tcBorders>
            <w:shd w:val="clear" w:color="auto" w:fill="DDD9C3" w:themeFill="background2" w:themeFillShade="E6"/>
            <w:vAlign w:val="center"/>
            <w:hideMark/>
          </w:tcPr>
          <w:p w14:paraId="488F7DC1" w14:textId="77777777" w:rsidR="00BF6899" w:rsidRPr="00831EE4" w:rsidRDefault="00BF6899" w:rsidP="00C60233">
            <w:pPr>
              <w:pStyle w:val="Tabletext"/>
              <w:spacing w:line="260" w:lineRule="exact"/>
              <w:jc w:val="center"/>
              <w:rPr>
                <w:b/>
                <w:sz w:val="24"/>
              </w:rPr>
            </w:pPr>
            <w:r w:rsidRPr="00831EE4">
              <w:rPr>
                <w:b/>
                <w:sz w:val="24"/>
              </w:rPr>
              <w:t>580</w:t>
            </w:r>
          </w:p>
        </w:tc>
        <w:tc>
          <w:tcPr>
            <w:tcW w:w="1226" w:type="dxa"/>
            <w:tcBorders>
              <w:top w:val="single" w:sz="4" w:space="0" w:color="FFFFFF"/>
              <w:left w:val="nil"/>
              <w:bottom w:val="single" w:sz="18" w:space="0" w:color="4F81BD" w:themeColor="accent1"/>
              <w:right w:val="nil"/>
            </w:tcBorders>
            <w:shd w:val="clear" w:color="auto" w:fill="DDD9C3" w:themeFill="background2" w:themeFillShade="E6"/>
            <w:vAlign w:val="center"/>
            <w:hideMark/>
          </w:tcPr>
          <w:p w14:paraId="43D84162" w14:textId="77777777" w:rsidR="00BF6899" w:rsidRPr="00831EE4" w:rsidRDefault="00BF6899" w:rsidP="00C60233">
            <w:pPr>
              <w:pStyle w:val="Tabletext"/>
              <w:spacing w:line="260" w:lineRule="exact"/>
              <w:jc w:val="center"/>
              <w:rPr>
                <w:b/>
                <w:sz w:val="24"/>
              </w:rPr>
            </w:pPr>
            <w:r w:rsidRPr="00831EE4">
              <w:rPr>
                <w:b/>
                <w:sz w:val="24"/>
              </w:rPr>
              <w:t>4.51%</w:t>
            </w:r>
          </w:p>
        </w:tc>
      </w:tr>
    </w:tbl>
    <w:p w14:paraId="59747A25" w14:textId="77777777" w:rsidR="00CA6BC9" w:rsidRDefault="00CA6BC9" w:rsidP="00831EE4">
      <w:pPr>
        <w:pStyle w:val="Source"/>
        <w:spacing w:after="0"/>
        <w:rPr>
          <w:rStyle w:val="af5"/>
          <w:rFonts w:cs="Calibri Light"/>
          <w:sz w:val="20"/>
          <w:szCs w:val="20"/>
          <w:lang w:val="en-GB" w:eastAsia="en-US"/>
        </w:rPr>
      </w:pPr>
      <w:r>
        <w:rPr>
          <w:rStyle w:val="af5"/>
          <w:rFonts w:cs="Calibri Light"/>
          <w:b/>
          <w:bCs/>
          <w:sz w:val="20"/>
          <w:szCs w:val="20"/>
          <w:lang w:val="en-GB"/>
        </w:rPr>
        <w:t>Notes:</w:t>
      </w:r>
      <w:r>
        <w:rPr>
          <w:rStyle w:val="af5"/>
          <w:rFonts w:cs="Calibri Light"/>
          <w:sz w:val="20"/>
          <w:szCs w:val="20"/>
          <w:lang w:val="en-GB"/>
        </w:rPr>
        <w:t xml:space="preserve"> </w:t>
      </w:r>
    </w:p>
    <w:p w14:paraId="647EC30B" w14:textId="77777777" w:rsidR="00CA6BC9" w:rsidRPr="00831EE4" w:rsidRDefault="00CA6BC9" w:rsidP="00831EE4">
      <w:pPr>
        <w:pStyle w:val="Source"/>
        <w:spacing w:after="0"/>
        <w:rPr>
          <w:rStyle w:val="af5"/>
          <w:rFonts w:cs="Calibri Light"/>
          <w:sz w:val="19"/>
          <w:szCs w:val="19"/>
          <w:lang w:val="en-GB"/>
        </w:rPr>
      </w:pPr>
      <w:r w:rsidRPr="00831EE4">
        <w:rPr>
          <w:rStyle w:val="af5"/>
          <w:rFonts w:cs="Calibri Light"/>
          <w:sz w:val="19"/>
          <w:szCs w:val="19"/>
          <w:lang w:val="en-GB"/>
        </w:rPr>
        <w:t xml:space="preserve">Changes are calculated with respect to the 2025_base mean equivalised income per decile. </w:t>
      </w:r>
    </w:p>
    <w:p w14:paraId="6E0D6285" w14:textId="77777777" w:rsidR="00CA6BC9" w:rsidRPr="00831EE4" w:rsidRDefault="00CA6BC9" w:rsidP="00831EE4">
      <w:pPr>
        <w:pStyle w:val="Source"/>
        <w:spacing w:after="0"/>
        <w:rPr>
          <w:rStyle w:val="af5"/>
          <w:rFonts w:cs="Calibri Light"/>
          <w:i/>
          <w:sz w:val="19"/>
          <w:szCs w:val="19"/>
          <w:lang w:val="en-GB"/>
        </w:rPr>
      </w:pPr>
      <w:r w:rsidRPr="00831EE4">
        <w:rPr>
          <w:rStyle w:val="af5"/>
          <w:rFonts w:cs="Calibri Light"/>
          <w:sz w:val="19"/>
          <w:szCs w:val="19"/>
          <w:lang w:val="en-GB"/>
        </w:rPr>
        <w:t>The equivalised income is calculated using the OECD equivalent scales that give weights 1 to the first adult, 0.5 to other adults in the household and 0.3 to children under 14.</w:t>
      </w:r>
    </w:p>
    <w:p w14:paraId="12898D3E" w14:textId="0C3D8128" w:rsidR="00CA6BC9" w:rsidRDefault="00B54A41" w:rsidP="00C60233">
      <w:pPr>
        <w:spacing w:before="480" w:after="120"/>
        <w:rPr>
          <w:lang w:val="en-US"/>
        </w:rPr>
      </w:pPr>
      <w:r>
        <w:rPr>
          <w:highlight w:val="yellow"/>
          <w:lang w:val="en-US"/>
        </w:rPr>
        <w:fldChar w:fldCharType="begin"/>
      </w:r>
      <w:r>
        <w:rPr>
          <w:lang w:val="en-US"/>
        </w:rPr>
        <w:instrText xml:space="preserve"> REF _Ref211259856 \h </w:instrText>
      </w:r>
      <w:r>
        <w:rPr>
          <w:highlight w:val="yellow"/>
          <w:lang w:val="en-US"/>
        </w:rPr>
      </w:r>
      <w:r>
        <w:rPr>
          <w:highlight w:val="yellow"/>
          <w:lang w:val="en-US"/>
        </w:rPr>
        <w:fldChar w:fldCharType="separate"/>
      </w:r>
      <w:r w:rsidR="00AF0E6B" w:rsidRPr="00AF0E6B">
        <w:rPr>
          <w:lang w:val="en-US"/>
        </w:rPr>
        <w:t xml:space="preserve">Table </w:t>
      </w:r>
      <w:r w:rsidR="00AF0E6B" w:rsidRPr="00AF0E6B">
        <w:rPr>
          <w:noProof/>
          <w:lang w:val="en-US"/>
        </w:rPr>
        <w:t>11</w:t>
      </w:r>
      <w:r>
        <w:rPr>
          <w:highlight w:val="yellow"/>
          <w:lang w:val="en-US"/>
        </w:rPr>
        <w:fldChar w:fldCharType="end"/>
      </w:r>
      <w:r w:rsidRPr="00831EE4">
        <w:rPr>
          <w:lang w:val="en-US"/>
        </w:rPr>
        <w:t xml:space="preserve"> </w:t>
      </w:r>
      <w:r w:rsidR="00CA6BC9" w:rsidRPr="00831EE4">
        <w:rPr>
          <w:lang w:val="en-US"/>
        </w:rPr>
        <w:t>presents the Average Tax Burden, calculated as the ratio of total direct taxes and social insurance contributions paid by households to the sum of their original income and cash social benefits. This indicator reflects the proportion of households’ gross resources</w:t>
      </w:r>
      <w:r w:rsidR="00BF6899">
        <w:rPr>
          <w:lang w:val="en-US"/>
        </w:rPr>
        <w:t xml:space="preserve"> </w:t>
      </w:r>
      <w:r w:rsidR="00CA6BC9" w:rsidRPr="00831EE4">
        <w:rPr>
          <w:lang w:val="en-US"/>
        </w:rPr>
        <w:t>—comprising market income and transfer income—</w:t>
      </w:r>
      <w:r w:rsidR="00BF6899">
        <w:rPr>
          <w:lang w:val="en-US"/>
        </w:rPr>
        <w:t xml:space="preserve"> </w:t>
      </w:r>
      <w:r w:rsidR="00CA6BC9" w:rsidRPr="00831EE4">
        <w:rPr>
          <w:lang w:val="en-US"/>
        </w:rPr>
        <w:t>absorbed by the tax and social contribution system. It provides a consistent measure of the overall level of taxation and social contribution liabilities relative to households pre-tax and pre-contribution income, prior to the calculation of disposable income.</w:t>
      </w:r>
    </w:p>
    <w:p w14:paraId="25A05D6B" w14:textId="77777777" w:rsidR="00E2601D" w:rsidRDefault="00E2601D" w:rsidP="00C60233">
      <w:pPr>
        <w:spacing w:before="480" w:after="120"/>
        <w:rPr>
          <w:lang w:val="en-US"/>
        </w:rPr>
      </w:pPr>
    </w:p>
    <w:p w14:paraId="41FC3FFE" w14:textId="4186C242" w:rsidR="00CA6BC9" w:rsidRDefault="00B54A41" w:rsidP="00B54A41">
      <w:pPr>
        <w:pStyle w:val="ae"/>
      </w:pPr>
      <w:bookmarkStart w:id="75" w:name="_Ref211259856"/>
      <w:bookmarkStart w:id="76" w:name="_Toc211355105"/>
      <w:r>
        <w:t xml:space="preserve">Table </w:t>
      </w:r>
      <w:r>
        <w:fldChar w:fldCharType="begin"/>
      </w:r>
      <w:r>
        <w:instrText xml:space="preserve"> SEQ Table \* ARABIC </w:instrText>
      </w:r>
      <w:r>
        <w:fldChar w:fldCharType="separate"/>
      </w:r>
      <w:r w:rsidR="00AF0E6B">
        <w:rPr>
          <w:noProof/>
        </w:rPr>
        <w:t>11</w:t>
      </w:r>
      <w:r>
        <w:fldChar w:fldCharType="end"/>
      </w:r>
      <w:bookmarkEnd w:id="75"/>
      <w:r>
        <w:t xml:space="preserve"> | </w:t>
      </w:r>
      <w:r w:rsidR="00CA6BC9">
        <w:t xml:space="preserve">Average tax burden </w:t>
      </w:r>
      <w:r w:rsidR="00CA6BC9" w:rsidRPr="00831EE4">
        <w:rPr>
          <w:b w:val="0"/>
        </w:rPr>
        <w:t>(%)</w:t>
      </w:r>
      <w:r w:rsidR="00CA6BC9">
        <w:t>, relative changes</w:t>
      </w:r>
      <w:bookmarkEnd w:id="76"/>
    </w:p>
    <w:tbl>
      <w:tblPr>
        <w:tblW w:w="8931" w:type="dxa"/>
        <w:jc w:val="center"/>
        <w:tblLook w:val="04A0" w:firstRow="1" w:lastRow="0" w:firstColumn="1" w:lastColumn="0" w:noHBand="0" w:noVBand="1"/>
      </w:tblPr>
      <w:tblGrid>
        <w:gridCol w:w="1276"/>
        <w:gridCol w:w="3155"/>
        <w:gridCol w:w="2232"/>
        <w:gridCol w:w="2268"/>
      </w:tblGrid>
      <w:tr w:rsidR="00B54A41" w:rsidRPr="00B54A41" w14:paraId="0D0A9E83" w14:textId="77777777" w:rsidTr="00E2601D">
        <w:trPr>
          <w:trHeight w:val="284"/>
          <w:jc w:val="center"/>
        </w:trPr>
        <w:tc>
          <w:tcPr>
            <w:tcW w:w="1276" w:type="dxa"/>
            <w:vMerge w:val="restart"/>
            <w:tcBorders>
              <w:top w:val="nil"/>
              <w:left w:val="nil"/>
              <w:bottom w:val="nil"/>
              <w:right w:val="nil"/>
            </w:tcBorders>
            <w:shd w:val="clear" w:color="000000" w:fill="BFBFBF"/>
            <w:vAlign w:val="center"/>
            <w:hideMark/>
          </w:tcPr>
          <w:p w14:paraId="7AB2C6D6" w14:textId="77777777" w:rsidR="00B54A41" w:rsidRPr="00831EE4" w:rsidRDefault="00B54A41" w:rsidP="00831EE4">
            <w:pPr>
              <w:pStyle w:val="Tabletext"/>
              <w:rPr>
                <w:b/>
                <w:sz w:val="24"/>
              </w:rPr>
            </w:pPr>
            <w:r w:rsidRPr="00831EE4">
              <w:rPr>
                <w:b/>
                <w:sz w:val="24"/>
              </w:rPr>
              <w:t>Decile</w:t>
            </w:r>
          </w:p>
        </w:tc>
        <w:tc>
          <w:tcPr>
            <w:tcW w:w="3155" w:type="dxa"/>
            <w:tcBorders>
              <w:top w:val="nil"/>
              <w:left w:val="nil"/>
              <w:bottom w:val="nil"/>
              <w:right w:val="single" w:sz="2" w:space="0" w:color="FFFFFF"/>
            </w:tcBorders>
            <w:shd w:val="clear" w:color="000000" w:fill="BFBFBF"/>
            <w:vAlign w:val="center"/>
            <w:hideMark/>
          </w:tcPr>
          <w:p w14:paraId="3782F78E" w14:textId="77777777" w:rsidR="00B54A41" w:rsidRPr="00831EE4" w:rsidRDefault="00B54A41" w:rsidP="00831EE4">
            <w:pPr>
              <w:pStyle w:val="Tabletext"/>
              <w:jc w:val="center"/>
              <w:rPr>
                <w:b/>
                <w:sz w:val="24"/>
              </w:rPr>
            </w:pPr>
            <w:r w:rsidRPr="00831EE4">
              <w:rPr>
                <w:b/>
                <w:sz w:val="24"/>
              </w:rPr>
              <w:t>2025_base</w:t>
            </w:r>
          </w:p>
        </w:tc>
        <w:tc>
          <w:tcPr>
            <w:tcW w:w="2232" w:type="dxa"/>
            <w:tcBorders>
              <w:top w:val="nil"/>
              <w:left w:val="single" w:sz="2" w:space="0" w:color="FFFFFF"/>
              <w:bottom w:val="nil"/>
              <w:right w:val="nil"/>
            </w:tcBorders>
            <w:shd w:val="clear" w:color="000000" w:fill="BFBFBF"/>
            <w:vAlign w:val="center"/>
            <w:hideMark/>
          </w:tcPr>
          <w:p w14:paraId="365FC725" w14:textId="77777777" w:rsidR="00B54A41" w:rsidRPr="00831EE4" w:rsidRDefault="00B54A41" w:rsidP="00831EE4">
            <w:pPr>
              <w:pStyle w:val="Tabletext"/>
              <w:jc w:val="center"/>
              <w:rPr>
                <w:b/>
                <w:sz w:val="24"/>
              </w:rPr>
            </w:pPr>
            <w:r w:rsidRPr="00831EE4">
              <w:rPr>
                <w:b/>
                <w:sz w:val="24"/>
              </w:rPr>
              <w:t>2025_ref</w:t>
            </w:r>
          </w:p>
        </w:tc>
        <w:tc>
          <w:tcPr>
            <w:tcW w:w="2268" w:type="dxa"/>
            <w:tcBorders>
              <w:top w:val="nil"/>
              <w:left w:val="nil"/>
              <w:bottom w:val="nil"/>
              <w:right w:val="nil"/>
            </w:tcBorders>
            <w:shd w:val="clear" w:color="000000" w:fill="BFBFBF"/>
            <w:vAlign w:val="center"/>
            <w:hideMark/>
          </w:tcPr>
          <w:p w14:paraId="1367B800" w14:textId="77777777" w:rsidR="00B54A41" w:rsidRPr="00831EE4" w:rsidRDefault="00B54A41" w:rsidP="00831EE4">
            <w:pPr>
              <w:pStyle w:val="Tabletext"/>
              <w:jc w:val="center"/>
              <w:rPr>
                <w:b/>
                <w:sz w:val="24"/>
              </w:rPr>
            </w:pPr>
            <w:r w:rsidRPr="00831EE4">
              <w:rPr>
                <w:b/>
                <w:sz w:val="24"/>
              </w:rPr>
              <w:t>2026_ref</w:t>
            </w:r>
          </w:p>
        </w:tc>
      </w:tr>
      <w:tr w:rsidR="00B54A41" w:rsidRPr="00B54A41" w14:paraId="39357914" w14:textId="77777777" w:rsidTr="00E2601D">
        <w:trPr>
          <w:trHeight w:val="284"/>
          <w:jc w:val="center"/>
        </w:trPr>
        <w:tc>
          <w:tcPr>
            <w:tcW w:w="1276" w:type="dxa"/>
            <w:vMerge/>
            <w:tcBorders>
              <w:top w:val="nil"/>
              <w:left w:val="nil"/>
              <w:bottom w:val="nil"/>
              <w:right w:val="nil"/>
            </w:tcBorders>
            <w:vAlign w:val="center"/>
            <w:hideMark/>
          </w:tcPr>
          <w:p w14:paraId="6B6FB824" w14:textId="77777777" w:rsidR="00B54A41" w:rsidRPr="00B54A41" w:rsidRDefault="00B54A41" w:rsidP="00831EE4">
            <w:pPr>
              <w:pStyle w:val="Tabletext"/>
            </w:pPr>
          </w:p>
        </w:tc>
        <w:tc>
          <w:tcPr>
            <w:tcW w:w="3155" w:type="dxa"/>
            <w:tcBorders>
              <w:top w:val="nil"/>
              <w:left w:val="nil"/>
              <w:bottom w:val="nil"/>
              <w:right w:val="single" w:sz="2" w:space="0" w:color="FFFFFF"/>
            </w:tcBorders>
            <w:shd w:val="clear" w:color="000000" w:fill="BFBFBF"/>
            <w:vAlign w:val="center"/>
            <w:hideMark/>
          </w:tcPr>
          <w:p w14:paraId="37F831E4" w14:textId="77777777" w:rsidR="00B54A41" w:rsidRPr="00831EE4" w:rsidRDefault="00B54A41" w:rsidP="00831EE4">
            <w:pPr>
              <w:pStyle w:val="Tabletext"/>
              <w:jc w:val="center"/>
              <w:rPr>
                <w:sz w:val="24"/>
              </w:rPr>
            </w:pPr>
            <w:r w:rsidRPr="00831EE4">
              <w:rPr>
                <w:sz w:val="24"/>
              </w:rPr>
              <w:t>Average Tax Burden</w:t>
            </w:r>
          </w:p>
        </w:tc>
        <w:tc>
          <w:tcPr>
            <w:tcW w:w="2232" w:type="dxa"/>
            <w:tcBorders>
              <w:top w:val="nil"/>
              <w:left w:val="single" w:sz="2" w:space="0" w:color="FFFFFF"/>
              <w:bottom w:val="nil"/>
              <w:right w:val="nil"/>
            </w:tcBorders>
            <w:shd w:val="clear" w:color="000000" w:fill="BFBFBF"/>
            <w:vAlign w:val="center"/>
            <w:hideMark/>
          </w:tcPr>
          <w:p w14:paraId="479ED88F" w14:textId="77777777" w:rsidR="00B54A41" w:rsidRPr="00831EE4" w:rsidRDefault="00B54A41" w:rsidP="00831EE4">
            <w:pPr>
              <w:pStyle w:val="Tabletext"/>
              <w:jc w:val="center"/>
              <w:rPr>
                <w:sz w:val="24"/>
              </w:rPr>
            </w:pPr>
            <w:r w:rsidRPr="00831EE4">
              <w:rPr>
                <w:sz w:val="24"/>
              </w:rPr>
              <w:t>Relative change (pp)</w:t>
            </w:r>
          </w:p>
        </w:tc>
        <w:tc>
          <w:tcPr>
            <w:tcW w:w="2268" w:type="dxa"/>
            <w:tcBorders>
              <w:top w:val="nil"/>
              <w:left w:val="nil"/>
              <w:bottom w:val="nil"/>
              <w:right w:val="nil"/>
            </w:tcBorders>
            <w:shd w:val="clear" w:color="000000" w:fill="BFBFBF"/>
            <w:vAlign w:val="center"/>
            <w:hideMark/>
          </w:tcPr>
          <w:p w14:paraId="33E6D2E5" w14:textId="77777777" w:rsidR="00B54A41" w:rsidRPr="00831EE4" w:rsidRDefault="00B54A41" w:rsidP="00831EE4">
            <w:pPr>
              <w:pStyle w:val="Tabletext"/>
              <w:jc w:val="center"/>
              <w:rPr>
                <w:sz w:val="24"/>
              </w:rPr>
            </w:pPr>
            <w:r w:rsidRPr="00831EE4">
              <w:rPr>
                <w:sz w:val="24"/>
              </w:rPr>
              <w:t>Relative change (pp)</w:t>
            </w:r>
          </w:p>
        </w:tc>
      </w:tr>
      <w:tr w:rsidR="00B54A41" w:rsidRPr="00B54A41" w14:paraId="6ED30A19" w14:textId="77777777" w:rsidTr="00E2601D">
        <w:trPr>
          <w:trHeight w:val="284"/>
          <w:jc w:val="center"/>
        </w:trPr>
        <w:tc>
          <w:tcPr>
            <w:tcW w:w="1276" w:type="dxa"/>
            <w:tcBorders>
              <w:top w:val="nil"/>
              <w:left w:val="nil"/>
              <w:bottom w:val="single" w:sz="4" w:space="0" w:color="FFFFFF"/>
              <w:right w:val="nil"/>
            </w:tcBorders>
            <w:shd w:val="clear" w:color="000000" w:fill="F2F2F2"/>
            <w:vAlign w:val="center"/>
            <w:hideMark/>
          </w:tcPr>
          <w:p w14:paraId="5372BE98" w14:textId="77777777" w:rsidR="00B54A41" w:rsidRPr="00B54A41" w:rsidRDefault="00B54A41" w:rsidP="00831EE4">
            <w:pPr>
              <w:pStyle w:val="Tabletext"/>
            </w:pPr>
            <w:r w:rsidRPr="00B54A41">
              <w:t>1</w:t>
            </w:r>
          </w:p>
        </w:tc>
        <w:tc>
          <w:tcPr>
            <w:tcW w:w="3155" w:type="dxa"/>
            <w:tcBorders>
              <w:top w:val="nil"/>
              <w:left w:val="nil"/>
              <w:bottom w:val="single" w:sz="4" w:space="0" w:color="FFFFFF"/>
              <w:right w:val="single" w:sz="2" w:space="0" w:color="FFFFFF"/>
            </w:tcBorders>
            <w:shd w:val="clear" w:color="000000" w:fill="F2F2F2"/>
            <w:vAlign w:val="center"/>
            <w:hideMark/>
          </w:tcPr>
          <w:p w14:paraId="7406AE3F" w14:textId="77777777" w:rsidR="00B54A41" w:rsidRPr="00B54A41" w:rsidRDefault="00B54A41" w:rsidP="00831EE4">
            <w:pPr>
              <w:pStyle w:val="Tabletext"/>
              <w:jc w:val="center"/>
            </w:pPr>
            <w:r w:rsidRPr="00B54A41">
              <w:t>17.9%</w:t>
            </w:r>
          </w:p>
        </w:tc>
        <w:tc>
          <w:tcPr>
            <w:tcW w:w="2232" w:type="dxa"/>
            <w:tcBorders>
              <w:top w:val="nil"/>
              <w:left w:val="single" w:sz="2" w:space="0" w:color="FFFFFF"/>
              <w:bottom w:val="single" w:sz="4" w:space="0" w:color="FFFFFF"/>
              <w:right w:val="nil"/>
            </w:tcBorders>
            <w:shd w:val="clear" w:color="000000" w:fill="F2F2F2"/>
            <w:vAlign w:val="center"/>
            <w:hideMark/>
          </w:tcPr>
          <w:p w14:paraId="3F57AFB5" w14:textId="77777777" w:rsidR="00B54A41" w:rsidRPr="00B54A41" w:rsidRDefault="00B54A41" w:rsidP="00831EE4">
            <w:pPr>
              <w:pStyle w:val="Tabletext"/>
              <w:jc w:val="center"/>
            </w:pPr>
            <w:r w:rsidRPr="00B54A41">
              <w:t>-0.3</w:t>
            </w:r>
          </w:p>
        </w:tc>
        <w:tc>
          <w:tcPr>
            <w:tcW w:w="2268" w:type="dxa"/>
            <w:tcBorders>
              <w:top w:val="nil"/>
              <w:left w:val="nil"/>
              <w:bottom w:val="single" w:sz="4" w:space="0" w:color="FFFFFF"/>
              <w:right w:val="nil"/>
            </w:tcBorders>
            <w:shd w:val="clear" w:color="000000" w:fill="F2F2F2"/>
            <w:vAlign w:val="center"/>
            <w:hideMark/>
          </w:tcPr>
          <w:p w14:paraId="21FC804F" w14:textId="77777777" w:rsidR="00B54A41" w:rsidRPr="00B54A41" w:rsidRDefault="00B54A41" w:rsidP="00831EE4">
            <w:pPr>
              <w:pStyle w:val="Tabletext"/>
              <w:jc w:val="center"/>
            </w:pPr>
            <w:r w:rsidRPr="00B54A41">
              <w:t>-0.2</w:t>
            </w:r>
          </w:p>
        </w:tc>
      </w:tr>
      <w:tr w:rsidR="00B54A41" w:rsidRPr="00B54A41" w14:paraId="04B179F7" w14:textId="77777777" w:rsidTr="00E2601D">
        <w:trPr>
          <w:trHeight w:val="284"/>
          <w:jc w:val="center"/>
        </w:trPr>
        <w:tc>
          <w:tcPr>
            <w:tcW w:w="1276" w:type="dxa"/>
            <w:tcBorders>
              <w:top w:val="nil"/>
              <w:left w:val="nil"/>
              <w:bottom w:val="single" w:sz="4" w:space="0" w:color="FFFFFF"/>
              <w:right w:val="nil"/>
            </w:tcBorders>
            <w:shd w:val="clear" w:color="000000" w:fill="D9D9D9"/>
            <w:vAlign w:val="center"/>
            <w:hideMark/>
          </w:tcPr>
          <w:p w14:paraId="31375226" w14:textId="77777777" w:rsidR="00B54A41" w:rsidRPr="00B54A41" w:rsidRDefault="00B54A41" w:rsidP="00831EE4">
            <w:pPr>
              <w:pStyle w:val="Tabletext"/>
            </w:pPr>
            <w:r w:rsidRPr="00B54A41">
              <w:t>2</w:t>
            </w:r>
          </w:p>
        </w:tc>
        <w:tc>
          <w:tcPr>
            <w:tcW w:w="3155" w:type="dxa"/>
            <w:tcBorders>
              <w:top w:val="nil"/>
              <w:left w:val="nil"/>
              <w:bottom w:val="single" w:sz="4" w:space="0" w:color="FFFFFF"/>
              <w:right w:val="single" w:sz="2" w:space="0" w:color="FFFFFF"/>
            </w:tcBorders>
            <w:shd w:val="clear" w:color="000000" w:fill="D9D9D9"/>
            <w:vAlign w:val="center"/>
            <w:hideMark/>
          </w:tcPr>
          <w:p w14:paraId="32575964" w14:textId="77777777" w:rsidR="00B54A41" w:rsidRPr="00B54A41" w:rsidRDefault="00B54A41" w:rsidP="00831EE4">
            <w:pPr>
              <w:pStyle w:val="Tabletext"/>
              <w:jc w:val="center"/>
            </w:pPr>
            <w:r w:rsidRPr="00B54A41">
              <w:t>15.3%</w:t>
            </w:r>
          </w:p>
        </w:tc>
        <w:tc>
          <w:tcPr>
            <w:tcW w:w="2232" w:type="dxa"/>
            <w:tcBorders>
              <w:top w:val="nil"/>
              <w:left w:val="single" w:sz="2" w:space="0" w:color="FFFFFF"/>
              <w:bottom w:val="single" w:sz="4" w:space="0" w:color="FFFFFF"/>
              <w:right w:val="nil"/>
            </w:tcBorders>
            <w:shd w:val="clear" w:color="000000" w:fill="D9D9D9"/>
            <w:vAlign w:val="center"/>
            <w:hideMark/>
          </w:tcPr>
          <w:p w14:paraId="5C0D2625" w14:textId="77777777" w:rsidR="00B54A41" w:rsidRPr="00B54A41" w:rsidRDefault="00B54A41" w:rsidP="00831EE4">
            <w:pPr>
              <w:pStyle w:val="Tabletext"/>
              <w:jc w:val="center"/>
            </w:pPr>
            <w:r w:rsidRPr="00B54A41">
              <w:t>-0.2</w:t>
            </w:r>
          </w:p>
        </w:tc>
        <w:tc>
          <w:tcPr>
            <w:tcW w:w="2268" w:type="dxa"/>
            <w:tcBorders>
              <w:top w:val="nil"/>
              <w:left w:val="nil"/>
              <w:bottom w:val="single" w:sz="4" w:space="0" w:color="FFFFFF"/>
              <w:right w:val="nil"/>
            </w:tcBorders>
            <w:shd w:val="clear" w:color="000000" w:fill="D9D9D9"/>
            <w:vAlign w:val="center"/>
            <w:hideMark/>
          </w:tcPr>
          <w:p w14:paraId="7F7D4AF4" w14:textId="77777777" w:rsidR="00B54A41" w:rsidRPr="00B54A41" w:rsidRDefault="00B54A41" w:rsidP="00831EE4">
            <w:pPr>
              <w:pStyle w:val="Tabletext"/>
              <w:jc w:val="center"/>
            </w:pPr>
            <w:r w:rsidRPr="00B54A41">
              <w:t>-0.2</w:t>
            </w:r>
          </w:p>
        </w:tc>
      </w:tr>
      <w:tr w:rsidR="00B54A41" w:rsidRPr="00B54A41" w14:paraId="57FE69D2" w14:textId="77777777" w:rsidTr="00E2601D">
        <w:trPr>
          <w:trHeight w:val="284"/>
          <w:jc w:val="center"/>
        </w:trPr>
        <w:tc>
          <w:tcPr>
            <w:tcW w:w="1276" w:type="dxa"/>
            <w:tcBorders>
              <w:top w:val="nil"/>
              <w:left w:val="nil"/>
              <w:bottom w:val="single" w:sz="4" w:space="0" w:color="FFFFFF"/>
              <w:right w:val="nil"/>
            </w:tcBorders>
            <w:shd w:val="clear" w:color="000000" w:fill="F2F2F2"/>
            <w:vAlign w:val="center"/>
            <w:hideMark/>
          </w:tcPr>
          <w:p w14:paraId="27A0AE02" w14:textId="77777777" w:rsidR="00B54A41" w:rsidRPr="00B54A41" w:rsidRDefault="00B54A41" w:rsidP="00831EE4">
            <w:pPr>
              <w:pStyle w:val="Tabletext"/>
            </w:pPr>
            <w:r w:rsidRPr="00B54A41">
              <w:t>3</w:t>
            </w:r>
          </w:p>
        </w:tc>
        <w:tc>
          <w:tcPr>
            <w:tcW w:w="3155" w:type="dxa"/>
            <w:tcBorders>
              <w:top w:val="nil"/>
              <w:left w:val="nil"/>
              <w:bottom w:val="single" w:sz="4" w:space="0" w:color="FFFFFF"/>
              <w:right w:val="single" w:sz="2" w:space="0" w:color="FFFFFF"/>
            </w:tcBorders>
            <w:shd w:val="clear" w:color="000000" w:fill="F2F2F2"/>
            <w:vAlign w:val="center"/>
            <w:hideMark/>
          </w:tcPr>
          <w:p w14:paraId="5A403BD2" w14:textId="77777777" w:rsidR="00B54A41" w:rsidRPr="00B54A41" w:rsidRDefault="00B54A41" w:rsidP="00831EE4">
            <w:pPr>
              <w:pStyle w:val="Tabletext"/>
              <w:jc w:val="center"/>
            </w:pPr>
            <w:r w:rsidRPr="00B54A41">
              <w:t>15.8%</w:t>
            </w:r>
          </w:p>
        </w:tc>
        <w:tc>
          <w:tcPr>
            <w:tcW w:w="2232" w:type="dxa"/>
            <w:tcBorders>
              <w:top w:val="nil"/>
              <w:left w:val="single" w:sz="2" w:space="0" w:color="FFFFFF"/>
              <w:bottom w:val="single" w:sz="4" w:space="0" w:color="FFFFFF"/>
              <w:right w:val="nil"/>
            </w:tcBorders>
            <w:shd w:val="clear" w:color="000000" w:fill="F2F2F2"/>
            <w:vAlign w:val="center"/>
            <w:hideMark/>
          </w:tcPr>
          <w:p w14:paraId="6D43D0DC" w14:textId="77777777" w:rsidR="00B54A41" w:rsidRPr="00B54A41" w:rsidRDefault="00B54A41" w:rsidP="00831EE4">
            <w:pPr>
              <w:pStyle w:val="Tabletext"/>
              <w:jc w:val="center"/>
            </w:pPr>
            <w:r w:rsidRPr="00B54A41">
              <w:t>-0.2</w:t>
            </w:r>
          </w:p>
        </w:tc>
        <w:tc>
          <w:tcPr>
            <w:tcW w:w="2268" w:type="dxa"/>
            <w:tcBorders>
              <w:top w:val="nil"/>
              <w:left w:val="nil"/>
              <w:bottom w:val="single" w:sz="4" w:space="0" w:color="FFFFFF"/>
              <w:right w:val="nil"/>
            </w:tcBorders>
            <w:shd w:val="clear" w:color="000000" w:fill="F2F2F2"/>
            <w:vAlign w:val="center"/>
            <w:hideMark/>
          </w:tcPr>
          <w:p w14:paraId="5DB08580" w14:textId="77777777" w:rsidR="00B54A41" w:rsidRPr="00B54A41" w:rsidRDefault="00B54A41" w:rsidP="00831EE4">
            <w:pPr>
              <w:pStyle w:val="Tabletext"/>
              <w:jc w:val="center"/>
            </w:pPr>
            <w:r w:rsidRPr="00B54A41">
              <w:t>-0.5</w:t>
            </w:r>
          </w:p>
        </w:tc>
      </w:tr>
      <w:tr w:rsidR="00B54A41" w:rsidRPr="00B54A41" w14:paraId="25740DF7" w14:textId="77777777" w:rsidTr="00E2601D">
        <w:trPr>
          <w:trHeight w:val="284"/>
          <w:jc w:val="center"/>
        </w:trPr>
        <w:tc>
          <w:tcPr>
            <w:tcW w:w="1276" w:type="dxa"/>
            <w:tcBorders>
              <w:top w:val="nil"/>
              <w:left w:val="nil"/>
              <w:bottom w:val="single" w:sz="4" w:space="0" w:color="FFFFFF"/>
              <w:right w:val="nil"/>
            </w:tcBorders>
            <w:shd w:val="clear" w:color="000000" w:fill="D9D9D9"/>
            <w:vAlign w:val="center"/>
            <w:hideMark/>
          </w:tcPr>
          <w:p w14:paraId="562E93D3" w14:textId="77777777" w:rsidR="00B54A41" w:rsidRPr="00B54A41" w:rsidRDefault="00B54A41" w:rsidP="00831EE4">
            <w:pPr>
              <w:pStyle w:val="Tabletext"/>
            </w:pPr>
            <w:r w:rsidRPr="00B54A41">
              <w:t>4</w:t>
            </w:r>
          </w:p>
        </w:tc>
        <w:tc>
          <w:tcPr>
            <w:tcW w:w="3155" w:type="dxa"/>
            <w:tcBorders>
              <w:top w:val="nil"/>
              <w:left w:val="nil"/>
              <w:bottom w:val="single" w:sz="4" w:space="0" w:color="FFFFFF"/>
              <w:right w:val="single" w:sz="2" w:space="0" w:color="FFFFFF"/>
            </w:tcBorders>
            <w:shd w:val="clear" w:color="000000" w:fill="D9D9D9"/>
            <w:vAlign w:val="center"/>
            <w:hideMark/>
          </w:tcPr>
          <w:p w14:paraId="53E9ED21" w14:textId="77777777" w:rsidR="00B54A41" w:rsidRPr="00B54A41" w:rsidRDefault="00B54A41" w:rsidP="00831EE4">
            <w:pPr>
              <w:pStyle w:val="Tabletext"/>
              <w:jc w:val="center"/>
            </w:pPr>
            <w:r w:rsidRPr="00B54A41">
              <w:t>16.2%</w:t>
            </w:r>
          </w:p>
        </w:tc>
        <w:tc>
          <w:tcPr>
            <w:tcW w:w="2232" w:type="dxa"/>
            <w:tcBorders>
              <w:top w:val="nil"/>
              <w:left w:val="single" w:sz="2" w:space="0" w:color="FFFFFF"/>
              <w:bottom w:val="single" w:sz="4" w:space="0" w:color="FFFFFF"/>
              <w:right w:val="nil"/>
            </w:tcBorders>
            <w:shd w:val="clear" w:color="000000" w:fill="D9D9D9"/>
            <w:vAlign w:val="center"/>
            <w:hideMark/>
          </w:tcPr>
          <w:p w14:paraId="503ADEE8" w14:textId="77777777" w:rsidR="00B54A41" w:rsidRPr="00B54A41" w:rsidRDefault="00B54A41" w:rsidP="00831EE4">
            <w:pPr>
              <w:pStyle w:val="Tabletext"/>
              <w:jc w:val="center"/>
            </w:pPr>
            <w:r w:rsidRPr="00B54A41">
              <w:t>-0.2</w:t>
            </w:r>
          </w:p>
        </w:tc>
        <w:tc>
          <w:tcPr>
            <w:tcW w:w="2268" w:type="dxa"/>
            <w:tcBorders>
              <w:top w:val="nil"/>
              <w:left w:val="nil"/>
              <w:bottom w:val="single" w:sz="4" w:space="0" w:color="FFFFFF"/>
              <w:right w:val="nil"/>
            </w:tcBorders>
            <w:shd w:val="clear" w:color="000000" w:fill="D9D9D9"/>
            <w:vAlign w:val="center"/>
            <w:hideMark/>
          </w:tcPr>
          <w:p w14:paraId="7D8654E7" w14:textId="77777777" w:rsidR="00B54A41" w:rsidRPr="00B54A41" w:rsidRDefault="00B54A41" w:rsidP="00831EE4">
            <w:pPr>
              <w:pStyle w:val="Tabletext"/>
              <w:jc w:val="center"/>
            </w:pPr>
            <w:r w:rsidRPr="00B54A41">
              <w:t>-0.4</w:t>
            </w:r>
          </w:p>
        </w:tc>
      </w:tr>
      <w:tr w:rsidR="00B54A41" w:rsidRPr="00B54A41" w14:paraId="395A8464" w14:textId="77777777" w:rsidTr="00E2601D">
        <w:trPr>
          <w:trHeight w:val="284"/>
          <w:jc w:val="center"/>
        </w:trPr>
        <w:tc>
          <w:tcPr>
            <w:tcW w:w="1276" w:type="dxa"/>
            <w:tcBorders>
              <w:top w:val="nil"/>
              <w:left w:val="nil"/>
              <w:bottom w:val="single" w:sz="4" w:space="0" w:color="FFFFFF"/>
              <w:right w:val="nil"/>
            </w:tcBorders>
            <w:shd w:val="clear" w:color="000000" w:fill="F2F2F2"/>
            <w:vAlign w:val="center"/>
            <w:hideMark/>
          </w:tcPr>
          <w:p w14:paraId="704893DF" w14:textId="77777777" w:rsidR="00B54A41" w:rsidRPr="00B54A41" w:rsidRDefault="00B54A41" w:rsidP="00831EE4">
            <w:pPr>
              <w:pStyle w:val="Tabletext"/>
            </w:pPr>
            <w:r w:rsidRPr="00B54A41">
              <w:t>5</w:t>
            </w:r>
          </w:p>
        </w:tc>
        <w:tc>
          <w:tcPr>
            <w:tcW w:w="3155" w:type="dxa"/>
            <w:tcBorders>
              <w:top w:val="nil"/>
              <w:left w:val="nil"/>
              <w:bottom w:val="single" w:sz="4" w:space="0" w:color="FFFFFF"/>
              <w:right w:val="single" w:sz="2" w:space="0" w:color="FFFFFF"/>
            </w:tcBorders>
            <w:shd w:val="clear" w:color="000000" w:fill="F2F2F2"/>
            <w:vAlign w:val="center"/>
            <w:hideMark/>
          </w:tcPr>
          <w:p w14:paraId="2B5DB55E" w14:textId="318C3242" w:rsidR="00B54A41" w:rsidRPr="00B54A41" w:rsidRDefault="00B54A41" w:rsidP="00831EE4">
            <w:pPr>
              <w:pStyle w:val="Tabletext"/>
              <w:jc w:val="center"/>
            </w:pPr>
            <w:r w:rsidRPr="00B54A41">
              <w:t>17</w:t>
            </w:r>
            <w:r>
              <w:t>.0</w:t>
            </w:r>
            <w:r w:rsidRPr="00B54A41">
              <w:t>%</w:t>
            </w:r>
          </w:p>
        </w:tc>
        <w:tc>
          <w:tcPr>
            <w:tcW w:w="2232" w:type="dxa"/>
            <w:tcBorders>
              <w:top w:val="nil"/>
              <w:left w:val="single" w:sz="2" w:space="0" w:color="FFFFFF"/>
              <w:bottom w:val="single" w:sz="4" w:space="0" w:color="FFFFFF"/>
              <w:right w:val="nil"/>
            </w:tcBorders>
            <w:shd w:val="clear" w:color="000000" w:fill="F2F2F2"/>
            <w:vAlign w:val="center"/>
            <w:hideMark/>
          </w:tcPr>
          <w:p w14:paraId="4503AB98" w14:textId="77777777" w:rsidR="00B54A41" w:rsidRPr="00B54A41" w:rsidRDefault="00B54A41" w:rsidP="00831EE4">
            <w:pPr>
              <w:pStyle w:val="Tabletext"/>
              <w:jc w:val="center"/>
            </w:pPr>
            <w:r w:rsidRPr="00B54A41">
              <w:t>-0.1</w:t>
            </w:r>
          </w:p>
        </w:tc>
        <w:tc>
          <w:tcPr>
            <w:tcW w:w="2268" w:type="dxa"/>
            <w:tcBorders>
              <w:top w:val="nil"/>
              <w:left w:val="nil"/>
              <w:bottom w:val="single" w:sz="4" w:space="0" w:color="FFFFFF"/>
              <w:right w:val="nil"/>
            </w:tcBorders>
            <w:shd w:val="clear" w:color="000000" w:fill="F2F2F2"/>
            <w:vAlign w:val="center"/>
            <w:hideMark/>
          </w:tcPr>
          <w:p w14:paraId="38DAB4E5" w14:textId="77777777" w:rsidR="00B54A41" w:rsidRPr="00B54A41" w:rsidRDefault="00B54A41" w:rsidP="00831EE4">
            <w:pPr>
              <w:pStyle w:val="Tabletext"/>
              <w:jc w:val="center"/>
            </w:pPr>
            <w:r w:rsidRPr="00B54A41">
              <w:t>-0.7</w:t>
            </w:r>
          </w:p>
        </w:tc>
      </w:tr>
      <w:tr w:rsidR="00B54A41" w:rsidRPr="00B54A41" w14:paraId="0DF8E271" w14:textId="77777777" w:rsidTr="00E2601D">
        <w:trPr>
          <w:trHeight w:val="284"/>
          <w:jc w:val="center"/>
        </w:trPr>
        <w:tc>
          <w:tcPr>
            <w:tcW w:w="1276" w:type="dxa"/>
            <w:tcBorders>
              <w:top w:val="nil"/>
              <w:left w:val="nil"/>
              <w:bottom w:val="single" w:sz="4" w:space="0" w:color="FFFFFF"/>
              <w:right w:val="nil"/>
            </w:tcBorders>
            <w:shd w:val="clear" w:color="000000" w:fill="D9D9D9"/>
            <w:vAlign w:val="center"/>
            <w:hideMark/>
          </w:tcPr>
          <w:p w14:paraId="6095C9F1" w14:textId="77777777" w:rsidR="00B54A41" w:rsidRPr="00B54A41" w:rsidRDefault="00B54A41" w:rsidP="00831EE4">
            <w:pPr>
              <w:pStyle w:val="Tabletext"/>
            </w:pPr>
            <w:r w:rsidRPr="00B54A41">
              <w:t>6</w:t>
            </w:r>
          </w:p>
        </w:tc>
        <w:tc>
          <w:tcPr>
            <w:tcW w:w="3155" w:type="dxa"/>
            <w:tcBorders>
              <w:top w:val="nil"/>
              <w:left w:val="nil"/>
              <w:bottom w:val="single" w:sz="4" w:space="0" w:color="FFFFFF"/>
              <w:right w:val="single" w:sz="2" w:space="0" w:color="FFFFFF"/>
            </w:tcBorders>
            <w:shd w:val="clear" w:color="000000" w:fill="D9D9D9"/>
            <w:vAlign w:val="center"/>
            <w:hideMark/>
          </w:tcPr>
          <w:p w14:paraId="6D7105AE" w14:textId="77777777" w:rsidR="00B54A41" w:rsidRPr="00B54A41" w:rsidRDefault="00B54A41" w:rsidP="00831EE4">
            <w:pPr>
              <w:pStyle w:val="Tabletext"/>
              <w:jc w:val="center"/>
            </w:pPr>
            <w:r w:rsidRPr="00B54A41">
              <w:t>17.8%</w:t>
            </w:r>
          </w:p>
        </w:tc>
        <w:tc>
          <w:tcPr>
            <w:tcW w:w="2232" w:type="dxa"/>
            <w:tcBorders>
              <w:top w:val="nil"/>
              <w:left w:val="single" w:sz="2" w:space="0" w:color="FFFFFF"/>
              <w:bottom w:val="single" w:sz="4" w:space="0" w:color="FFFFFF"/>
              <w:right w:val="nil"/>
            </w:tcBorders>
            <w:shd w:val="clear" w:color="000000" w:fill="D9D9D9"/>
            <w:vAlign w:val="center"/>
            <w:hideMark/>
          </w:tcPr>
          <w:p w14:paraId="23F3C9F7" w14:textId="77777777" w:rsidR="00B54A41" w:rsidRPr="00B54A41" w:rsidRDefault="00B54A41" w:rsidP="00831EE4">
            <w:pPr>
              <w:pStyle w:val="Tabletext"/>
              <w:jc w:val="center"/>
            </w:pPr>
            <w:r w:rsidRPr="00B54A41">
              <w:t>-0.1</w:t>
            </w:r>
          </w:p>
        </w:tc>
        <w:tc>
          <w:tcPr>
            <w:tcW w:w="2268" w:type="dxa"/>
            <w:tcBorders>
              <w:top w:val="nil"/>
              <w:left w:val="nil"/>
              <w:bottom w:val="single" w:sz="4" w:space="0" w:color="FFFFFF"/>
              <w:right w:val="nil"/>
            </w:tcBorders>
            <w:shd w:val="clear" w:color="000000" w:fill="D9D9D9"/>
            <w:vAlign w:val="center"/>
            <w:hideMark/>
          </w:tcPr>
          <w:p w14:paraId="5A97D5FB" w14:textId="77777777" w:rsidR="00B54A41" w:rsidRPr="00B54A41" w:rsidRDefault="00B54A41" w:rsidP="00831EE4">
            <w:pPr>
              <w:pStyle w:val="Tabletext"/>
              <w:jc w:val="center"/>
            </w:pPr>
            <w:r w:rsidRPr="00B54A41">
              <w:t>-0.4</w:t>
            </w:r>
          </w:p>
        </w:tc>
      </w:tr>
      <w:tr w:rsidR="00B54A41" w:rsidRPr="00B54A41" w14:paraId="34FAAE8E" w14:textId="77777777" w:rsidTr="00E2601D">
        <w:trPr>
          <w:trHeight w:val="284"/>
          <w:jc w:val="center"/>
        </w:trPr>
        <w:tc>
          <w:tcPr>
            <w:tcW w:w="1276" w:type="dxa"/>
            <w:tcBorders>
              <w:top w:val="nil"/>
              <w:left w:val="nil"/>
              <w:bottom w:val="single" w:sz="4" w:space="0" w:color="FFFFFF"/>
              <w:right w:val="nil"/>
            </w:tcBorders>
            <w:shd w:val="clear" w:color="000000" w:fill="F2F2F2"/>
            <w:vAlign w:val="center"/>
            <w:hideMark/>
          </w:tcPr>
          <w:p w14:paraId="2013BDE1" w14:textId="77777777" w:rsidR="00B54A41" w:rsidRPr="00B54A41" w:rsidRDefault="00B54A41" w:rsidP="00831EE4">
            <w:pPr>
              <w:pStyle w:val="Tabletext"/>
            </w:pPr>
            <w:r w:rsidRPr="00B54A41">
              <w:t>7</w:t>
            </w:r>
          </w:p>
        </w:tc>
        <w:tc>
          <w:tcPr>
            <w:tcW w:w="3155" w:type="dxa"/>
            <w:tcBorders>
              <w:top w:val="nil"/>
              <w:left w:val="nil"/>
              <w:bottom w:val="single" w:sz="4" w:space="0" w:color="FFFFFF"/>
              <w:right w:val="single" w:sz="2" w:space="0" w:color="FFFFFF"/>
            </w:tcBorders>
            <w:shd w:val="clear" w:color="000000" w:fill="F2F2F2"/>
            <w:vAlign w:val="center"/>
            <w:hideMark/>
          </w:tcPr>
          <w:p w14:paraId="30681663" w14:textId="6F470E03" w:rsidR="00B54A41" w:rsidRPr="00B54A41" w:rsidRDefault="00B54A41" w:rsidP="00831EE4">
            <w:pPr>
              <w:pStyle w:val="Tabletext"/>
              <w:jc w:val="center"/>
            </w:pPr>
            <w:r w:rsidRPr="00B54A41">
              <w:t>19</w:t>
            </w:r>
            <w:r>
              <w:t>.0</w:t>
            </w:r>
            <w:r w:rsidRPr="00B54A41">
              <w:t>%</w:t>
            </w:r>
          </w:p>
        </w:tc>
        <w:tc>
          <w:tcPr>
            <w:tcW w:w="2232" w:type="dxa"/>
            <w:tcBorders>
              <w:top w:val="nil"/>
              <w:left w:val="single" w:sz="2" w:space="0" w:color="FFFFFF"/>
              <w:bottom w:val="single" w:sz="4" w:space="0" w:color="FFFFFF"/>
              <w:right w:val="nil"/>
            </w:tcBorders>
            <w:shd w:val="clear" w:color="000000" w:fill="F2F2F2"/>
            <w:vAlign w:val="center"/>
            <w:hideMark/>
          </w:tcPr>
          <w:p w14:paraId="242FAFE7" w14:textId="77777777" w:rsidR="00B54A41" w:rsidRPr="00B54A41" w:rsidRDefault="00B54A41" w:rsidP="00831EE4">
            <w:pPr>
              <w:pStyle w:val="Tabletext"/>
              <w:jc w:val="center"/>
            </w:pPr>
            <w:r w:rsidRPr="00B54A41">
              <w:t>-0.1</w:t>
            </w:r>
          </w:p>
        </w:tc>
        <w:tc>
          <w:tcPr>
            <w:tcW w:w="2268" w:type="dxa"/>
            <w:tcBorders>
              <w:top w:val="nil"/>
              <w:left w:val="nil"/>
              <w:bottom w:val="single" w:sz="4" w:space="0" w:color="FFFFFF"/>
              <w:right w:val="nil"/>
            </w:tcBorders>
            <w:shd w:val="clear" w:color="000000" w:fill="F2F2F2"/>
            <w:vAlign w:val="center"/>
            <w:hideMark/>
          </w:tcPr>
          <w:p w14:paraId="547C05E3" w14:textId="77777777" w:rsidR="00B54A41" w:rsidRPr="00B54A41" w:rsidRDefault="00B54A41" w:rsidP="00831EE4">
            <w:pPr>
              <w:pStyle w:val="Tabletext"/>
              <w:jc w:val="center"/>
            </w:pPr>
            <w:r w:rsidRPr="00B54A41">
              <w:t>-0.6</w:t>
            </w:r>
          </w:p>
        </w:tc>
      </w:tr>
      <w:tr w:rsidR="00B54A41" w:rsidRPr="00B54A41" w14:paraId="2332EB27" w14:textId="77777777" w:rsidTr="00E2601D">
        <w:trPr>
          <w:trHeight w:val="284"/>
          <w:jc w:val="center"/>
        </w:trPr>
        <w:tc>
          <w:tcPr>
            <w:tcW w:w="1276" w:type="dxa"/>
            <w:tcBorders>
              <w:top w:val="nil"/>
              <w:left w:val="nil"/>
              <w:bottom w:val="single" w:sz="4" w:space="0" w:color="FFFFFF"/>
              <w:right w:val="nil"/>
            </w:tcBorders>
            <w:shd w:val="clear" w:color="000000" w:fill="D9D9D9"/>
            <w:vAlign w:val="center"/>
            <w:hideMark/>
          </w:tcPr>
          <w:p w14:paraId="1007564E" w14:textId="77777777" w:rsidR="00B54A41" w:rsidRPr="00B54A41" w:rsidRDefault="00B54A41" w:rsidP="00831EE4">
            <w:pPr>
              <w:pStyle w:val="Tabletext"/>
            </w:pPr>
            <w:r w:rsidRPr="00B54A41">
              <w:t>8</w:t>
            </w:r>
          </w:p>
        </w:tc>
        <w:tc>
          <w:tcPr>
            <w:tcW w:w="3155" w:type="dxa"/>
            <w:tcBorders>
              <w:top w:val="nil"/>
              <w:left w:val="nil"/>
              <w:bottom w:val="single" w:sz="4" w:space="0" w:color="FFFFFF"/>
              <w:right w:val="single" w:sz="2" w:space="0" w:color="FFFFFF"/>
            </w:tcBorders>
            <w:shd w:val="clear" w:color="000000" w:fill="D9D9D9"/>
            <w:vAlign w:val="center"/>
            <w:hideMark/>
          </w:tcPr>
          <w:p w14:paraId="0486A437" w14:textId="77777777" w:rsidR="00B54A41" w:rsidRPr="00B54A41" w:rsidRDefault="00B54A41" w:rsidP="00831EE4">
            <w:pPr>
              <w:pStyle w:val="Tabletext"/>
              <w:jc w:val="center"/>
            </w:pPr>
            <w:r w:rsidRPr="00B54A41">
              <w:t>20.3%</w:t>
            </w:r>
          </w:p>
        </w:tc>
        <w:tc>
          <w:tcPr>
            <w:tcW w:w="2232" w:type="dxa"/>
            <w:tcBorders>
              <w:top w:val="nil"/>
              <w:left w:val="single" w:sz="2" w:space="0" w:color="FFFFFF"/>
              <w:bottom w:val="single" w:sz="4" w:space="0" w:color="FFFFFF"/>
              <w:right w:val="nil"/>
            </w:tcBorders>
            <w:shd w:val="clear" w:color="000000" w:fill="D9D9D9"/>
            <w:vAlign w:val="center"/>
            <w:hideMark/>
          </w:tcPr>
          <w:p w14:paraId="3C567619" w14:textId="77777777" w:rsidR="00B54A41" w:rsidRPr="00B54A41" w:rsidRDefault="00B54A41" w:rsidP="00831EE4">
            <w:pPr>
              <w:pStyle w:val="Tabletext"/>
              <w:jc w:val="center"/>
            </w:pPr>
            <w:r w:rsidRPr="00B54A41">
              <w:t>-0.1</w:t>
            </w:r>
          </w:p>
        </w:tc>
        <w:tc>
          <w:tcPr>
            <w:tcW w:w="2268" w:type="dxa"/>
            <w:tcBorders>
              <w:top w:val="nil"/>
              <w:left w:val="nil"/>
              <w:bottom w:val="single" w:sz="4" w:space="0" w:color="FFFFFF"/>
              <w:right w:val="nil"/>
            </w:tcBorders>
            <w:shd w:val="clear" w:color="000000" w:fill="D9D9D9"/>
            <w:vAlign w:val="center"/>
            <w:hideMark/>
          </w:tcPr>
          <w:p w14:paraId="5BFD65B0" w14:textId="77777777" w:rsidR="00B54A41" w:rsidRPr="00B54A41" w:rsidRDefault="00B54A41" w:rsidP="00831EE4">
            <w:pPr>
              <w:pStyle w:val="Tabletext"/>
              <w:jc w:val="center"/>
            </w:pPr>
            <w:r w:rsidRPr="00B54A41">
              <w:t>-0.8</w:t>
            </w:r>
          </w:p>
        </w:tc>
      </w:tr>
      <w:tr w:rsidR="00B54A41" w:rsidRPr="00B54A41" w14:paraId="38B7958D" w14:textId="77777777" w:rsidTr="00E2601D">
        <w:trPr>
          <w:trHeight w:val="284"/>
          <w:jc w:val="center"/>
        </w:trPr>
        <w:tc>
          <w:tcPr>
            <w:tcW w:w="1276" w:type="dxa"/>
            <w:tcBorders>
              <w:top w:val="nil"/>
              <w:left w:val="nil"/>
              <w:bottom w:val="single" w:sz="4" w:space="0" w:color="FFFFFF"/>
              <w:right w:val="nil"/>
            </w:tcBorders>
            <w:shd w:val="clear" w:color="000000" w:fill="F2F2F2"/>
            <w:vAlign w:val="center"/>
            <w:hideMark/>
          </w:tcPr>
          <w:p w14:paraId="73740551" w14:textId="77777777" w:rsidR="00B54A41" w:rsidRPr="00B54A41" w:rsidRDefault="00B54A41" w:rsidP="00831EE4">
            <w:pPr>
              <w:pStyle w:val="Tabletext"/>
            </w:pPr>
            <w:r w:rsidRPr="00B54A41">
              <w:t>9</w:t>
            </w:r>
          </w:p>
        </w:tc>
        <w:tc>
          <w:tcPr>
            <w:tcW w:w="3155" w:type="dxa"/>
            <w:tcBorders>
              <w:top w:val="nil"/>
              <w:left w:val="nil"/>
              <w:bottom w:val="single" w:sz="4" w:space="0" w:color="FFFFFF"/>
              <w:right w:val="single" w:sz="2" w:space="0" w:color="FFFFFF"/>
            </w:tcBorders>
            <w:shd w:val="clear" w:color="000000" w:fill="F2F2F2"/>
            <w:vAlign w:val="center"/>
            <w:hideMark/>
          </w:tcPr>
          <w:p w14:paraId="44FCDF93" w14:textId="77777777" w:rsidR="00B54A41" w:rsidRPr="00B54A41" w:rsidRDefault="00B54A41" w:rsidP="00831EE4">
            <w:pPr>
              <w:pStyle w:val="Tabletext"/>
              <w:jc w:val="center"/>
            </w:pPr>
            <w:r w:rsidRPr="00B54A41">
              <w:t>21.8%</w:t>
            </w:r>
          </w:p>
        </w:tc>
        <w:tc>
          <w:tcPr>
            <w:tcW w:w="2232" w:type="dxa"/>
            <w:tcBorders>
              <w:top w:val="nil"/>
              <w:left w:val="single" w:sz="2" w:space="0" w:color="FFFFFF"/>
              <w:bottom w:val="single" w:sz="4" w:space="0" w:color="FFFFFF"/>
              <w:right w:val="nil"/>
            </w:tcBorders>
            <w:shd w:val="clear" w:color="000000" w:fill="F2F2F2"/>
            <w:vAlign w:val="center"/>
            <w:hideMark/>
          </w:tcPr>
          <w:p w14:paraId="3419DAA7" w14:textId="047D9C83" w:rsidR="00B54A41" w:rsidRPr="00B54A41" w:rsidRDefault="00B54A41" w:rsidP="00831EE4">
            <w:pPr>
              <w:pStyle w:val="Tabletext"/>
              <w:jc w:val="center"/>
            </w:pPr>
            <w:r w:rsidRPr="00B54A41">
              <w:t>0</w:t>
            </w:r>
            <w:r>
              <w:t>.0</w:t>
            </w:r>
          </w:p>
        </w:tc>
        <w:tc>
          <w:tcPr>
            <w:tcW w:w="2268" w:type="dxa"/>
            <w:tcBorders>
              <w:top w:val="nil"/>
              <w:left w:val="nil"/>
              <w:bottom w:val="single" w:sz="4" w:space="0" w:color="FFFFFF"/>
              <w:right w:val="nil"/>
            </w:tcBorders>
            <w:shd w:val="clear" w:color="000000" w:fill="F2F2F2"/>
            <w:vAlign w:val="center"/>
            <w:hideMark/>
          </w:tcPr>
          <w:p w14:paraId="5EE600BF" w14:textId="77777777" w:rsidR="00B54A41" w:rsidRPr="00B54A41" w:rsidRDefault="00B54A41" w:rsidP="00831EE4">
            <w:pPr>
              <w:pStyle w:val="Tabletext"/>
              <w:jc w:val="center"/>
            </w:pPr>
            <w:r w:rsidRPr="00B54A41">
              <w:t>-0.8</w:t>
            </w:r>
          </w:p>
        </w:tc>
      </w:tr>
      <w:tr w:rsidR="00B54A41" w:rsidRPr="00B54A41" w14:paraId="10EEFC3A" w14:textId="77777777" w:rsidTr="00E2601D">
        <w:trPr>
          <w:trHeight w:val="284"/>
          <w:jc w:val="center"/>
        </w:trPr>
        <w:tc>
          <w:tcPr>
            <w:tcW w:w="1276" w:type="dxa"/>
            <w:tcBorders>
              <w:top w:val="nil"/>
              <w:left w:val="nil"/>
              <w:bottom w:val="single" w:sz="4" w:space="0" w:color="FFFFFF"/>
              <w:right w:val="nil"/>
            </w:tcBorders>
            <w:shd w:val="clear" w:color="000000" w:fill="D9D9D9"/>
            <w:vAlign w:val="center"/>
            <w:hideMark/>
          </w:tcPr>
          <w:p w14:paraId="75F106DB" w14:textId="77777777" w:rsidR="00B54A41" w:rsidRPr="00B54A41" w:rsidRDefault="00B54A41" w:rsidP="00831EE4">
            <w:pPr>
              <w:pStyle w:val="Tabletext"/>
            </w:pPr>
            <w:r w:rsidRPr="00B54A41">
              <w:t>10</w:t>
            </w:r>
          </w:p>
        </w:tc>
        <w:tc>
          <w:tcPr>
            <w:tcW w:w="3155" w:type="dxa"/>
            <w:tcBorders>
              <w:top w:val="nil"/>
              <w:left w:val="nil"/>
              <w:bottom w:val="single" w:sz="4" w:space="0" w:color="FFFFFF"/>
              <w:right w:val="single" w:sz="2" w:space="0" w:color="FFFFFF"/>
            </w:tcBorders>
            <w:shd w:val="clear" w:color="000000" w:fill="D9D9D9"/>
            <w:vAlign w:val="center"/>
            <w:hideMark/>
          </w:tcPr>
          <w:p w14:paraId="3AA0E816" w14:textId="77777777" w:rsidR="00B54A41" w:rsidRPr="00B54A41" w:rsidRDefault="00B54A41" w:rsidP="00831EE4">
            <w:pPr>
              <w:pStyle w:val="Tabletext"/>
              <w:jc w:val="center"/>
            </w:pPr>
            <w:r w:rsidRPr="00B54A41">
              <w:t>27.6%</w:t>
            </w:r>
          </w:p>
        </w:tc>
        <w:tc>
          <w:tcPr>
            <w:tcW w:w="2232" w:type="dxa"/>
            <w:tcBorders>
              <w:top w:val="nil"/>
              <w:left w:val="single" w:sz="2" w:space="0" w:color="FFFFFF"/>
              <w:bottom w:val="single" w:sz="4" w:space="0" w:color="FFFFFF"/>
              <w:right w:val="nil"/>
            </w:tcBorders>
            <w:shd w:val="clear" w:color="000000" w:fill="D9D9D9"/>
            <w:vAlign w:val="center"/>
            <w:hideMark/>
          </w:tcPr>
          <w:p w14:paraId="49F45674" w14:textId="69ECD2B3" w:rsidR="00B54A41" w:rsidRPr="00B54A41" w:rsidRDefault="00B54A41" w:rsidP="00831EE4">
            <w:pPr>
              <w:pStyle w:val="Tabletext"/>
              <w:jc w:val="center"/>
            </w:pPr>
            <w:r w:rsidRPr="00B54A41">
              <w:t>0</w:t>
            </w:r>
            <w:r>
              <w:t>.0</w:t>
            </w:r>
          </w:p>
        </w:tc>
        <w:tc>
          <w:tcPr>
            <w:tcW w:w="2268" w:type="dxa"/>
            <w:tcBorders>
              <w:top w:val="nil"/>
              <w:left w:val="nil"/>
              <w:bottom w:val="single" w:sz="4" w:space="0" w:color="FFFFFF"/>
              <w:right w:val="nil"/>
            </w:tcBorders>
            <w:shd w:val="clear" w:color="000000" w:fill="D9D9D9"/>
            <w:vAlign w:val="center"/>
            <w:hideMark/>
          </w:tcPr>
          <w:p w14:paraId="3DA57E67" w14:textId="77777777" w:rsidR="00B54A41" w:rsidRPr="00B54A41" w:rsidRDefault="00B54A41" w:rsidP="00831EE4">
            <w:pPr>
              <w:pStyle w:val="Tabletext"/>
              <w:jc w:val="center"/>
            </w:pPr>
            <w:r w:rsidRPr="00B54A41">
              <w:t>-1.2</w:t>
            </w:r>
          </w:p>
        </w:tc>
      </w:tr>
      <w:tr w:rsidR="00B54A41" w:rsidRPr="00B54A41" w14:paraId="65472ADE" w14:textId="77777777" w:rsidTr="00E2601D">
        <w:trPr>
          <w:trHeight w:val="284"/>
          <w:jc w:val="center"/>
        </w:trPr>
        <w:tc>
          <w:tcPr>
            <w:tcW w:w="1276" w:type="dxa"/>
            <w:tcBorders>
              <w:top w:val="single" w:sz="4" w:space="0" w:color="FFFFFF"/>
              <w:left w:val="nil"/>
              <w:bottom w:val="single" w:sz="18" w:space="0" w:color="4F81BD" w:themeColor="accent1"/>
              <w:right w:val="nil"/>
            </w:tcBorders>
            <w:shd w:val="clear" w:color="auto" w:fill="DDD9C3" w:themeFill="background2" w:themeFillShade="E6"/>
            <w:vAlign w:val="center"/>
            <w:hideMark/>
          </w:tcPr>
          <w:p w14:paraId="3B4F097F" w14:textId="77777777" w:rsidR="00B54A41" w:rsidRPr="00831EE4" w:rsidRDefault="00B54A41" w:rsidP="00831EE4">
            <w:pPr>
              <w:pStyle w:val="Tabletext"/>
              <w:rPr>
                <w:b/>
                <w:sz w:val="24"/>
              </w:rPr>
            </w:pPr>
            <w:r w:rsidRPr="00831EE4">
              <w:rPr>
                <w:b/>
                <w:sz w:val="24"/>
              </w:rPr>
              <w:t>All</w:t>
            </w:r>
          </w:p>
        </w:tc>
        <w:tc>
          <w:tcPr>
            <w:tcW w:w="3155" w:type="dxa"/>
            <w:tcBorders>
              <w:top w:val="single" w:sz="4" w:space="0" w:color="FFFFFF"/>
              <w:left w:val="nil"/>
              <w:bottom w:val="single" w:sz="18" w:space="0" w:color="4F81BD" w:themeColor="accent1"/>
              <w:right w:val="single" w:sz="2" w:space="0" w:color="FFFFFF"/>
            </w:tcBorders>
            <w:shd w:val="clear" w:color="auto" w:fill="DDD9C3" w:themeFill="background2" w:themeFillShade="E6"/>
            <w:vAlign w:val="center"/>
            <w:hideMark/>
          </w:tcPr>
          <w:p w14:paraId="622C3177" w14:textId="291B9288" w:rsidR="00B54A41" w:rsidRPr="00831EE4" w:rsidRDefault="00B54A41" w:rsidP="00831EE4">
            <w:pPr>
              <w:pStyle w:val="Tabletext"/>
              <w:jc w:val="center"/>
              <w:rPr>
                <w:b/>
                <w:sz w:val="24"/>
              </w:rPr>
            </w:pPr>
            <w:r w:rsidRPr="00831EE4">
              <w:rPr>
                <w:b/>
                <w:sz w:val="24"/>
              </w:rPr>
              <w:t>21</w:t>
            </w:r>
            <w:r>
              <w:rPr>
                <w:b/>
                <w:sz w:val="24"/>
              </w:rPr>
              <w:t>.0</w:t>
            </w:r>
            <w:r w:rsidRPr="00831EE4">
              <w:rPr>
                <w:b/>
                <w:sz w:val="24"/>
              </w:rPr>
              <w:t>%</w:t>
            </w:r>
          </w:p>
        </w:tc>
        <w:tc>
          <w:tcPr>
            <w:tcW w:w="2232" w:type="dxa"/>
            <w:tcBorders>
              <w:top w:val="single" w:sz="4" w:space="0" w:color="FFFFFF"/>
              <w:left w:val="single" w:sz="2" w:space="0" w:color="FFFFFF"/>
              <w:bottom w:val="single" w:sz="18" w:space="0" w:color="4F81BD" w:themeColor="accent1"/>
              <w:right w:val="nil"/>
            </w:tcBorders>
            <w:shd w:val="clear" w:color="auto" w:fill="DDD9C3" w:themeFill="background2" w:themeFillShade="E6"/>
            <w:vAlign w:val="center"/>
            <w:hideMark/>
          </w:tcPr>
          <w:p w14:paraId="54728463" w14:textId="77777777" w:rsidR="00B54A41" w:rsidRPr="00831EE4" w:rsidRDefault="00B54A41" w:rsidP="00831EE4">
            <w:pPr>
              <w:pStyle w:val="Tabletext"/>
              <w:jc w:val="center"/>
              <w:rPr>
                <w:b/>
                <w:sz w:val="24"/>
              </w:rPr>
            </w:pPr>
            <w:r w:rsidRPr="00831EE4">
              <w:rPr>
                <w:b/>
                <w:sz w:val="24"/>
              </w:rPr>
              <w:t>-0.1</w:t>
            </w:r>
          </w:p>
        </w:tc>
        <w:tc>
          <w:tcPr>
            <w:tcW w:w="2268" w:type="dxa"/>
            <w:tcBorders>
              <w:top w:val="single" w:sz="4" w:space="0" w:color="FFFFFF"/>
              <w:left w:val="nil"/>
              <w:bottom w:val="single" w:sz="18" w:space="0" w:color="4F81BD" w:themeColor="accent1"/>
              <w:right w:val="nil"/>
            </w:tcBorders>
            <w:shd w:val="clear" w:color="auto" w:fill="DDD9C3" w:themeFill="background2" w:themeFillShade="E6"/>
            <w:vAlign w:val="center"/>
            <w:hideMark/>
          </w:tcPr>
          <w:p w14:paraId="484DA1DB" w14:textId="77777777" w:rsidR="00B54A41" w:rsidRPr="00831EE4" w:rsidRDefault="00B54A41" w:rsidP="00831EE4">
            <w:pPr>
              <w:pStyle w:val="Tabletext"/>
              <w:jc w:val="center"/>
              <w:rPr>
                <w:b/>
                <w:sz w:val="24"/>
              </w:rPr>
            </w:pPr>
            <w:r w:rsidRPr="00831EE4">
              <w:rPr>
                <w:b/>
                <w:sz w:val="24"/>
              </w:rPr>
              <w:t>-0.7</w:t>
            </w:r>
          </w:p>
        </w:tc>
      </w:tr>
    </w:tbl>
    <w:p w14:paraId="69979A5F" w14:textId="77777777" w:rsidR="00CA6BC9" w:rsidRDefault="00CA6BC9" w:rsidP="00831EE4">
      <w:pPr>
        <w:pStyle w:val="Source"/>
        <w:spacing w:after="0"/>
        <w:rPr>
          <w:rStyle w:val="af5"/>
          <w:rFonts w:cs="Calibri Light"/>
          <w:sz w:val="20"/>
          <w:szCs w:val="20"/>
          <w:lang w:val="en-GB" w:eastAsia="en-US"/>
        </w:rPr>
      </w:pPr>
      <w:r>
        <w:rPr>
          <w:rStyle w:val="af5"/>
          <w:rFonts w:cs="Calibri Light"/>
          <w:b/>
          <w:bCs/>
          <w:sz w:val="20"/>
          <w:szCs w:val="20"/>
          <w:lang w:val="en-GB"/>
        </w:rPr>
        <w:t>Notes:</w:t>
      </w:r>
      <w:r>
        <w:rPr>
          <w:rStyle w:val="af5"/>
          <w:rFonts w:cs="Calibri Light"/>
          <w:sz w:val="20"/>
          <w:szCs w:val="20"/>
          <w:lang w:val="en-GB"/>
        </w:rPr>
        <w:t xml:space="preserve"> </w:t>
      </w:r>
    </w:p>
    <w:p w14:paraId="780A2FE9" w14:textId="77777777" w:rsidR="00CA6BC9" w:rsidRPr="00831EE4" w:rsidRDefault="00CA6BC9" w:rsidP="00831EE4">
      <w:pPr>
        <w:pStyle w:val="Source"/>
        <w:spacing w:after="0"/>
        <w:rPr>
          <w:rStyle w:val="af5"/>
          <w:rFonts w:cs="Calibri Light"/>
          <w:sz w:val="19"/>
          <w:szCs w:val="19"/>
          <w:lang w:val="en-GB"/>
        </w:rPr>
      </w:pPr>
      <w:r w:rsidRPr="00831EE4">
        <w:rPr>
          <w:rStyle w:val="af5"/>
          <w:rFonts w:cs="Calibri Light"/>
          <w:sz w:val="19"/>
          <w:szCs w:val="19"/>
          <w:lang w:val="en-GB"/>
        </w:rPr>
        <w:t xml:space="preserve">Changes are calculated with respect to the 2025_base in percentage points (pp). </w:t>
      </w:r>
    </w:p>
    <w:p w14:paraId="2F956EF2" w14:textId="4318C4D4" w:rsidR="00E525CA" w:rsidRPr="00C60233" w:rsidRDefault="00CA6BC9" w:rsidP="00C60233">
      <w:pPr>
        <w:pStyle w:val="Source"/>
        <w:spacing w:after="0"/>
        <w:rPr>
          <w:rFonts w:cs="Calibri Light"/>
          <w:i w:val="0"/>
          <w:iCs/>
          <w:color w:val="404040" w:themeColor="text1" w:themeTint="BF"/>
          <w:sz w:val="19"/>
          <w:szCs w:val="19"/>
          <w:lang w:val="en-GB"/>
        </w:rPr>
      </w:pPr>
      <w:r w:rsidRPr="00831EE4">
        <w:rPr>
          <w:rStyle w:val="af5"/>
          <w:sz w:val="19"/>
          <w:szCs w:val="19"/>
          <w:lang w:val="en-GB"/>
        </w:rPr>
        <w:t>An increase indicates a higher share of pre-tax, pre-transfer resources allocated to taxes and contributions, while a decrease reflects a relative reduction in the overall tax and contribution pressure. Decreases may be attributed either to decrease or nominator or increase in the denominator as in the case of scenario (2025_ref).</w:t>
      </w:r>
    </w:p>
    <w:p w14:paraId="6C3FF3F5" w14:textId="659C420F" w:rsidR="00CA6BC9" w:rsidRPr="00831EE4" w:rsidRDefault="00B54A41" w:rsidP="003F703E">
      <w:pPr>
        <w:spacing w:before="120" w:after="0"/>
        <w:rPr>
          <w:b/>
          <w:iCs/>
          <w:lang w:val="en-US"/>
        </w:rPr>
      </w:pPr>
      <w:r>
        <w:fldChar w:fldCharType="begin"/>
      </w:r>
      <w:r w:rsidRPr="00831EE4">
        <w:rPr>
          <w:lang w:val="en-US"/>
        </w:rPr>
        <w:instrText xml:space="preserve"> REF _Ref211260408 \h </w:instrText>
      </w:r>
      <w:r>
        <w:fldChar w:fldCharType="separate"/>
      </w:r>
      <w:r w:rsidR="00AF0E6B" w:rsidRPr="00AF0E6B">
        <w:rPr>
          <w:lang w:val="en-US"/>
        </w:rPr>
        <w:t xml:space="preserve">Table </w:t>
      </w:r>
      <w:r w:rsidR="00AF0E6B" w:rsidRPr="00AF0E6B">
        <w:rPr>
          <w:noProof/>
          <w:lang w:val="en-US"/>
        </w:rPr>
        <w:t>12</w:t>
      </w:r>
      <w:r>
        <w:fldChar w:fldCharType="end"/>
      </w:r>
      <w:r>
        <w:rPr>
          <w:lang w:val="en-US"/>
        </w:rPr>
        <w:t xml:space="preserve"> </w:t>
      </w:r>
      <w:r w:rsidR="00CA6BC9" w:rsidRPr="00831EE4">
        <w:rPr>
          <w:lang w:val="en-US"/>
        </w:rPr>
        <w:t xml:space="preserve">presents the main </w:t>
      </w:r>
      <w:r w:rsidR="00CA6BC9" w:rsidRPr="00831EE4">
        <w:rPr>
          <w:bCs/>
          <w:lang w:val="en-US"/>
        </w:rPr>
        <w:t>inequality indices</w:t>
      </w:r>
      <w:r w:rsidR="00CA6BC9" w:rsidRPr="00831EE4">
        <w:rPr>
          <w:lang w:val="en-US"/>
        </w:rPr>
        <w:t xml:space="preserve">, calculated on the income distribution of the </w:t>
      </w:r>
      <w:r w:rsidR="00CA6BC9" w:rsidRPr="00831EE4">
        <w:rPr>
          <w:bCs/>
          <w:lang w:val="en-US"/>
        </w:rPr>
        <w:t>2025_base</w:t>
      </w:r>
      <w:r w:rsidR="00CA6BC9" w:rsidRPr="00831EE4">
        <w:rPr>
          <w:lang w:val="en-US"/>
        </w:rPr>
        <w:t xml:space="preserve"> scenario, along with the corresponding absolute differences observed under the two reform scenarios.</w:t>
      </w:r>
    </w:p>
    <w:p w14:paraId="6C7EE028" w14:textId="31252F0C" w:rsidR="00CA6BC9" w:rsidRDefault="00B54A41" w:rsidP="00C60233">
      <w:pPr>
        <w:pStyle w:val="Table"/>
        <w:spacing w:before="120"/>
        <w:rPr>
          <w:lang w:val="en-GB"/>
        </w:rPr>
      </w:pPr>
      <w:bookmarkStart w:id="77" w:name="_Ref211260408"/>
      <w:bookmarkStart w:id="78" w:name="_Toc211355106"/>
      <w:r>
        <w:t xml:space="preserve">Table </w:t>
      </w:r>
      <w:r>
        <w:fldChar w:fldCharType="begin"/>
      </w:r>
      <w:r>
        <w:instrText xml:space="preserve"> SEQ Table \* ARABIC </w:instrText>
      </w:r>
      <w:r>
        <w:fldChar w:fldCharType="separate"/>
      </w:r>
      <w:r w:rsidR="00AF0E6B">
        <w:rPr>
          <w:noProof/>
        </w:rPr>
        <w:t>12</w:t>
      </w:r>
      <w:r>
        <w:fldChar w:fldCharType="end"/>
      </w:r>
      <w:bookmarkEnd w:id="77"/>
      <w:r>
        <w:t xml:space="preserve"> | </w:t>
      </w:r>
      <w:r w:rsidR="00CA6BC9">
        <w:rPr>
          <w:lang w:val="en-GB"/>
        </w:rPr>
        <w:t>Inequality indices</w:t>
      </w:r>
      <w:bookmarkEnd w:id="78"/>
    </w:p>
    <w:tbl>
      <w:tblPr>
        <w:tblW w:w="8832" w:type="dxa"/>
        <w:tblLook w:val="04A0" w:firstRow="1" w:lastRow="0" w:firstColumn="1" w:lastColumn="0" w:noHBand="0" w:noVBand="1"/>
      </w:tblPr>
      <w:tblGrid>
        <w:gridCol w:w="1560"/>
        <w:gridCol w:w="1465"/>
        <w:gridCol w:w="2833"/>
        <w:gridCol w:w="2974"/>
      </w:tblGrid>
      <w:tr w:rsidR="00B54A41" w:rsidRPr="00C14AE5" w14:paraId="3469628D" w14:textId="77777777" w:rsidTr="003F703E">
        <w:trPr>
          <w:trHeight w:val="284"/>
        </w:trPr>
        <w:tc>
          <w:tcPr>
            <w:tcW w:w="1560" w:type="dxa"/>
            <w:tcBorders>
              <w:top w:val="nil"/>
              <w:left w:val="nil"/>
              <w:bottom w:val="nil"/>
              <w:right w:val="nil"/>
            </w:tcBorders>
            <w:shd w:val="clear" w:color="000000" w:fill="BFBFBF"/>
            <w:vAlign w:val="center"/>
            <w:hideMark/>
          </w:tcPr>
          <w:p w14:paraId="1233B9C0" w14:textId="77777777" w:rsidR="00B54A41" w:rsidRPr="00831EE4" w:rsidRDefault="00B54A41" w:rsidP="00831EE4">
            <w:pPr>
              <w:pStyle w:val="Tabletext"/>
              <w:rPr>
                <w:b/>
                <w:sz w:val="24"/>
              </w:rPr>
            </w:pPr>
            <w:r w:rsidRPr="00831EE4">
              <w:rPr>
                <w:b/>
                <w:sz w:val="24"/>
              </w:rPr>
              <w:t> </w:t>
            </w:r>
          </w:p>
        </w:tc>
        <w:tc>
          <w:tcPr>
            <w:tcW w:w="1465" w:type="dxa"/>
            <w:tcBorders>
              <w:top w:val="nil"/>
              <w:left w:val="nil"/>
              <w:right w:val="nil"/>
            </w:tcBorders>
            <w:shd w:val="clear" w:color="000000" w:fill="BFBFBF"/>
            <w:vAlign w:val="center"/>
            <w:hideMark/>
          </w:tcPr>
          <w:p w14:paraId="6569B411" w14:textId="1F4B2D31" w:rsidR="00B54A41" w:rsidRPr="00831EE4" w:rsidRDefault="00B54A41" w:rsidP="00831EE4">
            <w:pPr>
              <w:pStyle w:val="Tabletext"/>
              <w:jc w:val="center"/>
              <w:rPr>
                <w:b/>
                <w:sz w:val="24"/>
                <w:szCs w:val="24"/>
              </w:rPr>
            </w:pPr>
          </w:p>
        </w:tc>
        <w:tc>
          <w:tcPr>
            <w:tcW w:w="2833" w:type="dxa"/>
            <w:tcBorders>
              <w:top w:val="nil"/>
              <w:left w:val="nil"/>
              <w:bottom w:val="nil"/>
              <w:right w:val="nil"/>
            </w:tcBorders>
            <w:shd w:val="clear" w:color="000000" w:fill="BFBFBF"/>
            <w:vAlign w:val="center"/>
            <w:hideMark/>
          </w:tcPr>
          <w:p w14:paraId="232DEEA8" w14:textId="77777777" w:rsidR="00B54A41" w:rsidRPr="00831EE4" w:rsidRDefault="00B54A41" w:rsidP="00831EE4">
            <w:pPr>
              <w:pStyle w:val="Tabletext"/>
              <w:jc w:val="center"/>
              <w:rPr>
                <w:b/>
                <w:sz w:val="24"/>
                <w:szCs w:val="24"/>
              </w:rPr>
            </w:pPr>
            <w:r w:rsidRPr="00831EE4">
              <w:rPr>
                <w:b/>
                <w:sz w:val="24"/>
                <w:szCs w:val="24"/>
              </w:rPr>
              <w:t>Absolute difference with respect to 2025_base</w:t>
            </w:r>
          </w:p>
        </w:tc>
        <w:tc>
          <w:tcPr>
            <w:tcW w:w="2974" w:type="dxa"/>
            <w:tcBorders>
              <w:top w:val="nil"/>
              <w:left w:val="nil"/>
              <w:bottom w:val="nil"/>
              <w:right w:val="nil"/>
            </w:tcBorders>
            <w:shd w:val="clear" w:color="000000" w:fill="BFBFBF"/>
            <w:vAlign w:val="center"/>
            <w:hideMark/>
          </w:tcPr>
          <w:p w14:paraId="34296DE3" w14:textId="77777777" w:rsidR="00B54A41" w:rsidRPr="00831EE4" w:rsidRDefault="00B54A41" w:rsidP="00831EE4">
            <w:pPr>
              <w:pStyle w:val="Tabletext"/>
              <w:jc w:val="center"/>
              <w:rPr>
                <w:b/>
                <w:sz w:val="24"/>
                <w:szCs w:val="24"/>
              </w:rPr>
            </w:pPr>
            <w:r w:rsidRPr="00831EE4">
              <w:rPr>
                <w:b/>
                <w:sz w:val="24"/>
                <w:szCs w:val="24"/>
              </w:rPr>
              <w:t>Absolute difference with respect to 2025_base</w:t>
            </w:r>
          </w:p>
        </w:tc>
      </w:tr>
      <w:tr w:rsidR="00B54A41" w:rsidRPr="0060487F" w14:paraId="64FA4B21" w14:textId="77777777" w:rsidTr="003F703E">
        <w:trPr>
          <w:trHeight w:val="284"/>
        </w:trPr>
        <w:tc>
          <w:tcPr>
            <w:tcW w:w="1560" w:type="dxa"/>
            <w:tcBorders>
              <w:top w:val="nil"/>
              <w:left w:val="nil"/>
              <w:bottom w:val="nil"/>
              <w:right w:val="nil"/>
            </w:tcBorders>
            <w:shd w:val="clear" w:color="000000" w:fill="BFBFBF"/>
            <w:vAlign w:val="center"/>
            <w:hideMark/>
          </w:tcPr>
          <w:p w14:paraId="49F680D5" w14:textId="77777777" w:rsidR="00B54A41" w:rsidRPr="00831EE4" w:rsidRDefault="00B54A41" w:rsidP="00831EE4">
            <w:pPr>
              <w:pStyle w:val="Tabletext"/>
              <w:rPr>
                <w:b/>
                <w:sz w:val="24"/>
              </w:rPr>
            </w:pPr>
            <w:r w:rsidRPr="00831EE4">
              <w:rPr>
                <w:b/>
                <w:sz w:val="24"/>
              </w:rPr>
              <w:t> </w:t>
            </w:r>
          </w:p>
        </w:tc>
        <w:tc>
          <w:tcPr>
            <w:tcW w:w="1465" w:type="dxa"/>
            <w:tcBorders>
              <w:top w:val="nil"/>
              <w:left w:val="nil"/>
              <w:bottom w:val="nil"/>
              <w:right w:val="single" w:sz="2" w:space="0" w:color="FFFFFF" w:themeColor="background1"/>
            </w:tcBorders>
            <w:shd w:val="clear" w:color="000000" w:fill="BFBFBF"/>
            <w:vAlign w:val="center"/>
            <w:hideMark/>
          </w:tcPr>
          <w:p w14:paraId="10B93B68" w14:textId="77777777" w:rsidR="00B54A41" w:rsidRPr="00831EE4" w:rsidRDefault="00B54A41" w:rsidP="00831EE4">
            <w:pPr>
              <w:pStyle w:val="Tabletext"/>
              <w:jc w:val="center"/>
              <w:rPr>
                <w:b/>
                <w:sz w:val="24"/>
                <w:szCs w:val="24"/>
              </w:rPr>
            </w:pPr>
            <w:r w:rsidRPr="00831EE4">
              <w:rPr>
                <w:b/>
                <w:sz w:val="24"/>
                <w:szCs w:val="24"/>
              </w:rPr>
              <w:t>2025_base</w:t>
            </w:r>
          </w:p>
        </w:tc>
        <w:tc>
          <w:tcPr>
            <w:tcW w:w="2833" w:type="dxa"/>
            <w:tcBorders>
              <w:top w:val="nil"/>
              <w:left w:val="single" w:sz="2" w:space="0" w:color="FFFFFF" w:themeColor="background1"/>
              <w:bottom w:val="nil"/>
              <w:right w:val="nil"/>
            </w:tcBorders>
            <w:shd w:val="clear" w:color="000000" w:fill="BFBFBF"/>
            <w:vAlign w:val="center"/>
            <w:hideMark/>
          </w:tcPr>
          <w:p w14:paraId="2D28B7F5" w14:textId="77777777" w:rsidR="00B54A41" w:rsidRPr="00831EE4" w:rsidRDefault="00B54A41" w:rsidP="00831EE4">
            <w:pPr>
              <w:pStyle w:val="Tabletext"/>
              <w:jc w:val="center"/>
              <w:rPr>
                <w:b/>
                <w:sz w:val="24"/>
                <w:szCs w:val="24"/>
              </w:rPr>
            </w:pPr>
            <w:r w:rsidRPr="00831EE4">
              <w:rPr>
                <w:b/>
                <w:sz w:val="24"/>
                <w:szCs w:val="24"/>
              </w:rPr>
              <w:t>2025_ref</w:t>
            </w:r>
          </w:p>
        </w:tc>
        <w:tc>
          <w:tcPr>
            <w:tcW w:w="2974" w:type="dxa"/>
            <w:tcBorders>
              <w:top w:val="nil"/>
              <w:left w:val="nil"/>
              <w:bottom w:val="nil"/>
              <w:right w:val="nil"/>
            </w:tcBorders>
            <w:shd w:val="clear" w:color="000000" w:fill="BFBFBF"/>
            <w:vAlign w:val="center"/>
            <w:hideMark/>
          </w:tcPr>
          <w:p w14:paraId="0E260E2B" w14:textId="77777777" w:rsidR="00B54A41" w:rsidRPr="00831EE4" w:rsidRDefault="00B54A41" w:rsidP="00831EE4">
            <w:pPr>
              <w:pStyle w:val="Tabletext"/>
              <w:jc w:val="center"/>
              <w:rPr>
                <w:b/>
                <w:sz w:val="24"/>
                <w:szCs w:val="24"/>
              </w:rPr>
            </w:pPr>
            <w:r w:rsidRPr="00831EE4">
              <w:rPr>
                <w:b/>
                <w:sz w:val="24"/>
                <w:szCs w:val="24"/>
              </w:rPr>
              <w:t>2026_ref</w:t>
            </w:r>
          </w:p>
        </w:tc>
      </w:tr>
      <w:tr w:rsidR="00B54A41" w:rsidRPr="00B54A41" w14:paraId="142B5F2C" w14:textId="77777777" w:rsidTr="003F703E">
        <w:trPr>
          <w:trHeight w:val="284"/>
        </w:trPr>
        <w:tc>
          <w:tcPr>
            <w:tcW w:w="1560" w:type="dxa"/>
            <w:tcBorders>
              <w:top w:val="nil"/>
              <w:left w:val="nil"/>
              <w:bottom w:val="single" w:sz="4" w:space="0" w:color="FFFFFF"/>
              <w:right w:val="nil"/>
            </w:tcBorders>
            <w:shd w:val="clear" w:color="000000" w:fill="F2F2F2"/>
            <w:vAlign w:val="center"/>
            <w:hideMark/>
          </w:tcPr>
          <w:p w14:paraId="71212413" w14:textId="77777777" w:rsidR="00B54A41" w:rsidRPr="00B54A41" w:rsidRDefault="00B54A41" w:rsidP="00831EE4">
            <w:pPr>
              <w:pStyle w:val="Tabletext"/>
            </w:pPr>
            <w:r w:rsidRPr="00B54A41">
              <w:t>Gini</w:t>
            </w:r>
          </w:p>
        </w:tc>
        <w:tc>
          <w:tcPr>
            <w:tcW w:w="1465" w:type="dxa"/>
            <w:tcBorders>
              <w:top w:val="nil"/>
              <w:left w:val="nil"/>
              <w:bottom w:val="single" w:sz="4" w:space="0" w:color="FFFFFF"/>
              <w:right w:val="single" w:sz="2" w:space="0" w:color="FFFFFF" w:themeColor="background1"/>
            </w:tcBorders>
            <w:shd w:val="clear" w:color="000000" w:fill="F2F2F2"/>
            <w:vAlign w:val="center"/>
            <w:hideMark/>
          </w:tcPr>
          <w:p w14:paraId="1F71ED1B" w14:textId="10870218" w:rsidR="00B54A41" w:rsidRPr="00B54A41" w:rsidRDefault="00B54A41" w:rsidP="00831EE4">
            <w:pPr>
              <w:pStyle w:val="Tabletext"/>
              <w:jc w:val="center"/>
            </w:pPr>
            <w:r w:rsidRPr="00B54A41">
              <w:t>0.30</w:t>
            </w:r>
            <w:r w:rsidR="00E525CA">
              <w:t>6</w:t>
            </w:r>
          </w:p>
        </w:tc>
        <w:tc>
          <w:tcPr>
            <w:tcW w:w="2833" w:type="dxa"/>
            <w:tcBorders>
              <w:top w:val="nil"/>
              <w:left w:val="single" w:sz="2" w:space="0" w:color="FFFFFF" w:themeColor="background1"/>
              <w:bottom w:val="single" w:sz="4" w:space="0" w:color="FFFFFF"/>
              <w:right w:val="nil"/>
            </w:tcBorders>
            <w:shd w:val="clear" w:color="000000" w:fill="F2F2F2"/>
            <w:vAlign w:val="center"/>
            <w:hideMark/>
          </w:tcPr>
          <w:p w14:paraId="70A1F68D" w14:textId="26681C26" w:rsidR="00B54A41" w:rsidRPr="00B54A41" w:rsidRDefault="00B54A41" w:rsidP="00831EE4">
            <w:pPr>
              <w:pStyle w:val="Tabletext"/>
              <w:jc w:val="center"/>
            </w:pPr>
            <w:r w:rsidRPr="00B54A41">
              <w:t>-0.</w:t>
            </w:r>
            <w:r w:rsidR="00E525CA" w:rsidRPr="00B54A41">
              <w:t>00</w:t>
            </w:r>
            <w:r w:rsidR="00E525CA">
              <w:t>3</w:t>
            </w:r>
          </w:p>
        </w:tc>
        <w:tc>
          <w:tcPr>
            <w:tcW w:w="2974" w:type="dxa"/>
            <w:tcBorders>
              <w:top w:val="nil"/>
              <w:left w:val="nil"/>
              <w:bottom w:val="single" w:sz="4" w:space="0" w:color="FFFFFF"/>
              <w:right w:val="nil"/>
            </w:tcBorders>
            <w:shd w:val="clear" w:color="000000" w:fill="F2F2F2"/>
            <w:vAlign w:val="center"/>
            <w:hideMark/>
          </w:tcPr>
          <w:p w14:paraId="107C85F2" w14:textId="030CB7F3" w:rsidR="00B54A41" w:rsidRPr="00B54A41" w:rsidRDefault="00B54A41" w:rsidP="00831EE4">
            <w:pPr>
              <w:pStyle w:val="Tabletext"/>
              <w:jc w:val="center"/>
            </w:pPr>
            <w:r w:rsidRPr="00B54A41">
              <w:t>0.001</w:t>
            </w:r>
          </w:p>
        </w:tc>
      </w:tr>
      <w:tr w:rsidR="00B54A41" w:rsidRPr="00B54A41" w14:paraId="63FEDD24" w14:textId="77777777" w:rsidTr="003F703E">
        <w:trPr>
          <w:trHeight w:val="284"/>
        </w:trPr>
        <w:tc>
          <w:tcPr>
            <w:tcW w:w="1560" w:type="dxa"/>
            <w:tcBorders>
              <w:top w:val="nil"/>
              <w:left w:val="nil"/>
              <w:bottom w:val="single" w:sz="4" w:space="0" w:color="FFFFFF"/>
              <w:right w:val="nil"/>
            </w:tcBorders>
            <w:shd w:val="clear" w:color="000000" w:fill="D9D9D9"/>
            <w:vAlign w:val="center"/>
            <w:hideMark/>
          </w:tcPr>
          <w:p w14:paraId="5EEECEAF" w14:textId="77777777" w:rsidR="00B54A41" w:rsidRPr="00B54A41" w:rsidRDefault="00B54A41" w:rsidP="00831EE4">
            <w:pPr>
              <w:pStyle w:val="Tabletext"/>
            </w:pPr>
            <w:r w:rsidRPr="00B54A41">
              <w:t>S80/S20</w:t>
            </w:r>
          </w:p>
        </w:tc>
        <w:tc>
          <w:tcPr>
            <w:tcW w:w="1465" w:type="dxa"/>
            <w:tcBorders>
              <w:top w:val="nil"/>
              <w:left w:val="nil"/>
              <w:bottom w:val="single" w:sz="4" w:space="0" w:color="FFFFFF"/>
              <w:right w:val="single" w:sz="2" w:space="0" w:color="FFFFFF" w:themeColor="background1"/>
            </w:tcBorders>
            <w:shd w:val="clear" w:color="000000" w:fill="D9D9D9"/>
            <w:vAlign w:val="center"/>
            <w:hideMark/>
          </w:tcPr>
          <w:p w14:paraId="0A7BF628" w14:textId="19F98619" w:rsidR="00B54A41" w:rsidRPr="00B54A41" w:rsidRDefault="00B54A41" w:rsidP="00831EE4">
            <w:pPr>
              <w:pStyle w:val="Tabletext"/>
              <w:jc w:val="center"/>
            </w:pPr>
            <w:r w:rsidRPr="00B54A41">
              <w:t>4.803</w:t>
            </w:r>
          </w:p>
        </w:tc>
        <w:tc>
          <w:tcPr>
            <w:tcW w:w="2833" w:type="dxa"/>
            <w:tcBorders>
              <w:top w:val="nil"/>
              <w:left w:val="single" w:sz="2" w:space="0" w:color="FFFFFF" w:themeColor="background1"/>
              <w:bottom w:val="single" w:sz="4" w:space="0" w:color="FFFFFF"/>
              <w:right w:val="nil"/>
            </w:tcBorders>
            <w:shd w:val="clear" w:color="000000" w:fill="D9D9D9"/>
            <w:vAlign w:val="center"/>
            <w:hideMark/>
          </w:tcPr>
          <w:p w14:paraId="509F0332" w14:textId="149A35FE" w:rsidR="00B54A41" w:rsidRPr="00B54A41" w:rsidRDefault="00B54A41" w:rsidP="00831EE4">
            <w:pPr>
              <w:pStyle w:val="Tabletext"/>
              <w:jc w:val="center"/>
            </w:pPr>
            <w:r w:rsidRPr="00B54A41">
              <w:rPr>
                <w:lang w:val="en-GB"/>
              </w:rPr>
              <w:t>-0.</w:t>
            </w:r>
            <w:r w:rsidR="00E525CA" w:rsidRPr="00B54A41">
              <w:rPr>
                <w:lang w:val="en-GB"/>
              </w:rPr>
              <w:t>07</w:t>
            </w:r>
            <w:r w:rsidR="00E525CA">
              <w:rPr>
                <w:lang w:val="en-GB"/>
              </w:rPr>
              <w:t>3</w:t>
            </w:r>
          </w:p>
        </w:tc>
        <w:tc>
          <w:tcPr>
            <w:tcW w:w="2974" w:type="dxa"/>
            <w:tcBorders>
              <w:top w:val="nil"/>
              <w:left w:val="nil"/>
              <w:bottom w:val="single" w:sz="4" w:space="0" w:color="FFFFFF"/>
              <w:right w:val="nil"/>
            </w:tcBorders>
            <w:shd w:val="clear" w:color="000000" w:fill="D9D9D9"/>
            <w:vAlign w:val="center"/>
            <w:hideMark/>
          </w:tcPr>
          <w:p w14:paraId="7F4A6482" w14:textId="7B1611A2" w:rsidR="00B54A41" w:rsidRPr="00B54A41" w:rsidRDefault="00B54A41" w:rsidP="00831EE4">
            <w:pPr>
              <w:pStyle w:val="Tabletext"/>
              <w:jc w:val="center"/>
            </w:pPr>
            <w:r w:rsidRPr="00B54A41">
              <w:rPr>
                <w:lang w:val="en-GB"/>
              </w:rPr>
              <w:t>0.036</w:t>
            </w:r>
          </w:p>
        </w:tc>
      </w:tr>
      <w:tr w:rsidR="00B54A41" w:rsidRPr="00B54A41" w14:paraId="49B64875" w14:textId="77777777" w:rsidTr="003F703E">
        <w:trPr>
          <w:trHeight w:val="284"/>
        </w:trPr>
        <w:tc>
          <w:tcPr>
            <w:tcW w:w="1560" w:type="dxa"/>
            <w:tcBorders>
              <w:top w:val="nil"/>
              <w:left w:val="nil"/>
              <w:bottom w:val="single" w:sz="4" w:space="0" w:color="FFFFFF"/>
              <w:right w:val="nil"/>
            </w:tcBorders>
            <w:shd w:val="clear" w:color="000000" w:fill="F2F2F2"/>
            <w:vAlign w:val="center"/>
            <w:hideMark/>
          </w:tcPr>
          <w:p w14:paraId="4376891E" w14:textId="77777777" w:rsidR="00B54A41" w:rsidRPr="00B54A41" w:rsidRDefault="00B54A41" w:rsidP="00831EE4">
            <w:pPr>
              <w:pStyle w:val="Tabletext"/>
            </w:pPr>
            <w:r w:rsidRPr="00B54A41">
              <w:t>S90/S10</w:t>
            </w:r>
          </w:p>
        </w:tc>
        <w:tc>
          <w:tcPr>
            <w:tcW w:w="1465" w:type="dxa"/>
            <w:tcBorders>
              <w:top w:val="nil"/>
              <w:left w:val="nil"/>
              <w:bottom w:val="single" w:sz="4" w:space="0" w:color="FFFFFF"/>
              <w:right w:val="single" w:sz="2" w:space="0" w:color="FFFFFF" w:themeColor="background1"/>
            </w:tcBorders>
            <w:shd w:val="clear" w:color="000000" w:fill="F2F2F2"/>
            <w:vAlign w:val="center"/>
            <w:hideMark/>
          </w:tcPr>
          <w:p w14:paraId="357711FA" w14:textId="4E34FC83" w:rsidR="00B54A41" w:rsidRPr="00B54A41" w:rsidRDefault="00B54A41" w:rsidP="00831EE4">
            <w:pPr>
              <w:pStyle w:val="Tabletext"/>
              <w:jc w:val="center"/>
            </w:pPr>
            <w:r w:rsidRPr="00B54A41">
              <w:t>7.80</w:t>
            </w:r>
            <w:r w:rsidR="00E525CA">
              <w:t>0</w:t>
            </w:r>
          </w:p>
        </w:tc>
        <w:tc>
          <w:tcPr>
            <w:tcW w:w="2833" w:type="dxa"/>
            <w:tcBorders>
              <w:top w:val="nil"/>
              <w:left w:val="single" w:sz="2" w:space="0" w:color="FFFFFF" w:themeColor="background1"/>
              <w:bottom w:val="single" w:sz="4" w:space="0" w:color="FFFFFF"/>
              <w:right w:val="nil"/>
            </w:tcBorders>
            <w:shd w:val="clear" w:color="000000" w:fill="F2F2F2"/>
            <w:vAlign w:val="center"/>
            <w:hideMark/>
          </w:tcPr>
          <w:p w14:paraId="33F961A3" w14:textId="18AF752E" w:rsidR="00B54A41" w:rsidRPr="00B54A41" w:rsidRDefault="00B54A41" w:rsidP="00831EE4">
            <w:pPr>
              <w:pStyle w:val="Tabletext"/>
              <w:jc w:val="center"/>
            </w:pPr>
            <w:r w:rsidRPr="00B54A41">
              <w:rPr>
                <w:lang w:val="en-GB"/>
              </w:rPr>
              <w:t>-0.150</w:t>
            </w:r>
          </w:p>
        </w:tc>
        <w:tc>
          <w:tcPr>
            <w:tcW w:w="2974" w:type="dxa"/>
            <w:tcBorders>
              <w:top w:val="nil"/>
              <w:left w:val="nil"/>
              <w:bottom w:val="single" w:sz="4" w:space="0" w:color="FFFFFF"/>
              <w:right w:val="nil"/>
            </w:tcBorders>
            <w:shd w:val="clear" w:color="000000" w:fill="F2F2F2"/>
            <w:vAlign w:val="center"/>
            <w:hideMark/>
          </w:tcPr>
          <w:p w14:paraId="01237E70" w14:textId="1E2F2CF8" w:rsidR="00B54A41" w:rsidRPr="00B54A41" w:rsidRDefault="00B54A41" w:rsidP="00831EE4">
            <w:pPr>
              <w:pStyle w:val="Tabletext"/>
              <w:jc w:val="center"/>
            </w:pPr>
            <w:r w:rsidRPr="00B54A41">
              <w:rPr>
                <w:lang w:val="en-GB"/>
              </w:rPr>
              <w:t>0.070</w:t>
            </w:r>
          </w:p>
        </w:tc>
      </w:tr>
      <w:tr w:rsidR="00B54A41" w:rsidRPr="00B54A41" w14:paraId="2CF0C4D6" w14:textId="77777777" w:rsidTr="003F703E">
        <w:trPr>
          <w:trHeight w:val="284"/>
        </w:trPr>
        <w:tc>
          <w:tcPr>
            <w:tcW w:w="1560" w:type="dxa"/>
            <w:tcBorders>
              <w:top w:val="nil"/>
              <w:left w:val="nil"/>
              <w:bottom w:val="single" w:sz="4" w:space="0" w:color="FFFFFF"/>
              <w:right w:val="nil"/>
            </w:tcBorders>
            <w:shd w:val="clear" w:color="000000" w:fill="D9D9D9"/>
            <w:vAlign w:val="center"/>
            <w:hideMark/>
          </w:tcPr>
          <w:p w14:paraId="71068C11" w14:textId="77777777" w:rsidR="00B54A41" w:rsidRPr="00B54A41" w:rsidRDefault="00B54A41" w:rsidP="00831EE4">
            <w:pPr>
              <w:pStyle w:val="Tabletext"/>
            </w:pPr>
            <w:r w:rsidRPr="00B54A41">
              <w:t>Atkinson 0.25</w:t>
            </w:r>
          </w:p>
        </w:tc>
        <w:tc>
          <w:tcPr>
            <w:tcW w:w="1465" w:type="dxa"/>
            <w:tcBorders>
              <w:top w:val="nil"/>
              <w:left w:val="nil"/>
              <w:bottom w:val="single" w:sz="4" w:space="0" w:color="FFFFFF"/>
              <w:right w:val="single" w:sz="2" w:space="0" w:color="FFFFFF" w:themeColor="background1"/>
            </w:tcBorders>
            <w:shd w:val="clear" w:color="000000" w:fill="D9D9D9"/>
            <w:vAlign w:val="center"/>
            <w:hideMark/>
          </w:tcPr>
          <w:p w14:paraId="23384C22" w14:textId="12DCF5F8" w:rsidR="00B54A41" w:rsidRPr="00B54A41" w:rsidRDefault="00B54A41" w:rsidP="00831EE4">
            <w:pPr>
              <w:pStyle w:val="Tabletext"/>
              <w:jc w:val="center"/>
            </w:pPr>
            <w:r w:rsidRPr="00B54A41">
              <w:t>0.</w:t>
            </w:r>
            <w:r w:rsidR="00E525CA" w:rsidRPr="00B54A41">
              <w:t>04</w:t>
            </w:r>
            <w:r w:rsidR="00E525CA">
              <w:t>1</w:t>
            </w:r>
          </w:p>
        </w:tc>
        <w:tc>
          <w:tcPr>
            <w:tcW w:w="2833" w:type="dxa"/>
            <w:tcBorders>
              <w:top w:val="nil"/>
              <w:left w:val="single" w:sz="2" w:space="0" w:color="FFFFFF" w:themeColor="background1"/>
              <w:bottom w:val="single" w:sz="4" w:space="0" w:color="FFFFFF"/>
              <w:right w:val="nil"/>
            </w:tcBorders>
            <w:shd w:val="clear" w:color="000000" w:fill="D9D9D9"/>
            <w:vAlign w:val="center"/>
            <w:hideMark/>
          </w:tcPr>
          <w:p w14:paraId="41CD73D1" w14:textId="41D4F6B2" w:rsidR="00B54A41" w:rsidRPr="00B54A41" w:rsidRDefault="00B54A41" w:rsidP="00831EE4">
            <w:pPr>
              <w:pStyle w:val="Tabletext"/>
              <w:jc w:val="center"/>
            </w:pPr>
            <w:r w:rsidRPr="00B54A41">
              <w:rPr>
                <w:lang w:val="en-GB"/>
              </w:rPr>
              <w:t>-0.</w:t>
            </w:r>
            <w:r w:rsidR="00E525CA" w:rsidRPr="00B54A41">
              <w:rPr>
                <w:lang w:val="en-GB"/>
              </w:rPr>
              <w:t>00</w:t>
            </w:r>
            <w:r w:rsidR="00E525CA">
              <w:rPr>
                <w:lang w:val="en-GB"/>
              </w:rPr>
              <w:t>1</w:t>
            </w:r>
          </w:p>
        </w:tc>
        <w:tc>
          <w:tcPr>
            <w:tcW w:w="2974" w:type="dxa"/>
            <w:tcBorders>
              <w:top w:val="nil"/>
              <w:left w:val="nil"/>
              <w:bottom w:val="single" w:sz="4" w:space="0" w:color="FFFFFF"/>
              <w:right w:val="nil"/>
            </w:tcBorders>
            <w:shd w:val="clear" w:color="000000" w:fill="D9D9D9"/>
            <w:vAlign w:val="center"/>
            <w:hideMark/>
          </w:tcPr>
          <w:p w14:paraId="01E0ED00" w14:textId="2208EF12" w:rsidR="00B54A41" w:rsidRPr="00B54A41" w:rsidRDefault="00B54A41" w:rsidP="00831EE4">
            <w:pPr>
              <w:pStyle w:val="Tabletext"/>
              <w:jc w:val="center"/>
            </w:pPr>
            <w:r w:rsidRPr="00B54A41">
              <w:rPr>
                <w:lang w:val="en-GB"/>
              </w:rPr>
              <w:t>0.000</w:t>
            </w:r>
          </w:p>
        </w:tc>
      </w:tr>
      <w:tr w:rsidR="00B54A41" w:rsidRPr="00B54A41" w14:paraId="5F245FBE" w14:textId="77777777" w:rsidTr="003F703E">
        <w:trPr>
          <w:trHeight w:val="284"/>
        </w:trPr>
        <w:tc>
          <w:tcPr>
            <w:tcW w:w="1560" w:type="dxa"/>
            <w:tcBorders>
              <w:top w:val="single" w:sz="4" w:space="0" w:color="FFFFFF"/>
              <w:left w:val="nil"/>
              <w:bottom w:val="single" w:sz="18" w:space="0" w:color="4F81BD" w:themeColor="accent1"/>
              <w:right w:val="nil"/>
            </w:tcBorders>
            <w:shd w:val="clear" w:color="000000" w:fill="F2F2F2"/>
            <w:vAlign w:val="center"/>
            <w:hideMark/>
          </w:tcPr>
          <w:p w14:paraId="2BBC0330" w14:textId="77777777" w:rsidR="00B54A41" w:rsidRPr="00B54A41" w:rsidRDefault="00B54A41" w:rsidP="00831EE4">
            <w:pPr>
              <w:pStyle w:val="Tabletext"/>
            </w:pPr>
            <w:r w:rsidRPr="00B54A41">
              <w:t>Atkinson 0.75</w:t>
            </w:r>
          </w:p>
        </w:tc>
        <w:tc>
          <w:tcPr>
            <w:tcW w:w="1465" w:type="dxa"/>
            <w:tcBorders>
              <w:top w:val="single" w:sz="4" w:space="0" w:color="FFFFFF"/>
              <w:left w:val="nil"/>
              <w:bottom w:val="single" w:sz="18" w:space="0" w:color="4F81BD" w:themeColor="accent1"/>
              <w:right w:val="single" w:sz="2" w:space="0" w:color="FFFFFF" w:themeColor="background1"/>
            </w:tcBorders>
            <w:shd w:val="clear" w:color="000000" w:fill="F2F2F2"/>
            <w:vAlign w:val="center"/>
            <w:hideMark/>
          </w:tcPr>
          <w:p w14:paraId="66D310D1" w14:textId="77777777" w:rsidR="00B54A41" w:rsidRPr="00B54A41" w:rsidRDefault="00B54A41" w:rsidP="00831EE4">
            <w:pPr>
              <w:pStyle w:val="Tabletext"/>
              <w:jc w:val="center"/>
            </w:pPr>
            <w:r w:rsidRPr="00B54A41">
              <w:t>0.1178</w:t>
            </w:r>
          </w:p>
        </w:tc>
        <w:tc>
          <w:tcPr>
            <w:tcW w:w="2833" w:type="dxa"/>
            <w:tcBorders>
              <w:top w:val="single" w:sz="4" w:space="0" w:color="FFFFFF"/>
              <w:left w:val="single" w:sz="2" w:space="0" w:color="FFFFFF" w:themeColor="background1"/>
              <w:bottom w:val="single" w:sz="18" w:space="0" w:color="4F81BD" w:themeColor="accent1"/>
              <w:right w:val="nil"/>
            </w:tcBorders>
            <w:shd w:val="clear" w:color="000000" w:fill="F2F2F2"/>
            <w:vAlign w:val="center"/>
            <w:hideMark/>
          </w:tcPr>
          <w:p w14:paraId="4A390D99" w14:textId="4BC8484D" w:rsidR="00B54A41" w:rsidRPr="00B54A41" w:rsidRDefault="00B54A41" w:rsidP="00831EE4">
            <w:pPr>
              <w:pStyle w:val="Tabletext"/>
              <w:jc w:val="center"/>
            </w:pPr>
            <w:r w:rsidRPr="00B54A41">
              <w:rPr>
                <w:lang w:val="en-GB"/>
              </w:rPr>
              <w:t>-0.</w:t>
            </w:r>
            <w:r w:rsidR="00E525CA" w:rsidRPr="00B54A41">
              <w:rPr>
                <w:lang w:val="en-GB"/>
              </w:rPr>
              <w:t>00</w:t>
            </w:r>
            <w:r w:rsidR="00E525CA">
              <w:rPr>
                <w:lang w:val="en-GB"/>
              </w:rPr>
              <w:t>2</w:t>
            </w:r>
          </w:p>
        </w:tc>
        <w:tc>
          <w:tcPr>
            <w:tcW w:w="2974" w:type="dxa"/>
            <w:tcBorders>
              <w:top w:val="single" w:sz="4" w:space="0" w:color="FFFFFF"/>
              <w:left w:val="nil"/>
              <w:bottom w:val="single" w:sz="18" w:space="0" w:color="4F81BD" w:themeColor="accent1"/>
              <w:right w:val="nil"/>
            </w:tcBorders>
            <w:shd w:val="clear" w:color="000000" w:fill="F2F2F2"/>
            <w:vAlign w:val="center"/>
            <w:hideMark/>
          </w:tcPr>
          <w:p w14:paraId="09CB8119" w14:textId="5D8A85BE" w:rsidR="00B54A41" w:rsidRPr="00B54A41" w:rsidRDefault="00B54A41" w:rsidP="00831EE4">
            <w:pPr>
              <w:pStyle w:val="Tabletext"/>
              <w:jc w:val="center"/>
            </w:pPr>
            <w:r w:rsidRPr="00B54A41">
              <w:rPr>
                <w:lang w:val="en-GB"/>
              </w:rPr>
              <w:t>0.001</w:t>
            </w:r>
          </w:p>
        </w:tc>
      </w:tr>
    </w:tbl>
    <w:p w14:paraId="24D8A31C" w14:textId="77777777" w:rsidR="00CA6BC9" w:rsidRDefault="00CA6BC9" w:rsidP="00831EE4">
      <w:pPr>
        <w:pStyle w:val="Source"/>
        <w:spacing w:after="0"/>
        <w:rPr>
          <w:rStyle w:val="af5"/>
          <w:rFonts w:cs="Calibri Light"/>
          <w:b/>
          <w:bCs/>
          <w:sz w:val="20"/>
          <w:szCs w:val="20"/>
          <w:lang w:val="en-GB"/>
        </w:rPr>
      </w:pPr>
      <w:r>
        <w:rPr>
          <w:rStyle w:val="af5"/>
          <w:rFonts w:cs="Calibri Light"/>
          <w:b/>
          <w:bCs/>
          <w:sz w:val="20"/>
          <w:szCs w:val="20"/>
          <w:lang w:val="en-GB"/>
        </w:rPr>
        <w:t>Notes:</w:t>
      </w:r>
    </w:p>
    <w:p w14:paraId="53BBF834" w14:textId="77777777" w:rsidR="00237916" w:rsidRPr="00AC165E" w:rsidRDefault="00CA6BC9" w:rsidP="00831EE4">
      <w:pPr>
        <w:pStyle w:val="Source"/>
        <w:numPr>
          <w:ilvl w:val="0"/>
          <w:numId w:val="61"/>
        </w:numPr>
        <w:spacing w:after="0"/>
        <w:ind w:left="284" w:hanging="284"/>
        <w:rPr>
          <w:rStyle w:val="af5"/>
          <w:rFonts w:ascii="Calibri" w:hAnsi="Calibri" w:cs="Calibri Light"/>
          <w:sz w:val="19"/>
          <w:szCs w:val="19"/>
          <w:lang w:val="en-GB"/>
        </w:rPr>
      </w:pPr>
      <w:r w:rsidRPr="00AC165E">
        <w:rPr>
          <w:rStyle w:val="af5"/>
          <w:rFonts w:cs="Calibri Light"/>
          <w:sz w:val="19"/>
          <w:szCs w:val="19"/>
          <w:lang w:val="en-GB"/>
        </w:rPr>
        <w:t>Gini coefficient ranges between 0 (all incomes are equal) and 1 (only one person has all income). It is more sensitive to changes in the middle of the income distribution.</w:t>
      </w:r>
    </w:p>
    <w:p w14:paraId="635462F4" w14:textId="77777777" w:rsidR="00237916" w:rsidRPr="00AC165E" w:rsidRDefault="00CA6BC9" w:rsidP="00237916">
      <w:pPr>
        <w:pStyle w:val="Source"/>
        <w:numPr>
          <w:ilvl w:val="0"/>
          <w:numId w:val="61"/>
        </w:numPr>
        <w:spacing w:after="0"/>
        <w:ind w:left="284" w:hanging="284"/>
        <w:rPr>
          <w:rStyle w:val="af5"/>
          <w:rFonts w:cs="Calibri Light"/>
          <w:sz w:val="19"/>
          <w:szCs w:val="19"/>
          <w:lang w:val="en-GB"/>
        </w:rPr>
      </w:pPr>
      <w:r w:rsidRPr="00AC165E">
        <w:rPr>
          <w:rStyle w:val="af5"/>
          <w:rFonts w:cs="Calibri Light"/>
          <w:sz w:val="19"/>
          <w:szCs w:val="19"/>
          <w:lang w:val="en-GB"/>
        </w:rPr>
        <w:t>S80/S20 (S90/S10) ratio is the ratio of the mean equivalised disposable income received by the 20% (10%) of the population with the highest income to that received by the 20% (10%) of the population with the lowest income.</w:t>
      </w:r>
    </w:p>
    <w:p w14:paraId="6CF99486" w14:textId="50157C75" w:rsidR="00CA6BC9" w:rsidRPr="00AC165E" w:rsidRDefault="00CA6BC9" w:rsidP="00831EE4">
      <w:pPr>
        <w:pStyle w:val="Source"/>
        <w:numPr>
          <w:ilvl w:val="0"/>
          <w:numId w:val="61"/>
        </w:numPr>
        <w:spacing w:after="0"/>
        <w:ind w:left="284" w:hanging="284"/>
        <w:rPr>
          <w:rStyle w:val="af5"/>
          <w:rFonts w:cs="Calibri Light"/>
          <w:sz w:val="19"/>
          <w:szCs w:val="19"/>
          <w:lang w:val="en-GB"/>
        </w:rPr>
      </w:pPr>
      <w:r w:rsidRPr="00AC165E">
        <w:rPr>
          <w:rStyle w:val="af5"/>
          <w:rFonts w:cs="Calibri Light"/>
          <w:sz w:val="19"/>
          <w:szCs w:val="19"/>
          <w:lang w:val="en-GB"/>
        </w:rPr>
        <w:t>Atkinson indices range between 0 (all incomes are equal) and 1 (only one person has all income). Atkinson 0.25 is more sensitive to changes at the top of the income distribution, while Atkinson 0.75 is more sensitive to changes at the bottom of the income distribution.</w:t>
      </w:r>
    </w:p>
    <w:p w14:paraId="3DC3D270" w14:textId="759F8456" w:rsidR="00CA6BC9" w:rsidRPr="00831EE4" w:rsidRDefault="00DC3914" w:rsidP="00AC165E">
      <w:pPr>
        <w:spacing w:before="120" w:after="120" w:line="252" w:lineRule="auto"/>
        <w:rPr>
          <w:lang w:val="en-US"/>
        </w:rPr>
      </w:pPr>
      <w:r w:rsidRPr="00831EE4">
        <w:fldChar w:fldCharType="begin"/>
      </w:r>
      <w:r w:rsidRPr="00831EE4">
        <w:rPr>
          <w:lang w:val="en-US"/>
        </w:rPr>
        <w:instrText xml:space="preserve"> REF _Ref211261283 \h  \* MERGEFORMAT </w:instrText>
      </w:r>
      <w:r w:rsidRPr="00831EE4">
        <w:fldChar w:fldCharType="separate"/>
      </w:r>
      <w:r w:rsidR="00AF0E6B" w:rsidRPr="00AF0E6B">
        <w:rPr>
          <w:lang w:val="en-US"/>
        </w:rPr>
        <w:t xml:space="preserve">Table </w:t>
      </w:r>
      <w:r w:rsidR="00AF0E6B" w:rsidRPr="00AF0E6B">
        <w:rPr>
          <w:noProof/>
          <w:lang w:val="en-US"/>
        </w:rPr>
        <w:t>13</w:t>
      </w:r>
      <w:r w:rsidRPr="00831EE4">
        <w:fldChar w:fldCharType="end"/>
      </w:r>
      <w:r w:rsidRPr="00831EE4">
        <w:rPr>
          <w:lang w:val="en-US"/>
        </w:rPr>
        <w:t xml:space="preserve">, </w:t>
      </w:r>
      <w:r w:rsidRPr="00831EE4">
        <w:fldChar w:fldCharType="begin"/>
      </w:r>
      <w:r w:rsidRPr="00831EE4">
        <w:rPr>
          <w:lang w:val="en-US"/>
        </w:rPr>
        <w:instrText xml:space="preserve"> REF _Ref211261287 \h  \* MERGEFORMAT </w:instrText>
      </w:r>
      <w:r w:rsidRPr="00831EE4">
        <w:fldChar w:fldCharType="separate"/>
      </w:r>
      <w:r w:rsidR="00AF0E6B" w:rsidRPr="00AF0E6B">
        <w:rPr>
          <w:lang w:val="en-US"/>
        </w:rPr>
        <w:t xml:space="preserve">Table </w:t>
      </w:r>
      <w:r w:rsidR="00AF0E6B" w:rsidRPr="00AF0E6B">
        <w:rPr>
          <w:noProof/>
          <w:lang w:val="en-US"/>
        </w:rPr>
        <w:t>14</w:t>
      </w:r>
      <w:r w:rsidRPr="00831EE4">
        <w:fldChar w:fldCharType="end"/>
      </w:r>
      <w:r w:rsidRPr="00831EE4">
        <w:rPr>
          <w:lang w:val="en-US"/>
        </w:rPr>
        <w:t xml:space="preserve"> and </w:t>
      </w:r>
      <w:r w:rsidRPr="00831EE4">
        <w:fldChar w:fldCharType="begin"/>
      </w:r>
      <w:r w:rsidRPr="00831EE4">
        <w:rPr>
          <w:lang w:val="en-US"/>
        </w:rPr>
        <w:instrText xml:space="preserve"> REF _Ref211261290 \h  \* MERGEFORMAT </w:instrText>
      </w:r>
      <w:r w:rsidRPr="00831EE4">
        <w:fldChar w:fldCharType="separate"/>
      </w:r>
      <w:r w:rsidR="00AF0E6B" w:rsidRPr="00AF0E6B">
        <w:rPr>
          <w:lang w:val="en-US"/>
        </w:rPr>
        <w:t xml:space="preserve">Table </w:t>
      </w:r>
      <w:r w:rsidR="00AF0E6B" w:rsidRPr="00AF0E6B">
        <w:rPr>
          <w:noProof/>
          <w:lang w:val="en-US"/>
        </w:rPr>
        <w:t>15</w:t>
      </w:r>
      <w:r w:rsidRPr="00831EE4">
        <w:fldChar w:fldCharType="end"/>
      </w:r>
      <w:r>
        <w:rPr>
          <w:lang w:val="en-US"/>
        </w:rPr>
        <w:t xml:space="preserve"> </w:t>
      </w:r>
      <w:r w:rsidR="00CA6BC9" w:rsidRPr="00831EE4">
        <w:rPr>
          <w:lang w:val="en-US"/>
        </w:rPr>
        <w:t>present the main poverty indices used to depict the aggregate level of poverty in the economy, with respect to both the number of individuals below the poverty line (headcount ratio) and the depth of poverty (poverty gap). Specifically, FGT(0) corresponds to the headcount ratio and measures the share of individuals whose equivalized disposable income falls below 60% of the median equivalized disposable income. When the anchored poverty line is applied (</w:t>
      </w:r>
      <w:r>
        <w:fldChar w:fldCharType="begin"/>
      </w:r>
      <w:r w:rsidRPr="00831EE4">
        <w:rPr>
          <w:lang w:val="en-US"/>
        </w:rPr>
        <w:instrText xml:space="preserve"> REF _Ref211261283 \h </w:instrText>
      </w:r>
      <w:r>
        <w:fldChar w:fldCharType="separate"/>
      </w:r>
      <w:r w:rsidR="00AF0E6B" w:rsidRPr="00AF0E6B">
        <w:rPr>
          <w:lang w:val="en-US"/>
        </w:rPr>
        <w:t xml:space="preserve">Table </w:t>
      </w:r>
      <w:r w:rsidR="00AF0E6B" w:rsidRPr="00AF0E6B">
        <w:rPr>
          <w:noProof/>
          <w:lang w:val="en-US"/>
        </w:rPr>
        <w:t>13</w:t>
      </w:r>
      <w:r>
        <w:fldChar w:fldCharType="end"/>
      </w:r>
      <w:r w:rsidR="00CA6BC9" w:rsidRPr="00831EE4">
        <w:rPr>
          <w:lang w:val="en-US"/>
        </w:rPr>
        <w:t>), the absolute effect of the reforms can be assessed relative to the previous year. In contrast, when a floating poverty line is used (</w:t>
      </w:r>
      <w:r>
        <w:fldChar w:fldCharType="begin"/>
      </w:r>
      <w:r w:rsidRPr="00831EE4">
        <w:rPr>
          <w:lang w:val="en-US"/>
        </w:rPr>
        <w:instrText xml:space="preserve"> REF _Ref211261290 \h </w:instrText>
      </w:r>
      <w:r>
        <w:fldChar w:fldCharType="separate"/>
      </w:r>
      <w:r w:rsidR="00AF0E6B" w:rsidRPr="00AF0E6B">
        <w:rPr>
          <w:lang w:val="en-US"/>
        </w:rPr>
        <w:t xml:space="preserve">Table </w:t>
      </w:r>
      <w:r w:rsidR="00AF0E6B" w:rsidRPr="00AF0E6B">
        <w:rPr>
          <w:noProof/>
          <w:lang w:val="en-US"/>
        </w:rPr>
        <w:t>15</w:t>
      </w:r>
      <w:r>
        <w:fldChar w:fldCharType="end"/>
      </w:r>
      <w:r w:rsidR="00CA6BC9" w:rsidRPr="00831EE4">
        <w:rPr>
          <w:lang w:val="en-US"/>
        </w:rPr>
        <w:t>), the results account for changes in the poverty line itself, meaning that individuals may change their poverty status due to shifts in the threshold in addition to changes in their income. Results are presented for the total population, as well as disaggregated by age group and household type.</w:t>
      </w:r>
    </w:p>
    <w:p w14:paraId="48941275" w14:textId="6699CAE0" w:rsidR="00237916" w:rsidRPr="00831EE4" w:rsidRDefault="00CA6BC9" w:rsidP="003F703E">
      <w:pPr>
        <w:spacing w:line="252" w:lineRule="auto"/>
        <w:rPr>
          <w:lang w:val="en-US"/>
        </w:rPr>
      </w:pPr>
      <w:r w:rsidRPr="00831EE4">
        <w:rPr>
          <w:lang w:val="en-US"/>
        </w:rPr>
        <w:t>FGT(1), shown in</w:t>
      </w:r>
      <w:r w:rsidR="00DC3914" w:rsidRPr="00831EE4">
        <w:rPr>
          <w:lang w:val="en-US"/>
        </w:rPr>
        <w:t xml:space="preserve"> </w:t>
      </w:r>
      <w:r w:rsidR="00DC3914" w:rsidRPr="00831EE4">
        <w:rPr>
          <w:lang w:val="en-US"/>
        </w:rPr>
        <w:fldChar w:fldCharType="begin"/>
      </w:r>
      <w:r w:rsidR="00DC3914" w:rsidRPr="00831EE4">
        <w:rPr>
          <w:lang w:val="en-US"/>
        </w:rPr>
        <w:instrText xml:space="preserve"> REF _Ref211261287 \h </w:instrText>
      </w:r>
      <w:r w:rsidR="00DC3914">
        <w:rPr>
          <w:lang w:val="en-US"/>
        </w:rPr>
        <w:instrText xml:space="preserve"> \* MERGEFORMAT </w:instrText>
      </w:r>
      <w:r w:rsidR="00DC3914" w:rsidRPr="00831EE4">
        <w:rPr>
          <w:lang w:val="en-US"/>
        </w:rPr>
      </w:r>
      <w:r w:rsidR="00DC3914" w:rsidRPr="00831EE4">
        <w:rPr>
          <w:lang w:val="en-US"/>
        </w:rPr>
        <w:fldChar w:fldCharType="separate"/>
      </w:r>
      <w:r w:rsidR="00AF0E6B" w:rsidRPr="00AF0E6B">
        <w:rPr>
          <w:lang w:val="en-US"/>
        </w:rPr>
        <w:t xml:space="preserve">Table </w:t>
      </w:r>
      <w:r w:rsidR="00AF0E6B" w:rsidRPr="00AF0E6B">
        <w:rPr>
          <w:noProof/>
          <w:lang w:val="en-US"/>
        </w:rPr>
        <w:t>14</w:t>
      </w:r>
      <w:r w:rsidR="00DC3914" w:rsidRPr="00831EE4">
        <w:rPr>
          <w:lang w:val="en-US"/>
        </w:rPr>
        <w:fldChar w:fldCharType="end"/>
      </w:r>
      <w:r w:rsidRPr="00831EE4">
        <w:rPr>
          <w:lang w:val="en-US"/>
        </w:rPr>
        <w:t>, represents the poverty gap index, defined as the average difference between individual incomes and the 60% poverty line, expressed as a percentage of the poverty line, and calculated only for individuals whose incomes fall below the poverty threshold.</w:t>
      </w:r>
    </w:p>
    <w:p w14:paraId="1AB1FD98" w14:textId="75E27288" w:rsidR="00CA6BC9" w:rsidRDefault="00237916" w:rsidP="00831EE4">
      <w:pPr>
        <w:pStyle w:val="ae"/>
      </w:pPr>
      <w:bookmarkStart w:id="79" w:name="_Ref211261283"/>
      <w:bookmarkStart w:id="80" w:name="_Toc211355107"/>
      <w:r>
        <w:t xml:space="preserve">Table </w:t>
      </w:r>
      <w:r>
        <w:fldChar w:fldCharType="begin"/>
      </w:r>
      <w:r>
        <w:instrText xml:space="preserve"> SEQ Table \* ARABIC </w:instrText>
      </w:r>
      <w:r>
        <w:fldChar w:fldCharType="separate"/>
      </w:r>
      <w:r w:rsidR="00AF0E6B">
        <w:rPr>
          <w:noProof/>
        </w:rPr>
        <w:t>13</w:t>
      </w:r>
      <w:r>
        <w:fldChar w:fldCharType="end"/>
      </w:r>
      <w:bookmarkEnd w:id="79"/>
      <w:r>
        <w:t xml:space="preserve"> | </w:t>
      </w:r>
      <w:r w:rsidR="00CA6BC9">
        <w:t xml:space="preserve">FGT(0) poverty headcount index </w:t>
      </w:r>
      <w:r w:rsidR="00CA6BC9" w:rsidRPr="00831EE4">
        <w:rPr>
          <w:b w:val="0"/>
        </w:rPr>
        <w:t>(anchored poverty line)</w:t>
      </w:r>
      <w:bookmarkEnd w:id="80"/>
    </w:p>
    <w:tbl>
      <w:tblPr>
        <w:tblW w:w="8931" w:type="dxa"/>
        <w:jc w:val="center"/>
        <w:tblLook w:val="04A0" w:firstRow="1" w:lastRow="0" w:firstColumn="1" w:lastColumn="0" w:noHBand="0" w:noVBand="1"/>
      </w:tblPr>
      <w:tblGrid>
        <w:gridCol w:w="3363"/>
        <w:gridCol w:w="1197"/>
        <w:gridCol w:w="2386"/>
        <w:gridCol w:w="1985"/>
      </w:tblGrid>
      <w:tr w:rsidR="00335BE7" w:rsidRPr="00C14AE5" w14:paraId="55EBAD4E" w14:textId="77777777" w:rsidTr="004B5A07">
        <w:trPr>
          <w:trHeight w:val="227"/>
          <w:jc w:val="center"/>
        </w:trPr>
        <w:tc>
          <w:tcPr>
            <w:tcW w:w="3363" w:type="dxa"/>
            <w:tcBorders>
              <w:top w:val="nil"/>
              <w:left w:val="nil"/>
              <w:bottom w:val="nil"/>
              <w:right w:val="nil"/>
            </w:tcBorders>
            <w:shd w:val="clear" w:color="000000" w:fill="BFBFBF"/>
            <w:vAlign w:val="center"/>
            <w:hideMark/>
          </w:tcPr>
          <w:p w14:paraId="64A11127" w14:textId="6BF2AAA0" w:rsidR="00335BE7" w:rsidRPr="003F703E" w:rsidRDefault="00335BE7" w:rsidP="00831EE4">
            <w:pPr>
              <w:pStyle w:val="Tabletext"/>
              <w:jc w:val="center"/>
              <w:rPr>
                <w:b/>
              </w:rPr>
            </w:pPr>
          </w:p>
        </w:tc>
        <w:tc>
          <w:tcPr>
            <w:tcW w:w="1197" w:type="dxa"/>
            <w:tcBorders>
              <w:top w:val="nil"/>
              <w:left w:val="nil"/>
              <w:bottom w:val="nil"/>
              <w:right w:val="single" w:sz="4" w:space="0" w:color="FFFFFF"/>
            </w:tcBorders>
            <w:shd w:val="clear" w:color="000000" w:fill="BFBFBF"/>
            <w:vAlign w:val="center"/>
            <w:hideMark/>
          </w:tcPr>
          <w:p w14:paraId="121BFEA1" w14:textId="5788A433" w:rsidR="00335BE7" w:rsidRPr="003F703E" w:rsidRDefault="00335BE7" w:rsidP="00831EE4">
            <w:pPr>
              <w:pStyle w:val="Tabletext"/>
              <w:jc w:val="center"/>
              <w:rPr>
                <w:b/>
              </w:rPr>
            </w:pPr>
          </w:p>
        </w:tc>
        <w:tc>
          <w:tcPr>
            <w:tcW w:w="4371" w:type="dxa"/>
            <w:gridSpan w:val="2"/>
            <w:tcBorders>
              <w:top w:val="nil"/>
              <w:left w:val="single" w:sz="4" w:space="0" w:color="FFFFFF"/>
              <w:bottom w:val="nil"/>
              <w:right w:val="nil"/>
            </w:tcBorders>
            <w:shd w:val="clear" w:color="000000" w:fill="BFBFBF"/>
            <w:vAlign w:val="center"/>
            <w:hideMark/>
          </w:tcPr>
          <w:p w14:paraId="57042AD2" w14:textId="77777777" w:rsidR="00335BE7" w:rsidRPr="003F703E" w:rsidRDefault="00335BE7" w:rsidP="00831EE4">
            <w:pPr>
              <w:pStyle w:val="Tabletext"/>
              <w:jc w:val="center"/>
              <w:rPr>
                <w:b/>
              </w:rPr>
            </w:pPr>
            <w:r w:rsidRPr="003F703E">
              <w:rPr>
                <w:b/>
              </w:rPr>
              <w:t>Absolute difference with respect to 2025_base (pp)</w:t>
            </w:r>
          </w:p>
        </w:tc>
      </w:tr>
      <w:tr w:rsidR="00335BE7" w:rsidRPr="003F703E" w14:paraId="7EE2241E" w14:textId="77777777" w:rsidTr="004B5A07">
        <w:trPr>
          <w:trHeight w:val="227"/>
          <w:jc w:val="center"/>
        </w:trPr>
        <w:tc>
          <w:tcPr>
            <w:tcW w:w="3363" w:type="dxa"/>
            <w:tcBorders>
              <w:top w:val="nil"/>
              <w:left w:val="nil"/>
              <w:bottom w:val="nil"/>
              <w:right w:val="nil"/>
            </w:tcBorders>
            <w:shd w:val="clear" w:color="000000" w:fill="BFBFBF"/>
            <w:vAlign w:val="center"/>
            <w:hideMark/>
          </w:tcPr>
          <w:p w14:paraId="4D645C35" w14:textId="30101DE8" w:rsidR="00335BE7" w:rsidRPr="003F703E" w:rsidRDefault="00335BE7" w:rsidP="00831EE4">
            <w:pPr>
              <w:pStyle w:val="Tabletext"/>
              <w:jc w:val="center"/>
              <w:rPr>
                <w:b/>
              </w:rPr>
            </w:pPr>
          </w:p>
        </w:tc>
        <w:tc>
          <w:tcPr>
            <w:tcW w:w="1197" w:type="dxa"/>
            <w:tcBorders>
              <w:top w:val="nil"/>
              <w:left w:val="nil"/>
              <w:bottom w:val="nil"/>
              <w:right w:val="single" w:sz="4" w:space="0" w:color="FFFFFF"/>
            </w:tcBorders>
            <w:shd w:val="clear" w:color="000000" w:fill="BFBFBF"/>
            <w:vAlign w:val="center"/>
            <w:hideMark/>
          </w:tcPr>
          <w:p w14:paraId="1E32330D" w14:textId="77777777" w:rsidR="00335BE7" w:rsidRPr="003F703E" w:rsidRDefault="00335BE7" w:rsidP="00831EE4">
            <w:pPr>
              <w:pStyle w:val="Tabletext"/>
              <w:jc w:val="center"/>
              <w:rPr>
                <w:b/>
              </w:rPr>
            </w:pPr>
            <w:r w:rsidRPr="003F703E">
              <w:rPr>
                <w:b/>
              </w:rPr>
              <w:t>2025_base</w:t>
            </w:r>
          </w:p>
        </w:tc>
        <w:tc>
          <w:tcPr>
            <w:tcW w:w="2386" w:type="dxa"/>
            <w:tcBorders>
              <w:top w:val="nil"/>
              <w:left w:val="single" w:sz="4" w:space="0" w:color="FFFFFF"/>
              <w:bottom w:val="nil"/>
              <w:right w:val="nil"/>
            </w:tcBorders>
            <w:shd w:val="clear" w:color="000000" w:fill="BFBFBF"/>
            <w:vAlign w:val="center"/>
            <w:hideMark/>
          </w:tcPr>
          <w:p w14:paraId="06DD2C61" w14:textId="77777777" w:rsidR="00335BE7" w:rsidRPr="003F703E" w:rsidRDefault="00335BE7" w:rsidP="00831EE4">
            <w:pPr>
              <w:pStyle w:val="Tabletext"/>
              <w:jc w:val="center"/>
              <w:rPr>
                <w:b/>
              </w:rPr>
            </w:pPr>
            <w:r w:rsidRPr="003F703E">
              <w:rPr>
                <w:b/>
              </w:rPr>
              <w:t>2025_ref</w:t>
            </w:r>
          </w:p>
        </w:tc>
        <w:tc>
          <w:tcPr>
            <w:tcW w:w="1985" w:type="dxa"/>
            <w:tcBorders>
              <w:top w:val="nil"/>
              <w:left w:val="nil"/>
              <w:bottom w:val="nil"/>
              <w:right w:val="nil"/>
            </w:tcBorders>
            <w:shd w:val="clear" w:color="000000" w:fill="BFBFBF"/>
            <w:vAlign w:val="center"/>
            <w:hideMark/>
          </w:tcPr>
          <w:p w14:paraId="6DFC309F" w14:textId="77777777" w:rsidR="00335BE7" w:rsidRPr="003F703E" w:rsidRDefault="00335BE7" w:rsidP="00831EE4">
            <w:pPr>
              <w:pStyle w:val="Tabletext"/>
              <w:jc w:val="center"/>
              <w:rPr>
                <w:b/>
              </w:rPr>
            </w:pPr>
            <w:r w:rsidRPr="003F703E">
              <w:rPr>
                <w:b/>
              </w:rPr>
              <w:t>2026_ref</w:t>
            </w:r>
          </w:p>
        </w:tc>
      </w:tr>
      <w:tr w:rsidR="00335BE7" w:rsidRPr="00335BE7" w14:paraId="466EF01E"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44908384" w14:textId="77777777" w:rsidR="00335BE7" w:rsidRPr="00831EE4" w:rsidRDefault="00335BE7" w:rsidP="00831EE4">
            <w:pPr>
              <w:pStyle w:val="Tabletext"/>
              <w:rPr>
                <w:b/>
              </w:rPr>
            </w:pPr>
            <w:r w:rsidRPr="00831EE4">
              <w:rPr>
                <w:b/>
              </w:rPr>
              <w:t>Total Population</w:t>
            </w:r>
          </w:p>
        </w:tc>
        <w:tc>
          <w:tcPr>
            <w:tcW w:w="1197" w:type="dxa"/>
            <w:tcBorders>
              <w:top w:val="nil"/>
              <w:left w:val="nil"/>
              <w:bottom w:val="single" w:sz="4" w:space="0" w:color="FFFFFF"/>
              <w:right w:val="single" w:sz="4" w:space="0" w:color="FFFFFF"/>
            </w:tcBorders>
            <w:shd w:val="clear" w:color="000000" w:fill="F2F2F2"/>
            <w:vAlign w:val="center"/>
            <w:hideMark/>
          </w:tcPr>
          <w:p w14:paraId="77123917" w14:textId="77777777" w:rsidR="00335BE7" w:rsidRPr="00335BE7" w:rsidRDefault="00335BE7" w:rsidP="00831EE4">
            <w:pPr>
              <w:pStyle w:val="Tabletext"/>
              <w:jc w:val="center"/>
            </w:pPr>
            <w:r w:rsidRPr="00335BE7">
              <w:t>16.9%</w:t>
            </w:r>
          </w:p>
        </w:tc>
        <w:tc>
          <w:tcPr>
            <w:tcW w:w="2386" w:type="dxa"/>
            <w:tcBorders>
              <w:top w:val="nil"/>
              <w:left w:val="single" w:sz="4" w:space="0" w:color="FFFFFF"/>
              <w:bottom w:val="single" w:sz="4" w:space="0" w:color="FFFFFF"/>
              <w:right w:val="nil"/>
            </w:tcBorders>
            <w:shd w:val="clear" w:color="000000" w:fill="F2F2F2"/>
            <w:vAlign w:val="center"/>
            <w:hideMark/>
          </w:tcPr>
          <w:p w14:paraId="112514E7" w14:textId="77777777" w:rsidR="00335BE7" w:rsidRPr="00335BE7" w:rsidRDefault="00335BE7" w:rsidP="00831EE4">
            <w:pPr>
              <w:pStyle w:val="Tabletext"/>
              <w:jc w:val="center"/>
            </w:pPr>
            <w:r w:rsidRPr="00335BE7">
              <w:t>-0.6</w:t>
            </w:r>
          </w:p>
        </w:tc>
        <w:tc>
          <w:tcPr>
            <w:tcW w:w="1985" w:type="dxa"/>
            <w:tcBorders>
              <w:top w:val="nil"/>
              <w:left w:val="nil"/>
              <w:bottom w:val="single" w:sz="4" w:space="0" w:color="FFFFFF"/>
              <w:right w:val="nil"/>
            </w:tcBorders>
            <w:shd w:val="clear" w:color="000000" w:fill="F2F2F2"/>
            <w:vAlign w:val="center"/>
            <w:hideMark/>
          </w:tcPr>
          <w:p w14:paraId="569FAAF9" w14:textId="77777777" w:rsidR="00335BE7" w:rsidRPr="00335BE7" w:rsidRDefault="00335BE7" w:rsidP="00831EE4">
            <w:pPr>
              <w:pStyle w:val="Tabletext"/>
              <w:jc w:val="center"/>
            </w:pPr>
            <w:r w:rsidRPr="00335BE7">
              <w:t>-1.8</w:t>
            </w:r>
          </w:p>
        </w:tc>
      </w:tr>
      <w:tr w:rsidR="00335BE7" w:rsidRPr="00335BE7" w14:paraId="481B48F8" w14:textId="77777777" w:rsidTr="004B5A07">
        <w:trPr>
          <w:trHeight w:val="227"/>
          <w:jc w:val="center"/>
        </w:trPr>
        <w:tc>
          <w:tcPr>
            <w:tcW w:w="8931" w:type="dxa"/>
            <w:gridSpan w:val="4"/>
            <w:tcBorders>
              <w:top w:val="single" w:sz="4" w:space="0" w:color="FFFFFF"/>
              <w:left w:val="nil"/>
              <w:bottom w:val="nil"/>
              <w:right w:val="single" w:sz="4" w:space="0" w:color="FFFFFF"/>
            </w:tcBorders>
            <w:shd w:val="clear" w:color="000000" w:fill="BFBFBF"/>
            <w:vAlign w:val="center"/>
            <w:hideMark/>
          </w:tcPr>
          <w:p w14:paraId="28FE8AB0" w14:textId="77777777" w:rsidR="00335BE7" w:rsidRPr="00831EE4" w:rsidRDefault="00335BE7" w:rsidP="00831EE4">
            <w:pPr>
              <w:pStyle w:val="Tabletext"/>
              <w:rPr>
                <w:rFonts w:ascii="Calibri Light" w:hAnsi="Calibri Light" w:cs="Calibri Light"/>
                <w:b/>
              </w:rPr>
            </w:pPr>
            <w:r w:rsidRPr="00831EE4">
              <w:rPr>
                <w:rFonts w:ascii="Calibri Light" w:hAnsi="Calibri Light" w:cs="Calibri Light"/>
                <w:b/>
              </w:rPr>
              <w:t>By age group</w:t>
            </w:r>
          </w:p>
        </w:tc>
      </w:tr>
      <w:tr w:rsidR="00335BE7" w:rsidRPr="00335BE7" w14:paraId="221476B8"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59CB336D" w14:textId="77777777" w:rsidR="00335BE7" w:rsidRPr="00335BE7" w:rsidRDefault="00335BE7" w:rsidP="00831EE4">
            <w:pPr>
              <w:pStyle w:val="Tabletext"/>
            </w:pPr>
            <w:r w:rsidRPr="00335BE7">
              <w:t>0-14</w:t>
            </w:r>
          </w:p>
        </w:tc>
        <w:tc>
          <w:tcPr>
            <w:tcW w:w="1197" w:type="dxa"/>
            <w:tcBorders>
              <w:top w:val="nil"/>
              <w:left w:val="nil"/>
              <w:bottom w:val="single" w:sz="4" w:space="0" w:color="FFFFFF"/>
              <w:right w:val="single" w:sz="4" w:space="0" w:color="FFFFFF"/>
            </w:tcBorders>
            <w:shd w:val="clear" w:color="000000" w:fill="F2F2F2"/>
            <w:vAlign w:val="center"/>
            <w:hideMark/>
          </w:tcPr>
          <w:p w14:paraId="6380B490" w14:textId="77777777" w:rsidR="00335BE7" w:rsidRPr="00335BE7" w:rsidRDefault="00335BE7" w:rsidP="00831EE4">
            <w:pPr>
              <w:pStyle w:val="Tabletext"/>
              <w:jc w:val="center"/>
            </w:pPr>
            <w:r w:rsidRPr="00335BE7">
              <w:t>18.4%</w:t>
            </w:r>
          </w:p>
        </w:tc>
        <w:tc>
          <w:tcPr>
            <w:tcW w:w="2386" w:type="dxa"/>
            <w:tcBorders>
              <w:top w:val="nil"/>
              <w:left w:val="single" w:sz="4" w:space="0" w:color="FFFFFF"/>
              <w:bottom w:val="single" w:sz="4" w:space="0" w:color="FFFFFF"/>
              <w:right w:val="nil"/>
            </w:tcBorders>
            <w:shd w:val="clear" w:color="000000" w:fill="F2F2F2"/>
            <w:vAlign w:val="center"/>
            <w:hideMark/>
          </w:tcPr>
          <w:p w14:paraId="5B9BDB97" w14:textId="77777777" w:rsidR="00335BE7" w:rsidRPr="00335BE7" w:rsidRDefault="00335BE7" w:rsidP="00831EE4">
            <w:pPr>
              <w:pStyle w:val="Tabletext"/>
              <w:jc w:val="center"/>
            </w:pPr>
            <w:r w:rsidRPr="00335BE7">
              <w:t>-0.1</w:t>
            </w:r>
          </w:p>
        </w:tc>
        <w:tc>
          <w:tcPr>
            <w:tcW w:w="1985" w:type="dxa"/>
            <w:tcBorders>
              <w:top w:val="nil"/>
              <w:left w:val="nil"/>
              <w:bottom w:val="single" w:sz="4" w:space="0" w:color="FFFFFF"/>
              <w:right w:val="nil"/>
            </w:tcBorders>
            <w:shd w:val="clear" w:color="000000" w:fill="F2F2F2"/>
            <w:vAlign w:val="center"/>
            <w:hideMark/>
          </w:tcPr>
          <w:p w14:paraId="0544238C" w14:textId="77777777" w:rsidR="00335BE7" w:rsidRPr="00335BE7" w:rsidRDefault="00335BE7" w:rsidP="00831EE4">
            <w:pPr>
              <w:pStyle w:val="Tabletext"/>
              <w:jc w:val="center"/>
            </w:pPr>
            <w:r w:rsidRPr="00335BE7">
              <w:t>-2.0</w:t>
            </w:r>
          </w:p>
        </w:tc>
      </w:tr>
      <w:tr w:rsidR="00335BE7" w:rsidRPr="00335BE7" w14:paraId="37C98FFE" w14:textId="77777777" w:rsidTr="004B5A07">
        <w:trPr>
          <w:trHeight w:val="227"/>
          <w:jc w:val="center"/>
        </w:trPr>
        <w:tc>
          <w:tcPr>
            <w:tcW w:w="3363" w:type="dxa"/>
            <w:tcBorders>
              <w:top w:val="nil"/>
              <w:left w:val="nil"/>
              <w:bottom w:val="single" w:sz="4" w:space="0" w:color="FFFFFF"/>
              <w:right w:val="nil"/>
            </w:tcBorders>
            <w:shd w:val="clear" w:color="000000" w:fill="D9D9D9"/>
            <w:vAlign w:val="center"/>
            <w:hideMark/>
          </w:tcPr>
          <w:p w14:paraId="061B47EA" w14:textId="77777777" w:rsidR="00335BE7" w:rsidRPr="00335BE7" w:rsidRDefault="00335BE7" w:rsidP="00831EE4">
            <w:pPr>
              <w:pStyle w:val="Tabletext"/>
            </w:pPr>
            <w:r w:rsidRPr="00335BE7">
              <w:t>15-24</w:t>
            </w:r>
          </w:p>
        </w:tc>
        <w:tc>
          <w:tcPr>
            <w:tcW w:w="1197" w:type="dxa"/>
            <w:tcBorders>
              <w:top w:val="nil"/>
              <w:left w:val="nil"/>
              <w:bottom w:val="single" w:sz="4" w:space="0" w:color="FFFFFF"/>
              <w:right w:val="single" w:sz="4" w:space="0" w:color="FFFFFF"/>
            </w:tcBorders>
            <w:shd w:val="clear" w:color="000000" w:fill="D9D9D9"/>
            <w:vAlign w:val="center"/>
            <w:hideMark/>
          </w:tcPr>
          <w:p w14:paraId="5FA29208" w14:textId="77777777" w:rsidR="00335BE7" w:rsidRPr="00335BE7" w:rsidRDefault="00335BE7" w:rsidP="00831EE4">
            <w:pPr>
              <w:pStyle w:val="Tabletext"/>
              <w:jc w:val="center"/>
            </w:pPr>
            <w:r w:rsidRPr="00335BE7">
              <w:t>22%</w:t>
            </w:r>
          </w:p>
        </w:tc>
        <w:tc>
          <w:tcPr>
            <w:tcW w:w="2386" w:type="dxa"/>
            <w:tcBorders>
              <w:top w:val="nil"/>
              <w:left w:val="single" w:sz="4" w:space="0" w:color="FFFFFF"/>
              <w:bottom w:val="single" w:sz="4" w:space="0" w:color="FFFFFF"/>
              <w:right w:val="nil"/>
            </w:tcBorders>
            <w:shd w:val="clear" w:color="000000" w:fill="D9D9D9"/>
            <w:vAlign w:val="center"/>
            <w:hideMark/>
          </w:tcPr>
          <w:p w14:paraId="7AC91552" w14:textId="77777777" w:rsidR="00335BE7" w:rsidRPr="00335BE7" w:rsidRDefault="00335BE7" w:rsidP="00831EE4">
            <w:pPr>
              <w:pStyle w:val="Tabletext"/>
              <w:jc w:val="center"/>
            </w:pPr>
            <w:r w:rsidRPr="00335BE7">
              <w:t>-0.4</w:t>
            </w:r>
          </w:p>
        </w:tc>
        <w:tc>
          <w:tcPr>
            <w:tcW w:w="1985" w:type="dxa"/>
            <w:tcBorders>
              <w:top w:val="nil"/>
              <w:left w:val="nil"/>
              <w:bottom w:val="single" w:sz="4" w:space="0" w:color="FFFFFF"/>
              <w:right w:val="nil"/>
            </w:tcBorders>
            <w:shd w:val="clear" w:color="000000" w:fill="D9D9D9"/>
            <w:vAlign w:val="center"/>
            <w:hideMark/>
          </w:tcPr>
          <w:p w14:paraId="0F43D185" w14:textId="77777777" w:rsidR="00335BE7" w:rsidRPr="00335BE7" w:rsidRDefault="00335BE7" w:rsidP="00831EE4">
            <w:pPr>
              <w:pStyle w:val="Tabletext"/>
              <w:jc w:val="center"/>
            </w:pPr>
            <w:r w:rsidRPr="00335BE7">
              <w:t>-2.2</w:t>
            </w:r>
          </w:p>
        </w:tc>
      </w:tr>
      <w:tr w:rsidR="00335BE7" w:rsidRPr="00335BE7" w14:paraId="27306971"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4AA5D159" w14:textId="77777777" w:rsidR="00335BE7" w:rsidRPr="00335BE7" w:rsidRDefault="00335BE7" w:rsidP="00831EE4">
            <w:pPr>
              <w:pStyle w:val="Tabletext"/>
            </w:pPr>
            <w:r w:rsidRPr="00335BE7">
              <w:t>25-49</w:t>
            </w:r>
          </w:p>
        </w:tc>
        <w:tc>
          <w:tcPr>
            <w:tcW w:w="1197" w:type="dxa"/>
            <w:tcBorders>
              <w:top w:val="nil"/>
              <w:left w:val="nil"/>
              <w:bottom w:val="single" w:sz="4" w:space="0" w:color="FFFFFF"/>
              <w:right w:val="single" w:sz="4" w:space="0" w:color="FFFFFF"/>
            </w:tcBorders>
            <w:shd w:val="clear" w:color="000000" w:fill="F2F2F2"/>
            <w:vAlign w:val="center"/>
            <w:hideMark/>
          </w:tcPr>
          <w:p w14:paraId="565D2783" w14:textId="77777777" w:rsidR="00335BE7" w:rsidRPr="00335BE7" w:rsidRDefault="00335BE7" w:rsidP="00831EE4">
            <w:pPr>
              <w:pStyle w:val="Tabletext"/>
              <w:jc w:val="center"/>
            </w:pPr>
            <w:r w:rsidRPr="00335BE7">
              <w:t>15.7%</w:t>
            </w:r>
          </w:p>
        </w:tc>
        <w:tc>
          <w:tcPr>
            <w:tcW w:w="2386" w:type="dxa"/>
            <w:tcBorders>
              <w:top w:val="nil"/>
              <w:left w:val="single" w:sz="4" w:space="0" w:color="FFFFFF"/>
              <w:bottom w:val="single" w:sz="4" w:space="0" w:color="FFFFFF"/>
              <w:right w:val="nil"/>
            </w:tcBorders>
            <w:shd w:val="clear" w:color="000000" w:fill="F2F2F2"/>
            <w:vAlign w:val="center"/>
            <w:hideMark/>
          </w:tcPr>
          <w:p w14:paraId="4EC1A0CF" w14:textId="77777777" w:rsidR="00335BE7" w:rsidRPr="00335BE7" w:rsidRDefault="00335BE7" w:rsidP="00831EE4">
            <w:pPr>
              <w:pStyle w:val="Tabletext"/>
              <w:jc w:val="center"/>
            </w:pPr>
            <w:r w:rsidRPr="00335BE7">
              <w:t>-0.3</w:t>
            </w:r>
          </w:p>
        </w:tc>
        <w:tc>
          <w:tcPr>
            <w:tcW w:w="1985" w:type="dxa"/>
            <w:tcBorders>
              <w:top w:val="nil"/>
              <w:left w:val="nil"/>
              <w:bottom w:val="single" w:sz="4" w:space="0" w:color="FFFFFF"/>
              <w:right w:val="nil"/>
            </w:tcBorders>
            <w:shd w:val="clear" w:color="000000" w:fill="F2F2F2"/>
            <w:vAlign w:val="center"/>
            <w:hideMark/>
          </w:tcPr>
          <w:p w14:paraId="75430554" w14:textId="77777777" w:rsidR="00335BE7" w:rsidRPr="00335BE7" w:rsidRDefault="00335BE7" w:rsidP="00831EE4">
            <w:pPr>
              <w:pStyle w:val="Tabletext"/>
              <w:jc w:val="center"/>
            </w:pPr>
            <w:r w:rsidRPr="00335BE7">
              <w:t>-1.4</w:t>
            </w:r>
          </w:p>
        </w:tc>
      </w:tr>
      <w:tr w:rsidR="00335BE7" w:rsidRPr="00335BE7" w14:paraId="76D8CBEE" w14:textId="77777777" w:rsidTr="004B5A07">
        <w:trPr>
          <w:trHeight w:val="227"/>
          <w:jc w:val="center"/>
        </w:trPr>
        <w:tc>
          <w:tcPr>
            <w:tcW w:w="3363" w:type="dxa"/>
            <w:tcBorders>
              <w:top w:val="nil"/>
              <w:left w:val="nil"/>
              <w:bottom w:val="single" w:sz="4" w:space="0" w:color="FFFFFF"/>
              <w:right w:val="nil"/>
            </w:tcBorders>
            <w:shd w:val="clear" w:color="000000" w:fill="D9D9D9"/>
            <w:vAlign w:val="center"/>
            <w:hideMark/>
          </w:tcPr>
          <w:p w14:paraId="0749ECB2" w14:textId="77777777" w:rsidR="00335BE7" w:rsidRPr="00335BE7" w:rsidRDefault="00335BE7" w:rsidP="00831EE4">
            <w:pPr>
              <w:pStyle w:val="Tabletext"/>
            </w:pPr>
            <w:r w:rsidRPr="00335BE7">
              <w:t>50-64</w:t>
            </w:r>
          </w:p>
        </w:tc>
        <w:tc>
          <w:tcPr>
            <w:tcW w:w="1197" w:type="dxa"/>
            <w:tcBorders>
              <w:top w:val="nil"/>
              <w:left w:val="nil"/>
              <w:bottom w:val="single" w:sz="4" w:space="0" w:color="FFFFFF"/>
              <w:right w:val="single" w:sz="4" w:space="0" w:color="FFFFFF"/>
            </w:tcBorders>
            <w:shd w:val="clear" w:color="000000" w:fill="D9D9D9"/>
            <w:vAlign w:val="center"/>
            <w:hideMark/>
          </w:tcPr>
          <w:p w14:paraId="3A0A1792" w14:textId="77777777" w:rsidR="00335BE7" w:rsidRPr="00335BE7" w:rsidRDefault="00335BE7" w:rsidP="00831EE4">
            <w:pPr>
              <w:pStyle w:val="Tabletext"/>
              <w:jc w:val="center"/>
            </w:pPr>
            <w:r w:rsidRPr="00335BE7">
              <w:t>16.3%</w:t>
            </w:r>
          </w:p>
        </w:tc>
        <w:tc>
          <w:tcPr>
            <w:tcW w:w="2386" w:type="dxa"/>
            <w:tcBorders>
              <w:top w:val="nil"/>
              <w:left w:val="single" w:sz="4" w:space="0" w:color="FFFFFF"/>
              <w:bottom w:val="single" w:sz="4" w:space="0" w:color="FFFFFF"/>
              <w:right w:val="nil"/>
            </w:tcBorders>
            <w:shd w:val="clear" w:color="000000" w:fill="D9D9D9"/>
            <w:vAlign w:val="center"/>
            <w:hideMark/>
          </w:tcPr>
          <w:p w14:paraId="30370AA4" w14:textId="77777777" w:rsidR="00335BE7" w:rsidRPr="00335BE7" w:rsidRDefault="00335BE7" w:rsidP="00831EE4">
            <w:pPr>
              <w:pStyle w:val="Tabletext"/>
              <w:jc w:val="center"/>
            </w:pPr>
            <w:r w:rsidRPr="00335BE7">
              <w:t>-0.1</w:t>
            </w:r>
          </w:p>
        </w:tc>
        <w:tc>
          <w:tcPr>
            <w:tcW w:w="1985" w:type="dxa"/>
            <w:tcBorders>
              <w:top w:val="nil"/>
              <w:left w:val="nil"/>
              <w:bottom w:val="single" w:sz="4" w:space="0" w:color="FFFFFF"/>
              <w:right w:val="nil"/>
            </w:tcBorders>
            <w:shd w:val="clear" w:color="000000" w:fill="D9D9D9"/>
            <w:vAlign w:val="center"/>
            <w:hideMark/>
          </w:tcPr>
          <w:p w14:paraId="4A9FFDCF" w14:textId="77777777" w:rsidR="00335BE7" w:rsidRPr="00335BE7" w:rsidRDefault="00335BE7" w:rsidP="00831EE4">
            <w:pPr>
              <w:pStyle w:val="Tabletext"/>
              <w:jc w:val="center"/>
            </w:pPr>
            <w:r w:rsidRPr="00335BE7">
              <w:t>-0.8</w:t>
            </w:r>
          </w:p>
        </w:tc>
      </w:tr>
      <w:tr w:rsidR="00335BE7" w:rsidRPr="00335BE7" w14:paraId="41651FB2"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76147294" w14:textId="77777777" w:rsidR="00335BE7" w:rsidRPr="00335BE7" w:rsidRDefault="00335BE7" w:rsidP="00831EE4">
            <w:pPr>
              <w:pStyle w:val="Tabletext"/>
            </w:pPr>
            <w:r w:rsidRPr="00335BE7">
              <w:t>65-79</w:t>
            </w:r>
          </w:p>
        </w:tc>
        <w:tc>
          <w:tcPr>
            <w:tcW w:w="1197" w:type="dxa"/>
            <w:tcBorders>
              <w:top w:val="nil"/>
              <w:left w:val="nil"/>
              <w:bottom w:val="single" w:sz="4" w:space="0" w:color="FFFFFF"/>
              <w:right w:val="single" w:sz="4" w:space="0" w:color="FFFFFF"/>
            </w:tcBorders>
            <w:shd w:val="clear" w:color="000000" w:fill="F2F2F2"/>
            <w:vAlign w:val="center"/>
            <w:hideMark/>
          </w:tcPr>
          <w:p w14:paraId="097C8132" w14:textId="77777777" w:rsidR="00335BE7" w:rsidRPr="00335BE7" w:rsidRDefault="00335BE7" w:rsidP="00831EE4">
            <w:pPr>
              <w:pStyle w:val="Tabletext"/>
              <w:jc w:val="center"/>
            </w:pPr>
            <w:r w:rsidRPr="00335BE7">
              <w:t>14.8%</w:t>
            </w:r>
          </w:p>
        </w:tc>
        <w:tc>
          <w:tcPr>
            <w:tcW w:w="2386" w:type="dxa"/>
            <w:tcBorders>
              <w:top w:val="nil"/>
              <w:left w:val="single" w:sz="4" w:space="0" w:color="FFFFFF"/>
              <w:bottom w:val="single" w:sz="4" w:space="0" w:color="FFFFFF"/>
              <w:right w:val="nil"/>
            </w:tcBorders>
            <w:shd w:val="clear" w:color="000000" w:fill="F2F2F2"/>
            <w:vAlign w:val="center"/>
            <w:hideMark/>
          </w:tcPr>
          <w:p w14:paraId="0874FE29" w14:textId="77777777" w:rsidR="00335BE7" w:rsidRPr="00335BE7" w:rsidRDefault="00335BE7" w:rsidP="00831EE4">
            <w:pPr>
              <w:pStyle w:val="Tabletext"/>
              <w:jc w:val="center"/>
            </w:pPr>
            <w:r w:rsidRPr="00335BE7">
              <w:t>-1.5</w:t>
            </w:r>
          </w:p>
        </w:tc>
        <w:tc>
          <w:tcPr>
            <w:tcW w:w="1985" w:type="dxa"/>
            <w:tcBorders>
              <w:top w:val="nil"/>
              <w:left w:val="nil"/>
              <w:bottom w:val="single" w:sz="4" w:space="0" w:color="FFFFFF"/>
              <w:right w:val="nil"/>
            </w:tcBorders>
            <w:shd w:val="clear" w:color="000000" w:fill="F2F2F2"/>
            <w:vAlign w:val="center"/>
            <w:hideMark/>
          </w:tcPr>
          <w:p w14:paraId="0B4717B5" w14:textId="77777777" w:rsidR="00335BE7" w:rsidRPr="00335BE7" w:rsidRDefault="00335BE7" w:rsidP="00831EE4">
            <w:pPr>
              <w:pStyle w:val="Tabletext"/>
              <w:jc w:val="center"/>
            </w:pPr>
            <w:r w:rsidRPr="00335BE7">
              <w:t>-2.2</w:t>
            </w:r>
          </w:p>
        </w:tc>
      </w:tr>
      <w:tr w:rsidR="00335BE7" w:rsidRPr="00335BE7" w14:paraId="3F9C2185" w14:textId="77777777" w:rsidTr="004B5A07">
        <w:trPr>
          <w:trHeight w:val="227"/>
          <w:jc w:val="center"/>
        </w:trPr>
        <w:tc>
          <w:tcPr>
            <w:tcW w:w="3363" w:type="dxa"/>
            <w:tcBorders>
              <w:top w:val="nil"/>
              <w:left w:val="nil"/>
              <w:bottom w:val="single" w:sz="4" w:space="0" w:color="FFFFFF"/>
              <w:right w:val="nil"/>
            </w:tcBorders>
            <w:shd w:val="clear" w:color="000000" w:fill="D9D9D9"/>
            <w:vAlign w:val="center"/>
            <w:hideMark/>
          </w:tcPr>
          <w:p w14:paraId="5F7DB831" w14:textId="77777777" w:rsidR="00335BE7" w:rsidRPr="00335BE7" w:rsidRDefault="00335BE7" w:rsidP="00831EE4">
            <w:pPr>
              <w:pStyle w:val="Tabletext"/>
            </w:pPr>
            <w:r w:rsidRPr="00335BE7">
              <w:t>80+</w:t>
            </w:r>
          </w:p>
        </w:tc>
        <w:tc>
          <w:tcPr>
            <w:tcW w:w="1197" w:type="dxa"/>
            <w:tcBorders>
              <w:top w:val="nil"/>
              <w:left w:val="nil"/>
              <w:bottom w:val="single" w:sz="4" w:space="0" w:color="FFFFFF"/>
              <w:right w:val="single" w:sz="4" w:space="0" w:color="FFFFFF"/>
            </w:tcBorders>
            <w:shd w:val="clear" w:color="000000" w:fill="D9D9D9"/>
            <w:vAlign w:val="center"/>
            <w:hideMark/>
          </w:tcPr>
          <w:p w14:paraId="75102968" w14:textId="77777777" w:rsidR="00335BE7" w:rsidRPr="00335BE7" w:rsidRDefault="00335BE7" w:rsidP="00831EE4">
            <w:pPr>
              <w:pStyle w:val="Tabletext"/>
              <w:jc w:val="center"/>
            </w:pPr>
            <w:r w:rsidRPr="00335BE7">
              <w:t>19%</w:t>
            </w:r>
          </w:p>
        </w:tc>
        <w:tc>
          <w:tcPr>
            <w:tcW w:w="2386" w:type="dxa"/>
            <w:tcBorders>
              <w:top w:val="nil"/>
              <w:left w:val="single" w:sz="4" w:space="0" w:color="FFFFFF"/>
              <w:bottom w:val="single" w:sz="4" w:space="0" w:color="FFFFFF"/>
              <w:right w:val="nil"/>
            </w:tcBorders>
            <w:shd w:val="clear" w:color="000000" w:fill="D9D9D9"/>
            <w:vAlign w:val="center"/>
            <w:hideMark/>
          </w:tcPr>
          <w:p w14:paraId="0811736B" w14:textId="77777777" w:rsidR="00335BE7" w:rsidRPr="00335BE7" w:rsidRDefault="00335BE7" w:rsidP="00831EE4">
            <w:pPr>
              <w:pStyle w:val="Tabletext"/>
              <w:jc w:val="center"/>
            </w:pPr>
            <w:r w:rsidRPr="00335BE7">
              <w:t>-2.2</w:t>
            </w:r>
          </w:p>
        </w:tc>
        <w:tc>
          <w:tcPr>
            <w:tcW w:w="1985" w:type="dxa"/>
            <w:tcBorders>
              <w:top w:val="nil"/>
              <w:left w:val="nil"/>
              <w:bottom w:val="single" w:sz="4" w:space="0" w:color="FFFFFF"/>
              <w:right w:val="nil"/>
            </w:tcBorders>
            <w:shd w:val="clear" w:color="000000" w:fill="D9D9D9"/>
            <w:vAlign w:val="center"/>
            <w:hideMark/>
          </w:tcPr>
          <w:p w14:paraId="2085946F" w14:textId="77777777" w:rsidR="00335BE7" w:rsidRPr="00335BE7" w:rsidRDefault="00335BE7" w:rsidP="00831EE4">
            <w:pPr>
              <w:pStyle w:val="Tabletext"/>
              <w:jc w:val="center"/>
            </w:pPr>
            <w:r w:rsidRPr="00335BE7">
              <w:t>-4.0</w:t>
            </w:r>
          </w:p>
        </w:tc>
      </w:tr>
      <w:tr w:rsidR="00335BE7" w:rsidRPr="00335BE7" w14:paraId="25B8C292" w14:textId="77777777" w:rsidTr="004B5A07">
        <w:trPr>
          <w:trHeight w:val="227"/>
          <w:jc w:val="center"/>
        </w:trPr>
        <w:tc>
          <w:tcPr>
            <w:tcW w:w="8931" w:type="dxa"/>
            <w:gridSpan w:val="4"/>
            <w:tcBorders>
              <w:top w:val="single" w:sz="4" w:space="0" w:color="FFFFFF"/>
              <w:left w:val="nil"/>
              <w:bottom w:val="nil"/>
              <w:right w:val="single" w:sz="4" w:space="0" w:color="FFFFFF"/>
            </w:tcBorders>
            <w:shd w:val="clear" w:color="000000" w:fill="BFBFBF"/>
            <w:vAlign w:val="center"/>
            <w:hideMark/>
          </w:tcPr>
          <w:p w14:paraId="63BEB1D2" w14:textId="77777777" w:rsidR="00335BE7" w:rsidRPr="00831EE4" w:rsidRDefault="00335BE7" w:rsidP="00831EE4">
            <w:pPr>
              <w:pStyle w:val="Tabletext"/>
              <w:rPr>
                <w:rFonts w:ascii="Calibri Light" w:hAnsi="Calibri Light" w:cs="Calibri Light"/>
                <w:b/>
              </w:rPr>
            </w:pPr>
            <w:r w:rsidRPr="00831EE4">
              <w:rPr>
                <w:rFonts w:ascii="Calibri Light" w:hAnsi="Calibri Light" w:cs="Calibri Light"/>
                <w:b/>
              </w:rPr>
              <w:t>By household type</w:t>
            </w:r>
          </w:p>
        </w:tc>
      </w:tr>
      <w:tr w:rsidR="00335BE7" w:rsidRPr="00335BE7" w14:paraId="2C83214E"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3C0D297D" w14:textId="77777777" w:rsidR="00335BE7" w:rsidRPr="00335BE7" w:rsidRDefault="00335BE7" w:rsidP="00831EE4">
            <w:pPr>
              <w:pStyle w:val="Tabletext"/>
            </w:pPr>
            <w:r w:rsidRPr="00335BE7">
              <w:t>One adult &lt;65, no children</w:t>
            </w:r>
          </w:p>
        </w:tc>
        <w:tc>
          <w:tcPr>
            <w:tcW w:w="1197" w:type="dxa"/>
            <w:tcBorders>
              <w:top w:val="nil"/>
              <w:left w:val="nil"/>
              <w:bottom w:val="single" w:sz="4" w:space="0" w:color="FFFFFF"/>
              <w:right w:val="single" w:sz="4" w:space="0" w:color="FFFFFF"/>
            </w:tcBorders>
            <w:shd w:val="clear" w:color="000000" w:fill="F2F2F2"/>
            <w:vAlign w:val="center"/>
            <w:hideMark/>
          </w:tcPr>
          <w:p w14:paraId="5FFD8111" w14:textId="77777777" w:rsidR="00335BE7" w:rsidRPr="00335BE7" w:rsidRDefault="00335BE7" w:rsidP="00831EE4">
            <w:pPr>
              <w:pStyle w:val="Tabletext"/>
              <w:jc w:val="center"/>
            </w:pPr>
            <w:r w:rsidRPr="00335BE7">
              <w:t>19.4%</w:t>
            </w:r>
          </w:p>
        </w:tc>
        <w:tc>
          <w:tcPr>
            <w:tcW w:w="2386" w:type="dxa"/>
            <w:tcBorders>
              <w:top w:val="nil"/>
              <w:left w:val="single" w:sz="4" w:space="0" w:color="FFFFFF"/>
              <w:bottom w:val="single" w:sz="4" w:space="0" w:color="FFFFFF"/>
              <w:right w:val="nil"/>
            </w:tcBorders>
            <w:shd w:val="clear" w:color="000000" w:fill="F2F2F2"/>
            <w:vAlign w:val="center"/>
            <w:hideMark/>
          </w:tcPr>
          <w:p w14:paraId="1B4D4F28" w14:textId="77777777" w:rsidR="00335BE7" w:rsidRPr="00335BE7" w:rsidRDefault="00335BE7" w:rsidP="00831EE4">
            <w:pPr>
              <w:pStyle w:val="Tabletext"/>
              <w:jc w:val="center"/>
            </w:pPr>
            <w:r w:rsidRPr="00335BE7">
              <w:t>-0.7</w:t>
            </w:r>
          </w:p>
        </w:tc>
        <w:tc>
          <w:tcPr>
            <w:tcW w:w="1985" w:type="dxa"/>
            <w:tcBorders>
              <w:top w:val="nil"/>
              <w:left w:val="nil"/>
              <w:bottom w:val="single" w:sz="4" w:space="0" w:color="FFFFFF"/>
              <w:right w:val="nil"/>
            </w:tcBorders>
            <w:shd w:val="clear" w:color="000000" w:fill="F2F2F2"/>
            <w:vAlign w:val="center"/>
            <w:hideMark/>
          </w:tcPr>
          <w:p w14:paraId="7FE26D2C" w14:textId="77777777" w:rsidR="00335BE7" w:rsidRPr="00335BE7" w:rsidRDefault="00335BE7" w:rsidP="00831EE4">
            <w:pPr>
              <w:pStyle w:val="Tabletext"/>
              <w:jc w:val="center"/>
            </w:pPr>
            <w:r w:rsidRPr="00335BE7">
              <w:t>-1.2</w:t>
            </w:r>
          </w:p>
        </w:tc>
      </w:tr>
      <w:tr w:rsidR="00335BE7" w:rsidRPr="00335BE7" w14:paraId="1B840D85" w14:textId="77777777" w:rsidTr="004B5A07">
        <w:trPr>
          <w:trHeight w:val="227"/>
          <w:jc w:val="center"/>
        </w:trPr>
        <w:tc>
          <w:tcPr>
            <w:tcW w:w="3363" w:type="dxa"/>
            <w:tcBorders>
              <w:top w:val="nil"/>
              <w:left w:val="nil"/>
              <w:bottom w:val="single" w:sz="4" w:space="0" w:color="FFFFFF"/>
              <w:right w:val="nil"/>
            </w:tcBorders>
            <w:shd w:val="clear" w:color="000000" w:fill="D9D9D9"/>
            <w:vAlign w:val="center"/>
            <w:hideMark/>
          </w:tcPr>
          <w:p w14:paraId="3DA16B9A" w14:textId="77777777" w:rsidR="00335BE7" w:rsidRPr="00335BE7" w:rsidRDefault="00335BE7" w:rsidP="00831EE4">
            <w:pPr>
              <w:pStyle w:val="Tabletext"/>
            </w:pPr>
            <w:r w:rsidRPr="00335BE7">
              <w:t>One adult ≥65, no children</w:t>
            </w:r>
          </w:p>
        </w:tc>
        <w:tc>
          <w:tcPr>
            <w:tcW w:w="1197" w:type="dxa"/>
            <w:tcBorders>
              <w:top w:val="nil"/>
              <w:left w:val="nil"/>
              <w:bottom w:val="single" w:sz="4" w:space="0" w:color="FFFFFF"/>
              <w:right w:val="single" w:sz="4" w:space="0" w:color="FFFFFF"/>
            </w:tcBorders>
            <w:shd w:val="clear" w:color="000000" w:fill="D9D9D9"/>
            <w:vAlign w:val="center"/>
            <w:hideMark/>
          </w:tcPr>
          <w:p w14:paraId="74A9CA9C" w14:textId="77777777" w:rsidR="00335BE7" w:rsidRPr="00335BE7" w:rsidRDefault="00335BE7" w:rsidP="00831EE4">
            <w:pPr>
              <w:pStyle w:val="Tabletext"/>
              <w:jc w:val="center"/>
            </w:pPr>
            <w:r w:rsidRPr="00335BE7">
              <w:t>24.8%</w:t>
            </w:r>
          </w:p>
        </w:tc>
        <w:tc>
          <w:tcPr>
            <w:tcW w:w="2386" w:type="dxa"/>
            <w:tcBorders>
              <w:top w:val="nil"/>
              <w:left w:val="single" w:sz="4" w:space="0" w:color="FFFFFF"/>
              <w:bottom w:val="single" w:sz="4" w:space="0" w:color="FFFFFF"/>
              <w:right w:val="nil"/>
            </w:tcBorders>
            <w:shd w:val="clear" w:color="000000" w:fill="D9D9D9"/>
            <w:vAlign w:val="center"/>
            <w:hideMark/>
          </w:tcPr>
          <w:p w14:paraId="30CEB071" w14:textId="77777777" w:rsidR="00335BE7" w:rsidRPr="00335BE7" w:rsidRDefault="00335BE7" w:rsidP="00831EE4">
            <w:pPr>
              <w:pStyle w:val="Tabletext"/>
              <w:jc w:val="center"/>
            </w:pPr>
            <w:r w:rsidRPr="00335BE7">
              <w:t>-3.5</w:t>
            </w:r>
          </w:p>
        </w:tc>
        <w:tc>
          <w:tcPr>
            <w:tcW w:w="1985" w:type="dxa"/>
            <w:tcBorders>
              <w:top w:val="nil"/>
              <w:left w:val="nil"/>
              <w:bottom w:val="single" w:sz="4" w:space="0" w:color="FFFFFF"/>
              <w:right w:val="nil"/>
            </w:tcBorders>
            <w:shd w:val="clear" w:color="000000" w:fill="D9D9D9"/>
            <w:vAlign w:val="center"/>
            <w:hideMark/>
          </w:tcPr>
          <w:p w14:paraId="0453BCF1" w14:textId="77777777" w:rsidR="00335BE7" w:rsidRPr="00335BE7" w:rsidRDefault="00335BE7" w:rsidP="00831EE4">
            <w:pPr>
              <w:pStyle w:val="Tabletext"/>
              <w:jc w:val="center"/>
            </w:pPr>
            <w:r w:rsidRPr="00335BE7">
              <w:t>-5.5</w:t>
            </w:r>
          </w:p>
        </w:tc>
      </w:tr>
      <w:tr w:rsidR="00335BE7" w:rsidRPr="00335BE7" w14:paraId="530DDEDA"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340761FC" w14:textId="77777777" w:rsidR="00335BE7" w:rsidRPr="00335BE7" w:rsidRDefault="00335BE7" w:rsidP="00831EE4">
            <w:pPr>
              <w:pStyle w:val="Tabletext"/>
            </w:pPr>
            <w:r w:rsidRPr="00335BE7">
              <w:t>One adult with children</w:t>
            </w:r>
          </w:p>
        </w:tc>
        <w:tc>
          <w:tcPr>
            <w:tcW w:w="1197" w:type="dxa"/>
            <w:tcBorders>
              <w:top w:val="nil"/>
              <w:left w:val="nil"/>
              <w:bottom w:val="single" w:sz="4" w:space="0" w:color="FFFFFF"/>
              <w:right w:val="single" w:sz="4" w:space="0" w:color="FFFFFF"/>
            </w:tcBorders>
            <w:shd w:val="clear" w:color="000000" w:fill="F2F2F2"/>
            <w:vAlign w:val="center"/>
            <w:hideMark/>
          </w:tcPr>
          <w:p w14:paraId="1A46E301" w14:textId="77777777" w:rsidR="00335BE7" w:rsidRPr="00335BE7" w:rsidRDefault="00335BE7" w:rsidP="00831EE4">
            <w:pPr>
              <w:pStyle w:val="Tabletext"/>
              <w:jc w:val="center"/>
            </w:pPr>
            <w:r w:rsidRPr="00335BE7">
              <w:t>32.6%</w:t>
            </w:r>
          </w:p>
        </w:tc>
        <w:tc>
          <w:tcPr>
            <w:tcW w:w="2386" w:type="dxa"/>
            <w:tcBorders>
              <w:top w:val="nil"/>
              <w:left w:val="single" w:sz="4" w:space="0" w:color="FFFFFF"/>
              <w:bottom w:val="single" w:sz="4" w:space="0" w:color="FFFFFF"/>
              <w:right w:val="nil"/>
            </w:tcBorders>
            <w:shd w:val="clear" w:color="000000" w:fill="F2F2F2"/>
            <w:vAlign w:val="center"/>
            <w:hideMark/>
          </w:tcPr>
          <w:p w14:paraId="2C7F6AC4" w14:textId="77777777" w:rsidR="00335BE7" w:rsidRPr="00335BE7" w:rsidRDefault="00335BE7" w:rsidP="00831EE4">
            <w:pPr>
              <w:pStyle w:val="Tabletext"/>
              <w:jc w:val="center"/>
            </w:pPr>
            <w:r w:rsidRPr="00335BE7">
              <w:t>-0.5</w:t>
            </w:r>
          </w:p>
        </w:tc>
        <w:tc>
          <w:tcPr>
            <w:tcW w:w="1985" w:type="dxa"/>
            <w:tcBorders>
              <w:top w:val="nil"/>
              <w:left w:val="nil"/>
              <w:bottom w:val="single" w:sz="4" w:space="0" w:color="FFFFFF"/>
              <w:right w:val="nil"/>
            </w:tcBorders>
            <w:shd w:val="clear" w:color="000000" w:fill="F2F2F2"/>
            <w:vAlign w:val="center"/>
            <w:hideMark/>
          </w:tcPr>
          <w:p w14:paraId="2F2FAD08" w14:textId="77777777" w:rsidR="00335BE7" w:rsidRPr="00335BE7" w:rsidRDefault="00335BE7" w:rsidP="00831EE4">
            <w:pPr>
              <w:pStyle w:val="Tabletext"/>
              <w:jc w:val="center"/>
            </w:pPr>
            <w:r w:rsidRPr="00335BE7">
              <w:t>-1.0</w:t>
            </w:r>
          </w:p>
        </w:tc>
      </w:tr>
      <w:tr w:rsidR="00335BE7" w:rsidRPr="00335BE7" w14:paraId="1803DF84" w14:textId="77777777" w:rsidTr="004B5A07">
        <w:trPr>
          <w:trHeight w:val="227"/>
          <w:jc w:val="center"/>
        </w:trPr>
        <w:tc>
          <w:tcPr>
            <w:tcW w:w="3363" w:type="dxa"/>
            <w:tcBorders>
              <w:top w:val="nil"/>
              <w:left w:val="nil"/>
              <w:bottom w:val="single" w:sz="4" w:space="0" w:color="FFFFFF"/>
              <w:right w:val="nil"/>
            </w:tcBorders>
            <w:shd w:val="clear" w:color="000000" w:fill="D9D9D9"/>
            <w:vAlign w:val="center"/>
            <w:hideMark/>
          </w:tcPr>
          <w:p w14:paraId="562B2DF5" w14:textId="77777777" w:rsidR="00335BE7" w:rsidRPr="00335BE7" w:rsidRDefault="00335BE7" w:rsidP="00831EE4">
            <w:pPr>
              <w:pStyle w:val="Tabletext"/>
            </w:pPr>
            <w:r w:rsidRPr="00335BE7">
              <w:t>Two adults, &lt;65, no children</w:t>
            </w:r>
          </w:p>
        </w:tc>
        <w:tc>
          <w:tcPr>
            <w:tcW w:w="1197" w:type="dxa"/>
            <w:tcBorders>
              <w:top w:val="nil"/>
              <w:left w:val="nil"/>
              <w:bottom w:val="single" w:sz="4" w:space="0" w:color="FFFFFF"/>
              <w:right w:val="single" w:sz="4" w:space="0" w:color="FFFFFF"/>
            </w:tcBorders>
            <w:shd w:val="clear" w:color="000000" w:fill="D9D9D9"/>
            <w:vAlign w:val="center"/>
            <w:hideMark/>
          </w:tcPr>
          <w:p w14:paraId="518EE4E6" w14:textId="77777777" w:rsidR="00335BE7" w:rsidRPr="00335BE7" w:rsidRDefault="00335BE7" w:rsidP="00831EE4">
            <w:pPr>
              <w:pStyle w:val="Tabletext"/>
              <w:jc w:val="center"/>
            </w:pPr>
            <w:r w:rsidRPr="00335BE7">
              <w:t>13.7%</w:t>
            </w:r>
          </w:p>
        </w:tc>
        <w:tc>
          <w:tcPr>
            <w:tcW w:w="2386" w:type="dxa"/>
            <w:tcBorders>
              <w:top w:val="nil"/>
              <w:left w:val="single" w:sz="4" w:space="0" w:color="FFFFFF"/>
              <w:bottom w:val="single" w:sz="4" w:space="0" w:color="FFFFFF"/>
              <w:right w:val="nil"/>
            </w:tcBorders>
            <w:shd w:val="clear" w:color="000000" w:fill="D9D9D9"/>
            <w:vAlign w:val="center"/>
            <w:hideMark/>
          </w:tcPr>
          <w:p w14:paraId="71F01DAC" w14:textId="77777777" w:rsidR="00335BE7" w:rsidRPr="00335BE7" w:rsidRDefault="00335BE7" w:rsidP="00831EE4">
            <w:pPr>
              <w:pStyle w:val="Tabletext"/>
              <w:jc w:val="center"/>
            </w:pPr>
            <w:r w:rsidRPr="00335BE7">
              <w:t>0.0</w:t>
            </w:r>
          </w:p>
        </w:tc>
        <w:tc>
          <w:tcPr>
            <w:tcW w:w="1985" w:type="dxa"/>
            <w:tcBorders>
              <w:top w:val="nil"/>
              <w:left w:val="nil"/>
              <w:bottom w:val="single" w:sz="4" w:space="0" w:color="FFFFFF"/>
              <w:right w:val="nil"/>
            </w:tcBorders>
            <w:shd w:val="clear" w:color="000000" w:fill="D9D9D9"/>
            <w:vAlign w:val="center"/>
            <w:hideMark/>
          </w:tcPr>
          <w:p w14:paraId="23AF52B0" w14:textId="77777777" w:rsidR="00335BE7" w:rsidRPr="00335BE7" w:rsidRDefault="00335BE7" w:rsidP="00831EE4">
            <w:pPr>
              <w:pStyle w:val="Tabletext"/>
              <w:jc w:val="center"/>
            </w:pPr>
            <w:r w:rsidRPr="00335BE7">
              <w:t>-0.6</w:t>
            </w:r>
          </w:p>
        </w:tc>
      </w:tr>
      <w:tr w:rsidR="00335BE7" w:rsidRPr="00335BE7" w14:paraId="42C51985"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67A2798E" w14:textId="77777777" w:rsidR="00335BE7" w:rsidRPr="00335BE7" w:rsidRDefault="00335BE7" w:rsidP="00831EE4">
            <w:pPr>
              <w:pStyle w:val="Tabletext"/>
            </w:pPr>
            <w:r w:rsidRPr="00335BE7">
              <w:t>Two adults, at least one ≥65, no children</w:t>
            </w:r>
          </w:p>
        </w:tc>
        <w:tc>
          <w:tcPr>
            <w:tcW w:w="1197" w:type="dxa"/>
            <w:tcBorders>
              <w:top w:val="nil"/>
              <w:left w:val="nil"/>
              <w:bottom w:val="single" w:sz="4" w:space="0" w:color="FFFFFF"/>
              <w:right w:val="single" w:sz="4" w:space="0" w:color="FFFFFF"/>
            </w:tcBorders>
            <w:shd w:val="clear" w:color="000000" w:fill="F2F2F2"/>
            <w:vAlign w:val="center"/>
            <w:hideMark/>
          </w:tcPr>
          <w:p w14:paraId="5F1E3C0A" w14:textId="77777777" w:rsidR="00335BE7" w:rsidRPr="00335BE7" w:rsidRDefault="00335BE7" w:rsidP="00831EE4">
            <w:pPr>
              <w:pStyle w:val="Tabletext"/>
              <w:jc w:val="center"/>
            </w:pPr>
            <w:r w:rsidRPr="00335BE7">
              <w:t>13.5%</w:t>
            </w:r>
          </w:p>
        </w:tc>
        <w:tc>
          <w:tcPr>
            <w:tcW w:w="2386" w:type="dxa"/>
            <w:tcBorders>
              <w:top w:val="nil"/>
              <w:left w:val="single" w:sz="4" w:space="0" w:color="FFFFFF"/>
              <w:bottom w:val="single" w:sz="4" w:space="0" w:color="FFFFFF"/>
              <w:right w:val="nil"/>
            </w:tcBorders>
            <w:shd w:val="clear" w:color="000000" w:fill="F2F2F2"/>
            <w:vAlign w:val="center"/>
            <w:hideMark/>
          </w:tcPr>
          <w:p w14:paraId="25F2245A" w14:textId="77777777" w:rsidR="00335BE7" w:rsidRPr="00335BE7" w:rsidRDefault="00335BE7" w:rsidP="00831EE4">
            <w:pPr>
              <w:pStyle w:val="Tabletext"/>
              <w:jc w:val="center"/>
            </w:pPr>
            <w:r w:rsidRPr="00335BE7">
              <w:t>-1.4</w:t>
            </w:r>
          </w:p>
        </w:tc>
        <w:tc>
          <w:tcPr>
            <w:tcW w:w="1985" w:type="dxa"/>
            <w:tcBorders>
              <w:top w:val="nil"/>
              <w:left w:val="nil"/>
              <w:bottom w:val="single" w:sz="4" w:space="0" w:color="FFFFFF"/>
              <w:right w:val="nil"/>
            </w:tcBorders>
            <w:shd w:val="clear" w:color="000000" w:fill="F2F2F2"/>
            <w:vAlign w:val="center"/>
            <w:hideMark/>
          </w:tcPr>
          <w:p w14:paraId="55694691" w14:textId="77777777" w:rsidR="00335BE7" w:rsidRPr="00335BE7" w:rsidRDefault="00335BE7" w:rsidP="00831EE4">
            <w:pPr>
              <w:pStyle w:val="Tabletext"/>
              <w:jc w:val="center"/>
            </w:pPr>
            <w:r w:rsidRPr="00335BE7">
              <w:t>-2.1</w:t>
            </w:r>
          </w:p>
        </w:tc>
      </w:tr>
      <w:tr w:rsidR="00335BE7" w:rsidRPr="00335BE7" w14:paraId="67F2757C" w14:textId="77777777" w:rsidTr="004B5A07">
        <w:trPr>
          <w:trHeight w:val="227"/>
          <w:jc w:val="center"/>
        </w:trPr>
        <w:tc>
          <w:tcPr>
            <w:tcW w:w="3363" w:type="dxa"/>
            <w:tcBorders>
              <w:top w:val="nil"/>
              <w:left w:val="nil"/>
              <w:bottom w:val="single" w:sz="4" w:space="0" w:color="FFFFFF"/>
              <w:right w:val="nil"/>
            </w:tcBorders>
            <w:shd w:val="clear" w:color="000000" w:fill="D9D9D9"/>
            <w:vAlign w:val="center"/>
            <w:hideMark/>
          </w:tcPr>
          <w:p w14:paraId="1E70CBED" w14:textId="77777777" w:rsidR="00335BE7" w:rsidRPr="00335BE7" w:rsidRDefault="00335BE7" w:rsidP="00831EE4">
            <w:pPr>
              <w:pStyle w:val="Tabletext"/>
            </w:pPr>
            <w:r w:rsidRPr="00335BE7">
              <w:t>Two adults with one child</w:t>
            </w:r>
          </w:p>
        </w:tc>
        <w:tc>
          <w:tcPr>
            <w:tcW w:w="1197" w:type="dxa"/>
            <w:tcBorders>
              <w:top w:val="nil"/>
              <w:left w:val="nil"/>
              <w:bottom w:val="single" w:sz="4" w:space="0" w:color="FFFFFF"/>
              <w:right w:val="single" w:sz="4" w:space="0" w:color="FFFFFF"/>
            </w:tcBorders>
            <w:shd w:val="clear" w:color="000000" w:fill="D9D9D9"/>
            <w:vAlign w:val="center"/>
            <w:hideMark/>
          </w:tcPr>
          <w:p w14:paraId="684BF6F2" w14:textId="77777777" w:rsidR="00335BE7" w:rsidRPr="00335BE7" w:rsidRDefault="00335BE7" w:rsidP="00831EE4">
            <w:pPr>
              <w:pStyle w:val="Tabletext"/>
              <w:jc w:val="center"/>
            </w:pPr>
            <w:r w:rsidRPr="00335BE7">
              <w:t>13.9%</w:t>
            </w:r>
          </w:p>
        </w:tc>
        <w:tc>
          <w:tcPr>
            <w:tcW w:w="2386" w:type="dxa"/>
            <w:tcBorders>
              <w:top w:val="nil"/>
              <w:left w:val="single" w:sz="4" w:space="0" w:color="FFFFFF"/>
              <w:bottom w:val="single" w:sz="4" w:space="0" w:color="FFFFFF"/>
              <w:right w:val="nil"/>
            </w:tcBorders>
            <w:shd w:val="clear" w:color="000000" w:fill="D9D9D9"/>
            <w:vAlign w:val="center"/>
            <w:hideMark/>
          </w:tcPr>
          <w:p w14:paraId="454D966D" w14:textId="77777777" w:rsidR="00335BE7" w:rsidRPr="00335BE7" w:rsidRDefault="00335BE7" w:rsidP="00831EE4">
            <w:pPr>
              <w:pStyle w:val="Tabletext"/>
              <w:jc w:val="center"/>
            </w:pPr>
            <w:r w:rsidRPr="00335BE7">
              <w:t>-0.2</w:t>
            </w:r>
          </w:p>
        </w:tc>
        <w:tc>
          <w:tcPr>
            <w:tcW w:w="1985" w:type="dxa"/>
            <w:tcBorders>
              <w:top w:val="nil"/>
              <w:left w:val="nil"/>
              <w:bottom w:val="single" w:sz="4" w:space="0" w:color="FFFFFF"/>
              <w:right w:val="nil"/>
            </w:tcBorders>
            <w:shd w:val="clear" w:color="000000" w:fill="D9D9D9"/>
            <w:vAlign w:val="center"/>
            <w:hideMark/>
          </w:tcPr>
          <w:p w14:paraId="4C90BEBF" w14:textId="77777777" w:rsidR="00335BE7" w:rsidRPr="00335BE7" w:rsidRDefault="00335BE7" w:rsidP="00831EE4">
            <w:pPr>
              <w:pStyle w:val="Tabletext"/>
              <w:jc w:val="center"/>
            </w:pPr>
            <w:r w:rsidRPr="00335BE7">
              <w:t>-1.6</w:t>
            </w:r>
          </w:p>
        </w:tc>
      </w:tr>
      <w:tr w:rsidR="00335BE7" w:rsidRPr="00335BE7" w14:paraId="1DC85BDD"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5B91F68E" w14:textId="77777777" w:rsidR="00335BE7" w:rsidRPr="00335BE7" w:rsidRDefault="00335BE7" w:rsidP="00831EE4">
            <w:pPr>
              <w:pStyle w:val="Tabletext"/>
            </w:pPr>
            <w:r w:rsidRPr="00335BE7">
              <w:t>Two adults with two children</w:t>
            </w:r>
          </w:p>
        </w:tc>
        <w:tc>
          <w:tcPr>
            <w:tcW w:w="1197" w:type="dxa"/>
            <w:tcBorders>
              <w:top w:val="nil"/>
              <w:left w:val="nil"/>
              <w:bottom w:val="single" w:sz="4" w:space="0" w:color="FFFFFF"/>
              <w:right w:val="single" w:sz="4" w:space="0" w:color="FFFFFF"/>
            </w:tcBorders>
            <w:shd w:val="clear" w:color="000000" w:fill="F2F2F2"/>
            <w:vAlign w:val="center"/>
            <w:hideMark/>
          </w:tcPr>
          <w:p w14:paraId="09AC7DA1" w14:textId="77777777" w:rsidR="00335BE7" w:rsidRPr="00335BE7" w:rsidRDefault="00335BE7" w:rsidP="00831EE4">
            <w:pPr>
              <w:pStyle w:val="Tabletext"/>
              <w:jc w:val="center"/>
            </w:pPr>
            <w:r w:rsidRPr="00335BE7">
              <w:t>15%</w:t>
            </w:r>
          </w:p>
        </w:tc>
        <w:tc>
          <w:tcPr>
            <w:tcW w:w="2386" w:type="dxa"/>
            <w:tcBorders>
              <w:top w:val="nil"/>
              <w:left w:val="single" w:sz="4" w:space="0" w:color="FFFFFF"/>
              <w:bottom w:val="single" w:sz="4" w:space="0" w:color="FFFFFF"/>
              <w:right w:val="nil"/>
            </w:tcBorders>
            <w:shd w:val="clear" w:color="000000" w:fill="F2F2F2"/>
            <w:vAlign w:val="center"/>
            <w:hideMark/>
          </w:tcPr>
          <w:p w14:paraId="395C4D60" w14:textId="77777777" w:rsidR="00335BE7" w:rsidRPr="00335BE7" w:rsidRDefault="00335BE7" w:rsidP="00831EE4">
            <w:pPr>
              <w:pStyle w:val="Tabletext"/>
              <w:jc w:val="center"/>
            </w:pPr>
            <w:r w:rsidRPr="00335BE7">
              <w:t>-0.4</w:t>
            </w:r>
          </w:p>
        </w:tc>
        <w:tc>
          <w:tcPr>
            <w:tcW w:w="1985" w:type="dxa"/>
            <w:tcBorders>
              <w:top w:val="nil"/>
              <w:left w:val="nil"/>
              <w:bottom w:val="single" w:sz="4" w:space="0" w:color="FFFFFF"/>
              <w:right w:val="nil"/>
            </w:tcBorders>
            <w:shd w:val="clear" w:color="000000" w:fill="F2F2F2"/>
            <w:vAlign w:val="center"/>
            <w:hideMark/>
          </w:tcPr>
          <w:p w14:paraId="25112515" w14:textId="77777777" w:rsidR="00335BE7" w:rsidRPr="00335BE7" w:rsidRDefault="00335BE7" w:rsidP="00831EE4">
            <w:pPr>
              <w:pStyle w:val="Tabletext"/>
              <w:jc w:val="center"/>
            </w:pPr>
            <w:r w:rsidRPr="00335BE7">
              <w:t>-1.5</w:t>
            </w:r>
          </w:p>
        </w:tc>
      </w:tr>
      <w:tr w:rsidR="00335BE7" w:rsidRPr="00335BE7" w14:paraId="463D34B3" w14:textId="77777777" w:rsidTr="004B5A07">
        <w:trPr>
          <w:trHeight w:val="227"/>
          <w:jc w:val="center"/>
        </w:trPr>
        <w:tc>
          <w:tcPr>
            <w:tcW w:w="3363" w:type="dxa"/>
            <w:tcBorders>
              <w:top w:val="nil"/>
              <w:left w:val="nil"/>
              <w:bottom w:val="single" w:sz="4" w:space="0" w:color="FFFFFF"/>
              <w:right w:val="nil"/>
            </w:tcBorders>
            <w:shd w:val="clear" w:color="000000" w:fill="D9D9D9"/>
            <w:vAlign w:val="center"/>
            <w:hideMark/>
          </w:tcPr>
          <w:p w14:paraId="2A7900D5" w14:textId="77777777" w:rsidR="00335BE7" w:rsidRPr="00335BE7" w:rsidRDefault="00335BE7" w:rsidP="00831EE4">
            <w:pPr>
              <w:pStyle w:val="Tabletext"/>
            </w:pPr>
            <w:r w:rsidRPr="00335BE7">
              <w:t>Two adults with three or more children</w:t>
            </w:r>
          </w:p>
        </w:tc>
        <w:tc>
          <w:tcPr>
            <w:tcW w:w="1197" w:type="dxa"/>
            <w:tcBorders>
              <w:top w:val="nil"/>
              <w:left w:val="nil"/>
              <w:bottom w:val="single" w:sz="4" w:space="0" w:color="FFFFFF"/>
              <w:right w:val="single" w:sz="4" w:space="0" w:color="FFFFFF"/>
            </w:tcBorders>
            <w:shd w:val="clear" w:color="000000" w:fill="D9D9D9"/>
            <w:vAlign w:val="center"/>
            <w:hideMark/>
          </w:tcPr>
          <w:p w14:paraId="7F21B328" w14:textId="77777777" w:rsidR="00335BE7" w:rsidRPr="00335BE7" w:rsidRDefault="00335BE7" w:rsidP="00831EE4">
            <w:pPr>
              <w:pStyle w:val="Tabletext"/>
              <w:jc w:val="center"/>
            </w:pPr>
            <w:r w:rsidRPr="00335BE7">
              <w:t>24.8%</w:t>
            </w:r>
          </w:p>
        </w:tc>
        <w:tc>
          <w:tcPr>
            <w:tcW w:w="2386" w:type="dxa"/>
            <w:tcBorders>
              <w:top w:val="nil"/>
              <w:left w:val="single" w:sz="4" w:space="0" w:color="FFFFFF"/>
              <w:bottom w:val="single" w:sz="4" w:space="0" w:color="FFFFFF"/>
              <w:right w:val="nil"/>
            </w:tcBorders>
            <w:shd w:val="clear" w:color="000000" w:fill="D9D9D9"/>
            <w:vAlign w:val="center"/>
            <w:hideMark/>
          </w:tcPr>
          <w:p w14:paraId="4AE3062F" w14:textId="77777777" w:rsidR="00335BE7" w:rsidRPr="00335BE7" w:rsidRDefault="00335BE7" w:rsidP="00831EE4">
            <w:pPr>
              <w:pStyle w:val="Tabletext"/>
              <w:jc w:val="center"/>
            </w:pPr>
            <w:r w:rsidRPr="00335BE7">
              <w:t>0.0</w:t>
            </w:r>
          </w:p>
        </w:tc>
        <w:tc>
          <w:tcPr>
            <w:tcW w:w="1985" w:type="dxa"/>
            <w:tcBorders>
              <w:top w:val="nil"/>
              <w:left w:val="nil"/>
              <w:bottom w:val="single" w:sz="4" w:space="0" w:color="FFFFFF"/>
              <w:right w:val="nil"/>
            </w:tcBorders>
            <w:shd w:val="clear" w:color="000000" w:fill="D9D9D9"/>
            <w:vAlign w:val="center"/>
            <w:hideMark/>
          </w:tcPr>
          <w:p w14:paraId="02710E46" w14:textId="77777777" w:rsidR="00335BE7" w:rsidRPr="00335BE7" w:rsidRDefault="00335BE7" w:rsidP="00831EE4">
            <w:pPr>
              <w:pStyle w:val="Tabletext"/>
              <w:jc w:val="center"/>
            </w:pPr>
            <w:r w:rsidRPr="00335BE7">
              <w:t>-3.3</w:t>
            </w:r>
          </w:p>
        </w:tc>
      </w:tr>
      <w:tr w:rsidR="00335BE7" w:rsidRPr="00335BE7" w14:paraId="394BA5C5" w14:textId="77777777" w:rsidTr="004B5A07">
        <w:trPr>
          <w:trHeight w:val="227"/>
          <w:jc w:val="center"/>
        </w:trPr>
        <w:tc>
          <w:tcPr>
            <w:tcW w:w="3363" w:type="dxa"/>
            <w:tcBorders>
              <w:top w:val="nil"/>
              <w:left w:val="nil"/>
              <w:bottom w:val="single" w:sz="4" w:space="0" w:color="FFFFFF"/>
              <w:right w:val="nil"/>
            </w:tcBorders>
            <w:shd w:val="clear" w:color="000000" w:fill="F2F2F2"/>
            <w:vAlign w:val="center"/>
            <w:hideMark/>
          </w:tcPr>
          <w:p w14:paraId="351B8362" w14:textId="77777777" w:rsidR="00335BE7" w:rsidRPr="00335BE7" w:rsidRDefault="00335BE7" w:rsidP="00831EE4">
            <w:pPr>
              <w:pStyle w:val="Tabletext"/>
            </w:pPr>
            <w:r w:rsidRPr="00335BE7">
              <w:t>Three or more adults, no children</w:t>
            </w:r>
          </w:p>
        </w:tc>
        <w:tc>
          <w:tcPr>
            <w:tcW w:w="1197" w:type="dxa"/>
            <w:tcBorders>
              <w:top w:val="nil"/>
              <w:left w:val="nil"/>
              <w:bottom w:val="single" w:sz="4" w:space="0" w:color="FFFFFF"/>
              <w:right w:val="single" w:sz="4" w:space="0" w:color="FFFFFF"/>
            </w:tcBorders>
            <w:shd w:val="clear" w:color="000000" w:fill="F2F2F2"/>
            <w:vAlign w:val="center"/>
            <w:hideMark/>
          </w:tcPr>
          <w:p w14:paraId="7B8C1499" w14:textId="77777777" w:rsidR="00335BE7" w:rsidRPr="00335BE7" w:rsidRDefault="00335BE7" w:rsidP="00831EE4">
            <w:pPr>
              <w:pStyle w:val="Tabletext"/>
              <w:jc w:val="center"/>
            </w:pPr>
            <w:r w:rsidRPr="00335BE7">
              <w:t>14.8%</w:t>
            </w:r>
          </w:p>
        </w:tc>
        <w:tc>
          <w:tcPr>
            <w:tcW w:w="2386" w:type="dxa"/>
            <w:tcBorders>
              <w:top w:val="nil"/>
              <w:left w:val="single" w:sz="4" w:space="0" w:color="FFFFFF"/>
              <w:bottom w:val="single" w:sz="4" w:space="0" w:color="FFFFFF"/>
              <w:right w:val="nil"/>
            </w:tcBorders>
            <w:shd w:val="clear" w:color="000000" w:fill="F2F2F2"/>
            <w:vAlign w:val="center"/>
            <w:hideMark/>
          </w:tcPr>
          <w:p w14:paraId="47FF3528" w14:textId="77777777" w:rsidR="00335BE7" w:rsidRPr="00335BE7" w:rsidRDefault="00335BE7" w:rsidP="00831EE4">
            <w:pPr>
              <w:pStyle w:val="Tabletext"/>
              <w:jc w:val="center"/>
            </w:pPr>
            <w:r w:rsidRPr="00335BE7">
              <w:t>-0.1</w:t>
            </w:r>
          </w:p>
        </w:tc>
        <w:tc>
          <w:tcPr>
            <w:tcW w:w="1985" w:type="dxa"/>
            <w:tcBorders>
              <w:top w:val="nil"/>
              <w:left w:val="nil"/>
              <w:bottom w:val="single" w:sz="4" w:space="0" w:color="FFFFFF"/>
              <w:right w:val="nil"/>
            </w:tcBorders>
            <w:shd w:val="clear" w:color="000000" w:fill="F2F2F2"/>
            <w:vAlign w:val="center"/>
            <w:hideMark/>
          </w:tcPr>
          <w:p w14:paraId="24A717E0" w14:textId="77777777" w:rsidR="00335BE7" w:rsidRPr="00335BE7" w:rsidRDefault="00335BE7" w:rsidP="00831EE4">
            <w:pPr>
              <w:pStyle w:val="Tabletext"/>
              <w:jc w:val="center"/>
            </w:pPr>
            <w:r w:rsidRPr="00335BE7">
              <w:t>-1.1</w:t>
            </w:r>
          </w:p>
        </w:tc>
      </w:tr>
      <w:tr w:rsidR="00335BE7" w:rsidRPr="00335BE7" w14:paraId="497DAF6F" w14:textId="77777777" w:rsidTr="004B5A07">
        <w:trPr>
          <w:trHeight w:val="227"/>
          <w:jc w:val="center"/>
        </w:trPr>
        <w:tc>
          <w:tcPr>
            <w:tcW w:w="3363" w:type="dxa"/>
            <w:tcBorders>
              <w:top w:val="single" w:sz="4" w:space="0" w:color="FFFFFF"/>
              <w:left w:val="nil"/>
              <w:bottom w:val="single" w:sz="18" w:space="0" w:color="4F81BD" w:themeColor="accent1"/>
              <w:right w:val="nil"/>
            </w:tcBorders>
            <w:shd w:val="clear" w:color="000000" w:fill="D9D9D9"/>
            <w:vAlign w:val="center"/>
            <w:hideMark/>
          </w:tcPr>
          <w:p w14:paraId="262355A7" w14:textId="77777777" w:rsidR="00335BE7" w:rsidRPr="00335BE7" w:rsidRDefault="00335BE7" w:rsidP="00831EE4">
            <w:pPr>
              <w:pStyle w:val="Tabletext"/>
            </w:pPr>
            <w:r w:rsidRPr="00335BE7">
              <w:t>Three or more adults with children</w:t>
            </w:r>
          </w:p>
        </w:tc>
        <w:tc>
          <w:tcPr>
            <w:tcW w:w="1197" w:type="dxa"/>
            <w:tcBorders>
              <w:top w:val="single" w:sz="4" w:space="0" w:color="FFFFFF"/>
              <w:left w:val="nil"/>
              <w:bottom w:val="single" w:sz="18" w:space="0" w:color="4F81BD" w:themeColor="accent1"/>
              <w:right w:val="single" w:sz="4" w:space="0" w:color="FFFFFF"/>
            </w:tcBorders>
            <w:shd w:val="clear" w:color="000000" w:fill="D9D9D9"/>
            <w:vAlign w:val="center"/>
            <w:hideMark/>
          </w:tcPr>
          <w:p w14:paraId="3499AE67" w14:textId="77777777" w:rsidR="00335BE7" w:rsidRPr="00335BE7" w:rsidRDefault="00335BE7" w:rsidP="00831EE4">
            <w:pPr>
              <w:pStyle w:val="Tabletext"/>
              <w:jc w:val="center"/>
            </w:pPr>
            <w:r w:rsidRPr="00335BE7">
              <w:t>22.6%</w:t>
            </w:r>
          </w:p>
        </w:tc>
        <w:tc>
          <w:tcPr>
            <w:tcW w:w="2386" w:type="dxa"/>
            <w:tcBorders>
              <w:top w:val="single" w:sz="4" w:space="0" w:color="FFFFFF"/>
              <w:left w:val="single" w:sz="4" w:space="0" w:color="FFFFFF"/>
              <w:bottom w:val="single" w:sz="18" w:space="0" w:color="4F81BD" w:themeColor="accent1"/>
              <w:right w:val="nil"/>
            </w:tcBorders>
            <w:shd w:val="clear" w:color="000000" w:fill="D9D9D9"/>
            <w:vAlign w:val="center"/>
            <w:hideMark/>
          </w:tcPr>
          <w:p w14:paraId="06C46AE1" w14:textId="77777777" w:rsidR="00335BE7" w:rsidRPr="00335BE7" w:rsidRDefault="00335BE7" w:rsidP="00831EE4">
            <w:pPr>
              <w:pStyle w:val="Tabletext"/>
              <w:jc w:val="center"/>
            </w:pPr>
            <w:r w:rsidRPr="00335BE7">
              <w:t>-0.6</w:t>
            </w:r>
          </w:p>
        </w:tc>
        <w:tc>
          <w:tcPr>
            <w:tcW w:w="1985" w:type="dxa"/>
            <w:tcBorders>
              <w:top w:val="single" w:sz="4" w:space="0" w:color="FFFFFF"/>
              <w:left w:val="nil"/>
              <w:bottom w:val="single" w:sz="18" w:space="0" w:color="4F81BD" w:themeColor="accent1"/>
              <w:right w:val="nil"/>
            </w:tcBorders>
            <w:shd w:val="clear" w:color="000000" w:fill="D9D9D9"/>
            <w:vAlign w:val="center"/>
            <w:hideMark/>
          </w:tcPr>
          <w:p w14:paraId="3844FBD3" w14:textId="77777777" w:rsidR="00335BE7" w:rsidRPr="00335BE7" w:rsidRDefault="00335BE7" w:rsidP="00831EE4">
            <w:pPr>
              <w:pStyle w:val="Tabletext"/>
              <w:jc w:val="center"/>
            </w:pPr>
            <w:r w:rsidRPr="00335BE7">
              <w:t>-2.0</w:t>
            </w:r>
          </w:p>
        </w:tc>
      </w:tr>
    </w:tbl>
    <w:p w14:paraId="5794E45C" w14:textId="1857858A" w:rsidR="00CA6BC9" w:rsidRDefault="00CA6BC9" w:rsidP="003F703E">
      <w:pPr>
        <w:pStyle w:val="Source"/>
        <w:spacing w:after="120"/>
        <w:rPr>
          <w:rStyle w:val="af5"/>
          <w:rFonts w:ascii="Calibri" w:hAnsi="Calibri" w:cs="Calibri Light"/>
          <w:i/>
          <w:sz w:val="19"/>
          <w:szCs w:val="19"/>
          <w:lang w:val="en-GB"/>
        </w:rPr>
      </w:pPr>
      <w:r w:rsidRPr="00831EE4">
        <w:rPr>
          <w:rStyle w:val="af5"/>
          <w:rFonts w:cs="Calibri Light"/>
          <w:b/>
          <w:bCs/>
          <w:sz w:val="20"/>
          <w:szCs w:val="20"/>
          <w:lang w:val="en-GB"/>
        </w:rPr>
        <w:t>Notes:</w:t>
      </w:r>
      <w:r w:rsidRPr="00831EE4">
        <w:rPr>
          <w:rStyle w:val="af5"/>
          <w:rFonts w:cs="Calibri Light"/>
          <w:sz w:val="19"/>
          <w:szCs w:val="19"/>
          <w:lang w:val="en-GB"/>
        </w:rPr>
        <w:t xml:space="preserve"> </w:t>
      </w:r>
      <w:r w:rsidR="00335BE7">
        <w:rPr>
          <w:rStyle w:val="af5"/>
          <w:rFonts w:cs="Calibri Light"/>
          <w:sz w:val="19"/>
          <w:szCs w:val="19"/>
          <w:lang w:val="en-GB"/>
        </w:rPr>
        <w:br/>
      </w:r>
      <w:r w:rsidRPr="00831EE4">
        <w:rPr>
          <w:rStyle w:val="af5"/>
          <w:rFonts w:cs="Calibri Light"/>
          <w:sz w:val="19"/>
          <w:szCs w:val="19"/>
          <w:lang w:val="en-GB"/>
        </w:rPr>
        <w:t xml:space="preserve">Poverty line is anchored to the base scenario: </w:t>
      </w:r>
      <w:r w:rsidR="00DC3914">
        <w:rPr>
          <w:rStyle w:val="af5"/>
          <w:rFonts w:cs="Calibri Light"/>
          <w:sz w:val="19"/>
          <w:szCs w:val="19"/>
          <w:lang w:val="en-GB"/>
        </w:rPr>
        <w:t>€</w:t>
      </w:r>
      <w:r w:rsidRPr="00831EE4">
        <w:rPr>
          <w:rStyle w:val="af5"/>
          <w:rFonts w:cs="Calibri Light"/>
          <w:sz w:val="19"/>
          <w:szCs w:val="19"/>
          <w:lang w:val="en-GB"/>
        </w:rPr>
        <w:t>6,707.33 per year</w:t>
      </w:r>
      <w:r w:rsidR="00DC3914">
        <w:rPr>
          <w:rStyle w:val="af5"/>
          <w:rFonts w:cs="Calibri Light"/>
          <w:sz w:val="19"/>
          <w:szCs w:val="19"/>
          <w:lang w:val="en-GB"/>
        </w:rPr>
        <w:t>.</w:t>
      </w:r>
    </w:p>
    <w:p w14:paraId="0609825B" w14:textId="1C96AB7C" w:rsidR="00CA6BC9" w:rsidRDefault="00DC3914" w:rsidP="00DC3914">
      <w:pPr>
        <w:pStyle w:val="Table"/>
        <w:rPr>
          <w:b w:val="0"/>
        </w:rPr>
      </w:pPr>
      <w:bookmarkStart w:id="81" w:name="_Ref211261287"/>
      <w:bookmarkStart w:id="82" w:name="_Toc211355108"/>
      <w:r>
        <w:t xml:space="preserve">Table </w:t>
      </w:r>
      <w:r>
        <w:fldChar w:fldCharType="begin"/>
      </w:r>
      <w:r>
        <w:instrText xml:space="preserve"> SEQ Table \* ARABIC </w:instrText>
      </w:r>
      <w:r>
        <w:fldChar w:fldCharType="separate"/>
      </w:r>
      <w:r w:rsidR="00AF0E6B">
        <w:rPr>
          <w:noProof/>
        </w:rPr>
        <w:t>14</w:t>
      </w:r>
      <w:r>
        <w:fldChar w:fldCharType="end"/>
      </w:r>
      <w:bookmarkEnd w:id="81"/>
      <w:r>
        <w:t xml:space="preserve"> | </w:t>
      </w:r>
      <w:r w:rsidR="00CA6BC9">
        <w:t>FGT(1) poverty gap</w:t>
      </w:r>
      <w:r w:rsidR="00CA6BC9" w:rsidRPr="00831EE4">
        <w:rPr>
          <w:b w:val="0"/>
        </w:rPr>
        <w:t xml:space="preserve"> (anchored poverty line)</w:t>
      </w:r>
      <w:bookmarkEnd w:id="82"/>
    </w:p>
    <w:tbl>
      <w:tblPr>
        <w:tblW w:w="8931" w:type="dxa"/>
        <w:jc w:val="center"/>
        <w:tblLook w:val="04A0" w:firstRow="1" w:lastRow="0" w:firstColumn="1" w:lastColumn="0" w:noHBand="0" w:noVBand="1"/>
      </w:tblPr>
      <w:tblGrid>
        <w:gridCol w:w="2213"/>
        <w:gridCol w:w="1331"/>
        <w:gridCol w:w="3491"/>
        <w:gridCol w:w="1896"/>
      </w:tblGrid>
      <w:tr w:rsidR="00DC3914" w:rsidRPr="00C14AE5" w14:paraId="4ED9FD3B" w14:textId="77777777" w:rsidTr="004B5A07">
        <w:trPr>
          <w:trHeight w:val="161"/>
          <w:jc w:val="center"/>
        </w:trPr>
        <w:tc>
          <w:tcPr>
            <w:tcW w:w="2213" w:type="dxa"/>
            <w:tcBorders>
              <w:top w:val="nil"/>
              <w:left w:val="nil"/>
              <w:bottom w:val="nil"/>
              <w:right w:val="nil"/>
            </w:tcBorders>
            <w:shd w:val="clear" w:color="000000" w:fill="BFBFBF"/>
            <w:vAlign w:val="center"/>
            <w:hideMark/>
          </w:tcPr>
          <w:p w14:paraId="21B990B3" w14:textId="77777777" w:rsidR="00DC3914" w:rsidRPr="003F703E" w:rsidRDefault="00DC3914" w:rsidP="00831EE4">
            <w:pPr>
              <w:pStyle w:val="Tabletext"/>
              <w:rPr>
                <w:b/>
              </w:rPr>
            </w:pPr>
            <w:r w:rsidRPr="003F703E">
              <w:rPr>
                <w:b/>
              </w:rPr>
              <w:t> </w:t>
            </w:r>
          </w:p>
        </w:tc>
        <w:tc>
          <w:tcPr>
            <w:tcW w:w="1331" w:type="dxa"/>
            <w:tcBorders>
              <w:top w:val="nil"/>
              <w:left w:val="nil"/>
              <w:bottom w:val="nil"/>
              <w:right w:val="single" w:sz="4" w:space="0" w:color="FFFFFF"/>
            </w:tcBorders>
            <w:shd w:val="clear" w:color="000000" w:fill="BFBFBF"/>
            <w:vAlign w:val="center"/>
            <w:hideMark/>
          </w:tcPr>
          <w:p w14:paraId="66F0EC61" w14:textId="4033B646" w:rsidR="00DC3914" w:rsidRPr="003F703E" w:rsidRDefault="00DC3914" w:rsidP="00831EE4">
            <w:pPr>
              <w:pStyle w:val="Tabletext"/>
              <w:jc w:val="center"/>
              <w:rPr>
                <w:b/>
              </w:rPr>
            </w:pPr>
          </w:p>
        </w:tc>
        <w:tc>
          <w:tcPr>
            <w:tcW w:w="5387" w:type="dxa"/>
            <w:gridSpan w:val="2"/>
            <w:tcBorders>
              <w:top w:val="nil"/>
              <w:left w:val="single" w:sz="4" w:space="0" w:color="FFFFFF"/>
              <w:bottom w:val="nil"/>
              <w:right w:val="nil"/>
            </w:tcBorders>
            <w:shd w:val="clear" w:color="000000" w:fill="BFBFBF"/>
            <w:vAlign w:val="center"/>
            <w:hideMark/>
          </w:tcPr>
          <w:p w14:paraId="43A93EC6" w14:textId="77777777" w:rsidR="00DC3914" w:rsidRPr="003F703E" w:rsidRDefault="00DC3914" w:rsidP="00831EE4">
            <w:pPr>
              <w:pStyle w:val="Tabletext"/>
              <w:jc w:val="center"/>
              <w:rPr>
                <w:b/>
              </w:rPr>
            </w:pPr>
            <w:r w:rsidRPr="003F703E">
              <w:rPr>
                <w:b/>
              </w:rPr>
              <w:t>Absolute difference with respect to 2025_base (pp)</w:t>
            </w:r>
          </w:p>
        </w:tc>
      </w:tr>
      <w:tr w:rsidR="00DC3914" w:rsidRPr="003F703E" w14:paraId="2544D289" w14:textId="77777777" w:rsidTr="003F703E">
        <w:trPr>
          <w:trHeight w:val="227"/>
          <w:jc w:val="center"/>
        </w:trPr>
        <w:tc>
          <w:tcPr>
            <w:tcW w:w="2213" w:type="dxa"/>
            <w:tcBorders>
              <w:top w:val="nil"/>
              <w:left w:val="nil"/>
              <w:right w:val="nil"/>
            </w:tcBorders>
            <w:shd w:val="clear" w:color="000000" w:fill="BFBFBF"/>
            <w:vAlign w:val="center"/>
            <w:hideMark/>
          </w:tcPr>
          <w:p w14:paraId="1BD4AF54" w14:textId="77777777" w:rsidR="00DC3914" w:rsidRPr="003F703E" w:rsidRDefault="00DC3914" w:rsidP="00831EE4">
            <w:pPr>
              <w:pStyle w:val="Tabletext"/>
              <w:rPr>
                <w:b/>
              </w:rPr>
            </w:pPr>
            <w:r w:rsidRPr="003F703E">
              <w:rPr>
                <w:b/>
              </w:rPr>
              <w:t> </w:t>
            </w:r>
          </w:p>
        </w:tc>
        <w:tc>
          <w:tcPr>
            <w:tcW w:w="1331" w:type="dxa"/>
            <w:tcBorders>
              <w:top w:val="nil"/>
              <w:left w:val="nil"/>
              <w:right w:val="single" w:sz="4" w:space="0" w:color="FFFFFF"/>
            </w:tcBorders>
            <w:shd w:val="clear" w:color="000000" w:fill="BFBFBF"/>
            <w:vAlign w:val="center"/>
            <w:hideMark/>
          </w:tcPr>
          <w:p w14:paraId="4956FCC3" w14:textId="77777777" w:rsidR="00DC3914" w:rsidRPr="003F703E" w:rsidRDefault="00DC3914" w:rsidP="00831EE4">
            <w:pPr>
              <w:pStyle w:val="Tabletext"/>
              <w:jc w:val="center"/>
              <w:rPr>
                <w:b/>
              </w:rPr>
            </w:pPr>
            <w:r w:rsidRPr="003F703E">
              <w:rPr>
                <w:b/>
              </w:rPr>
              <w:t>2025_base</w:t>
            </w:r>
          </w:p>
        </w:tc>
        <w:tc>
          <w:tcPr>
            <w:tcW w:w="3491" w:type="dxa"/>
            <w:tcBorders>
              <w:top w:val="nil"/>
              <w:left w:val="single" w:sz="4" w:space="0" w:color="FFFFFF"/>
              <w:right w:val="nil"/>
            </w:tcBorders>
            <w:shd w:val="clear" w:color="000000" w:fill="BFBFBF"/>
            <w:vAlign w:val="center"/>
            <w:hideMark/>
          </w:tcPr>
          <w:p w14:paraId="292B971D" w14:textId="77777777" w:rsidR="00DC3914" w:rsidRPr="003F703E" w:rsidRDefault="00DC3914" w:rsidP="00831EE4">
            <w:pPr>
              <w:pStyle w:val="Tabletext"/>
              <w:jc w:val="center"/>
              <w:rPr>
                <w:b/>
              </w:rPr>
            </w:pPr>
            <w:r w:rsidRPr="003F703E">
              <w:rPr>
                <w:b/>
              </w:rPr>
              <w:t>2025_ref</w:t>
            </w:r>
          </w:p>
        </w:tc>
        <w:tc>
          <w:tcPr>
            <w:tcW w:w="1896" w:type="dxa"/>
            <w:tcBorders>
              <w:top w:val="nil"/>
              <w:left w:val="nil"/>
              <w:right w:val="nil"/>
            </w:tcBorders>
            <w:shd w:val="clear" w:color="000000" w:fill="BFBFBF"/>
            <w:vAlign w:val="center"/>
            <w:hideMark/>
          </w:tcPr>
          <w:p w14:paraId="0850F7F3" w14:textId="77777777" w:rsidR="00DC3914" w:rsidRPr="003F703E" w:rsidRDefault="00DC3914" w:rsidP="00831EE4">
            <w:pPr>
              <w:pStyle w:val="Tabletext"/>
              <w:jc w:val="center"/>
              <w:rPr>
                <w:b/>
              </w:rPr>
            </w:pPr>
            <w:r w:rsidRPr="003F703E">
              <w:rPr>
                <w:b/>
              </w:rPr>
              <w:t>2026_ref</w:t>
            </w:r>
          </w:p>
        </w:tc>
      </w:tr>
      <w:tr w:rsidR="00DC3914" w:rsidRPr="003F703E" w14:paraId="484CAA72" w14:textId="77777777" w:rsidTr="003F703E">
        <w:trPr>
          <w:trHeight w:val="227"/>
          <w:jc w:val="center"/>
        </w:trPr>
        <w:tc>
          <w:tcPr>
            <w:tcW w:w="2213" w:type="dxa"/>
            <w:tcBorders>
              <w:top w:val="nil"/>
              <w:left w:val="nil"/>
              <w:bottom w:val="single" w:sz="18" w:space="0" w:color="4F81BD" w:themeColor="accent1"/>
              <w:right w:val="nil"/>
            </w:tcBorders>
            <w:shd w:val="clear" w:color="000000" w:fill="F2F2F2"/>
            <w:vAlign w:val="center"/>
            <w:hideMark/>
          </w:tcPr>
          <w:p w14:paraId="5C4DA085" w14:textId="77777777" w:rsidR="00DC3914" w:rsidRPr="003F703E" w:rsidRDefault="00DC3914" w:rsidP="00831EE4">
            <w:pPr>
              <w:pStyle w:val="Tabletext"/>
              <w:rPr>
                <w:b/>
              </w:rPr>
            </w:pPr>
            <w:r w:rsidRPr="003F703E">
              <w:rPr>
                <w:b/>
              </w:rPr>
              <w:t>Total Population</w:t>
            </w:r>
          </w:p>
        </w:tc>
        <w:tc>
          <w:tcPr>
            <w:tcW w:w="1331" w:type="dxa"/>
            <w:tcBorders>
              <w:top w:val="nil"/>
              <w:left w:val="nil"/>
              <w:bottom w:val="single" w:sz="18" w:space="0" w:color="4F81BD" w:themeColor="accent1"/>
              <w:right w:val="single" w:sz="4" w:space="0" w:color="FFFFFF"/>
            </w:tcBorders>
            <w:shd w:val="clear" w:color="000000" w:fill="F2F2F2"/>
            <w:vAlign w:val="center"/>
            <w:hideMark/>
          </w:tcPr>
          <w:p w14:paraId="2913E47C" w14:textId="77777777" w:rsidR="00DC3914" w:rsidRPr="003F703E" w:rsidRDefault="00DC3914" w:rsidP="00831EE4">
            <w:pPr>
              <w:pStyle w:val="Tabletext"/>
              <w:jc w:val="center"/>
            </w:pPr>
            <w:r w:rsidRPr="003F703E">
              <w:t>4.70 %</w:t>
            </w:r>
          </w:p>
        </w:tc>
        <w:tc>
          <w:tcPr>
            <w:tcW w:w="3491" w:type="dxa"/>
            <w:tcBorders>
              <w:top w:val="nil"/>
              <w:left w:val="single" w:sz="4" w:space="0" w:color="FFFFFF"/>
              <w:bottom w:val="single" w:sz="18" w:space="0" w:color="4F81BD" w:themeColor="accent1"/>
              <w:right w:val="nil"/>
            </w:tcBorders>
            <w:shd w:val="clear" w:color="000000" w:fill="F2F2F2"/>
            <w:vAlign w:val="center"/>
            <w:hideMark/>
          </w:tcPr>
          <w:p w14:paraId="7B313E89" w14:textId="77777777" w:rsidR="00DC3914" w:rsidRPr="003F703E" w:rsidRDefault="00DC3914" w:rsidP="00831EE4">
            <w:pPr>
              <w:pStyle w:val="Tabletext"/>
              <w:jc w:val="center"/>
            </w:pPr>
            <w:r w:rsidRPr="003F703E">
              <w:t>-0.2</w:t>
            </w:r>
          </w:p>
        </w:tc>
        <w:tc>
          <w:tcPr>
            <w:tcW w:w="1896" w:type="dxa"/>
            <w:tcBorders>
              <w:top w:val="nil"/>
              <w:left w:val="nil"/>
              <w:bottom w:val="single" w:sz="18" w:space="0" w:color="4F81BD" w:themeColor="accent1"/>
              <w:right w:val="nil"/>
            </w:tcBorders>
            <w:shd w:val="clear" w:color="000000" w:fill="F2F2F2"/>
            <w:vAlign w:val="center"/>
            <w:hideMark/>
          </w:tcPr>
          <w:p w14:paraId="2B3917A4" w14:textId="77777777" w:rsidR="00DC3914" w:rsidRPr="003F703E" w:rsidRDefault="00DC3914" w:rsidP="00831EE4">
            <w:pPr>
              <w:pStyle w:val="Tabletext"/>
              <w:jc w:val="center"/>
            </w:pPr>
            <w:r w:rsidRPr="003F703E">
              <w:t>-0.4</w:t>
            </w:r>
          </w:p>
        </w:tc>
      </w:tr>
    </w:tbl>
    <w:p w14:paraId="72546A2F" w14:textId="77777777" w:rsidR="00DC3914" w:rsidRPr="00DC3914" w:rsidRDefault="00DC3914" w:rsidP="004B5A07">
      <w:pPr>
        <w:spacing w:after="0" w:line="240" w:lineRule="auto"/>
        <w:rPr>
          <w:lang w:val="en-US"/>
        </w:rPr>
      </w:pPr>
      <w:r w:rsidRPr="00831EE4">
        <w:rPr>
          <w:rStyle w:val="af5"/>
          <w:rFonts w:ascii="Calibri Light" w:hAnsi="Calibri Light" w:cs="Calibri Light"/>
          <w:b/>
          <w:bCs/>
          <w:i w:val="0"/>
          <w:sz w:val="20"/>
          <w:szCs w:val="20"/>
          <w:lang w:val="en-GB"/>
        </w:rPr>
        <w:t>Notes:</w:t>
      </w:r>
      <w:r w:rsidRPr="00DC3914">
        <w:rPr>
          <w:lang w:val="en-US"/>
        </w:rPr>
        <w:t xml:space="preserve"> </w:t>
      </w:r>
    </w:p>
    <w:p w14:paraId="5597DB04" w14:textId="7B124787" w:rsidR="00DC3914" w:rsidRPr="00831EE4" w:rsidRDefault="00DC3914" w:rsidP="004B5A07">
      <w:pPr>
        <w:spacing w:after="0" w:line="240" w:lineRule="auto"/>
        <w:rPr>
          <w:rStyle w:val="af5"/>
          <w:rFonts w:ascii="Calibri Light" w:hAnsi="Calibri Light" w:cs="Calibri Light"/>
          <w:i w:val="0"/>
          <w:sz w:val="19"/>
          <w:szCs w:val="19"/>
          <w:lang w:val="en-GB"/>
        </w:rPr>
      </w:pPr>
      <w:r w:rsidRPr="00831EE4">
        <w:rPr>
          <w:rStyle w:val="af5"/>
          <w:rFonts w:ascii="Calibri Light" w:hAnsi="Calibri Light" w:cs="Calibri Light"/>
          <w:i w:val="0"/>
          <w:sz w:val="19"/>
          <w:szCs w:val="19"/>
          <w:lang w:val="en-GB"/>
        </w:rPr>
        <w:t>Poverty line is anchored to the base scenario: €6,707.33 per year</w:t>
      </w:r>
    </w:p>
    <w:p w14:paraId="69C5D315" w14:textId="7A9963A9" w:rsidR="00CA6BC9" w:rsidRDefault="00DC3914" w:rsidP="008E4AB5">
      <w:pPr>
        <w:pStyle w:val="ae"/>
        <w:spacing w:before="120"/>
        <w:rPr>
          <w:b w:val="0"/>
        </w:rPr>
      </w:pPr>
      <w:bookmarkStart w:id="83" w:name="_Ref211261290"/>
      <w:bookmarkStart w:id="84" w:name="_Toc211355109"/>
      <w:r>
        <w:t xml:space="preserve">Table </w:t>
      </w:r>
      <w:r>
        <w:fldChar w:fldCharType="begin"/>
      </w:r>
      <w:r>
        <w:instrText xml:space="preserve"> SEQ Table \* ARABIC </w:instrText>
      </w:r>
      <w:r>
        <w:fldChar w:fldCharType="separate"/>
      </w:r>
      <w:r w:rsidR="00AF0E6B">
        <w:rPr>
          <w:noProof/>
        </w:rPr>
        <w:t>15</w:t>
      </w:r>
      <w:r>
        <w:fldChar w:fldCharType="end"/>
      </w:r>
      <w:bookmarkEnd w:id="83"/>
      <w:r>
        <w:t xml:space="preserve"> | </w:t>
      </w:r>
      <w:r w:rsidR="00CA6BC9">
        <w:t xml:space="preserve">FGT(0) poverty headcount index </w:t>
      </w:r>
      <w:r w:rsidR="00CA6BC9" w:rsidRPr="00831EE4">
        <w:rPr>
          <w:b w:val="0"/>
        </w:rPr>
        <w:t>(floating poverty line)</w:t>
      </w:r>
      <w:bookmarkEnd w:id="84"/>
    </w:p>
    <w:tbl>
      <w:tblPr>
        <w:tblW w:w="8891" w:type="dxa"/>
        <w:jc w:val="center"/>
        <w:tblLook w:val="04A0" w:firstRow="1" w:lastRow="0" w:firstColumn="1" w:lastColumn="0" w:noHBand="0" w:noVBand="1"/>
      </w:tblPr>
      <w:tblGrid>
        <w:gridCol w:w="2301"/>
        <w:gridCol w:w="1197"/>
        <w:gridCol w:w="3023"/>
        <w:gridCol w:w="2370"/>
      </w:tblGrid>
      <w:tr w:rsidR="0045344F" w:rsidRPr="00C14AE5" w14:paraId="4EF6392C" w14:textId="77777777" w:rsidTr="003F703E">
        <w:trPr>
          <w:trHeight w:val="227"/>
          <w:jc w:val="center"/>
        </w:trPr>
        <w:tc>
          <w:tcPr>
            <w:tcW w:w="2301" w:type="dxa"/>
            <w:tcBorders>
              <w:top w:val="nil"/>
              <w:left w:val="nil"/>
              <w:bottom w:val="nil"/>
              <w:right w:val="nil"/>
            </w:tcBorders>
            <w:shd w:val="clear" w:color="000000" w:fill="BFBFBF"/>
            <w:vAlign w:val="center"/>
            <w:hideMark/>
          </w:tcPr>
          <w:p w14:paraId="175C8B60" w14:textId="77777777" w:rsidR="0045344F" w:rsidRPr="003F703E" w:rsidRDefault="0045344F" w:rsidP="00831EE4">
            <w:pPr>
              <w:pStyle w:val="Tabletext"/>
              <w:rPr>
                <w:b/>
              </w:rPr>
            </w:pPr>
            <w:r w:rsidRPr="003F703E">
              <w:rPr>
                <w:b/>
              </w:rPr>
              <w:t> </w:t>
            </w:r>
          </w:p>
        </w:tc>
        <w:tc>
          <w:tcPr>
            <w:tcW w:w="1197" w:type="dxa"/>
            <w:tcBorders>
              <w:top w:val="nil"/>
              <w:left w:val="nil"/>
              <w:bottom w:val="nil"/>
              <w:right w:val="single" w:sz="4" w:space="0" w:color="FFFFFF"/>
            </w:tcBorders>
            <w:shd w:val="clear" w:color="000000" w:fill="BFBFBF"/>
            <w:vAlign w:val="center"/>
            <w:hideMark/>
          </w:tcPr>
          <w:p w14:paraId="545BA6BC" w14:textId="03C844C4" w:rsidR="0045344F" w:rsidRPr="003F703E" w:rsidRDefault="0045344F" w:rsidP="00831EE4">
            <w:pPr>
              <w:pStyle w:val="Tabletext"/>
              <w:jc w:val="center"/>
              <w:rPr>
                <w:b/>
              </w:rPr>
            </w:pPr>
          </w:p>
        </w:tc>
        <w:tc>
          <w:tcPr>
            <w:tcW w:w="5389" w:type="dxa"/>
            <w:gridSpan w:val="2"/>
            <w:tcBorders>
              <w:top w:val="nil"/>
              <w:left w:val="single" w:sz="4" w:space="0" w:color="FFFFFF"/>
              <w:bottom w:val="nil"/>
              <w:right w:val="nil"/>
            </w:tcBorders>
            <w:shd w:val="clear" w:color="000000" w:fill="BFBFBF"/>
            <w:vAlign w:val="center"/>
            <w:hideMark/>
          </w:tcPr>
          <w:p w14:paraId="5B18515D" w14:textId="77777777" w:rsidR="0045344F" w:rsidRPr="003F703E" w:rsidRDefault="0045344F" w:rsidP="00831EE4">
            <w:pPr>
              <w:pStyle w:val="Tabletext"/>
              <w:jc w:val="center"/>
              <w:rPr>
                <w:b/>
              </w:rPr>
            </w:pPr>
            <w:r w:rsidRPr="003F703E">
              <w:rPr>
                <w:b/>
              </w:rPr>
              <w:t>Absolute difference with respect to 2025_base (pp)</w:t>
            </w:r>
          </w:p>
        </w:tc>
      </w:tr>
      <w:tr w:rsidR="0045344F" w:rsidRPr="003F703E" w14:paraId="25BEE9F3" w14:textId="77777777" w:rsidTr="003F703E">
        <w:trPr>
          <w:trHeight w:val="227"/>
          <w:jc w:val="center"/>
        </w:trPr>
        <w:tc>
          <w:tcPr>
            <w:tcW w:w="2301" w:type="dxa"/>
            <w:tcBorders>
              <w:top w:val="nil"/>
              <w:left w:val="nil"/>
              <w:right w:val="nil"/>
            </w:tcBorders>
            <w:shd w:val="clear" w:color="000000" w:fill="BFBFBF"/>
            <w:vAlign w:val="center"/>
            <w:hideMark/>
          </w:tcPr>
          <w:p w14:paraId="56FC2566" w14:textId="77777777" w:rsidR="0045344F" w:rsidRPr="003F703E" w:rsidRDefault="0045344F" w:rsidP="00831EE4">
            <w:pPr>
              <w:pStyle w:val="Tabletext"/>
              <w:rPr>
                <w:b/>
              </w:rPr>
            </w:pPr>
            <w:r w:rsidRPr="003F703E">
              <w:rPr>
                <w:b/>
              </w:rPr>
              <w:t> </w:t>
            </w:r>
          </w:p>
        </w:tc>
        <w:tc>
          <w:tcPr>
            <w:tcW w:w="1197" w:type="dxa"/>
            <w:tcBorders>
              <w:top w:val="nil"/>
              <w:left w:val="nil"/>
              <w:right w:val="single" w:sz="4" w:space="0" w:color="FFFFFF"/>
            </w:tcBorders>
            <w:shd w:val="clear" w:color="000000" w:fill="BFBFBF"/>
            <w:vAlign w:val="center"/>
            <w:hideMark/>
          </w:tcPr>
          <w:p w14:paraId="2233A0C9" w14:textId="77777777" w:rsidR="0045344F" w:rsidRPr="003F703E" w:rsidRDefault="0045344F" w:rsidP="00831EE4">
            <w:pPr>
              <w:pStyle w:val="Tabletext"/>
              <w:jc w:val="center"/>
              <w:rPr>
                <w:b/>
              </w:rPr>
            </w:pPr>
            <w:r w:rsidRPr="003F703E">
              <w:rPr>
                <w:b/>
              </w:rPr>
              <w:t>2025_base</w:t>
            </w:r>
          </w:p>
        </w:tc>
        <w:tc>
          <w:tcPr>
            <w:tcW w:w="3023" w:type="dxa"/>
            <w:tcBorders>
              <w:top w:val="nil"/>
              <w:left w:val="single" w:sz="4" w:space="0" w:color="FFFFFF"/>
              <w:right w:val="nil"/>
            </w:tcBorders>
            <w:shd w:val="clear" w:color="000000" w:fill="BFBFBF"/>
            <w:vAlign w:val="center"/>
            <w:hideMark/>
          </w:tcPr>
          <w:p w14:paraId="31ABF39F" w14:textId="77777777" w:rsidR="0045344F" w:rsidRPr="003F703E" w:rsidRDefault="0045344F" w:rsidP="00831EE4">
            <w:pPr>
              <w:pStyle w:val="Tabletext"/>
              <w:jc w:val="center"/>
              <w:rPr>
                <w:b/>
              </w:rPr>
            </w:pPr>
            <w:r w:rsidRPr="003F703E">
              <w:rPr>
                <w:b/>
              </w:rPr>
              <w:t>2025_ref</w:t>
            </w:r>
          </w:p>
        </w:tc>
        <w:tc>
          <w:tcPr>
            <w:tcW w:w="2370" w:type="dxa"/>
            <w:tcBorders>
              <w:top w:val="nil"/>
              <w:left w:val="nil"/>
              <w:right w:val="nil"/>
            </w:tcBorders>
            <w:shd w:val="clear" w:color="000000" w:fill="BFBFBF"/>
            <w:vAlign w:val="center"/>
            <w:hideMark/>
          </w:tcPr>
          <w:p w14:paraId="2CADE1DF" w14:textId="77777777" w:rsidR="0045344F" w:rsidRPr="003F703E" w:rsidRDefault="0045344F" w:rsidP="00831EE4">
            <w:pPr>
              <w:pStyle w:val="Tabletext"/>
              <w:jc w:val="center"/>
              <w:rPr>
                <w:b/>
              </w:rPr>
            </w:pPr>
            <w:r w:rsidRPr="003F703E">
              <w:rPr>
                <w:b/>
              </w:rPr>
              <w:t>2026_ref</w:t>
            </w:r>
          </w:p>
        </w:tc>
      </w:tr>
      <w:tr w:rsidR="0045344F" w:rsidRPr="003F703E" w14:paraId="794B64AB" w14:textId="77777777" w:rsidTr="003F703E">
        <w:trPr>
          <w:trHeight w:val="227"/>
          <w:jc w:val="center"/>
        </w:trPr>
        <w:tc>
          <w:tcPr>
            <w:tcW w:w="2301" w:type="dxa"/>
            <w:tcBorders>
              <w:top w:val="nil"/>
              <w:left w:val="nil"/>
              <w:bottom w:val="single" w:sz="18" w:space="0" w:color="4F81BD" w:themeColor="accent1"/>
              <w:right w:val="nil"/>
            </w:tcBorders>
            <w:shd w:val="clear" w:color="000000" w:fill="F2F2F2"/>
            <w:vAlign w:val="center"/>
            <w:hideMark/>
          </w:tcPr>
          <w:p w14:paraId="2821E320" w14:textId="77777777" w:rsidR="0045344F" w:rsidRPr="003F703E" w:rsidRDefault="0045344F" w:rsidP="00831EE4">
            <w:pPr>
              <w:pStyle w:val="Tabletext"/>
              <w:rPr>
                <w:b/>
              </w:rPr>
            </w:pPr>
            <w:r w:rsidRPr="003F703E">
              <w:rPr>
                <w:b/>
              </w:rPr>
              <w:t>Total Population</w:t>
            </w:r>
          </w:p>
        </w:tc>
        <w:tc>
          <w:tcPr>
            <w:tcW w:w="1197" w:type="dxa"/>
            <w:tcBorders>
              <w:top w:val="nil"/>
              <w:left w:val="nil"/>
              <w:bottom w:val="single" w:sz="18" w:space="0" w:color="4F81BD" w:themeColor="accent1"/>
              <w:right w:val="single" w:sz="4" w:space="0" w:color="FFFFFF"/>
            </w:tcBorders>
            <w:shd w:val="clear" w:color="000000" w:fill="F2F2F2"/>
            <w:vAlign w:val="center"/>
            <w:hideMark/>
          </w:tcPr>
          <w:p w14:paraId="3712FFEB" w14:textId="77777777" w:rsidR="0045344F" w:rsidRPr="003F703E" w:rsidRDefault="0045344F" w:rsidP="00831EE4">
            <w:pPr>
              <w:pStyle w:val="Tabletext"/>
              <w:jc w:val="center"/>
            </w:pPr>
            <w:r w:rsidRPr="003F703E">
              <w:t>16.9</w:t>
            </w:r>
          </w:p>
        </w:tc>
        <w:tc>
          <w:tcPr>
            <w:tcW w:w="3023" w:type="dxa"/>
            <w:tcBorders>
              <w:top w:val="nil"/>
              <w:left w:val="single" w:sz="4" w:space="0" w:color="FFFFFF"/>
              <w:bottom w:val="single" w:sz="18" w:space="0" w:color="4F81BD" w:themeColor="accent1"/>
              <w:right w:val="nil"/>
            </w:tcBorders>
            <w:shd w:val="clear" w:color="000000" w:fill="F2F2F2"/>
            <w:vAlign w:val="center"/>
            <w:hideMark/>
          </w:tcPr>
          <w:p w14:paraId="6EF0A42C" w14:textId="77777777" w:rsidR="0045344F" w:rsidRPr="003F703E" w:rsidRDefault="0045344F" w:rsidP="00831EE4">
            <w:pPr>
              <w:pStyle w:val="Tabletext"/>
              <w:jc w:val="center"/>
            </w:pPr>
            <w:r w:rsidRPr="003F703E">
              <w:t>-0.3</w:t>
            </w:r>
          </w:p>
        </w:tc>
        <w:tc>
          <w:tcPr>
            <w:tcW w:w="2370" w:type="dxa"/>
            <w:tcBorders>
              <w:top w:val="nil"/>
              <w:left w:val="nil"/>
              <w:bottom w:val="single" w:sz="18" w:space="0" w:color="4F81BD" w:themeColor="accent1"/>
              <w:right w:val="nil"/>
            </w:tcBorders>
            <w:shd w:val="clear" w:color="000000" w:fill="F2F2F2"/>
            <w:vAlign w:val="center"/>
            <w:hideMark/>
          </w:tcPr>
          <w:p w14:paraId="20D728F8" w14:textId="77777777" w:rsidR="0045344F" w:rsidRPr="003F703E" w:rsidRDefault="0045344F" w:rsidP="00831EE4">
            <w:pPr>
              <w:pStyle w:val="Tabletext"/>
              <w:jc w:val="center"/>
            </w:pPr>
            <w:r w:rsidRPr="003F703E">
              <w:t>-0.2</w:t>
            </w:r>
          </w:p>
        </w:tc>
      </w:tr>
    </w:tbl>
    <w:p w14:paraId="3CC70887" w14:textId="77777777" w:rsidR="00CA6BC9" w:rsidRPr="00831EE4" w:rsidRDefault="00CA6BC9" w:rsidP="00831EE4">
      <w:pPr>
        <w:spacing w:after="0"/>
        <w:rPr>
          <w:rStyle w:val="af5"/>
          <w:rFonts w:ascii="Calibri Light" w:hAnsi="Calibri Light" w:cs="Calibri Light"/>
          <w:b/>
          <w:bCs/>
          <w:i w:val="0"/>
          <w:sz w:val="20"/>
          <w:szCs w:val="20"/>
          <w:lang w:val="en-GB"/>
        </w:rPr>
      </w:pPr>
      <w:r w:rsidRPr="00831EE4">
        <w:rPr>
          <w:rStyle w:val="af5"/>
          <w:rFonts w:ascii="Calibri Light" w:hAnsi="Calibri Light" w:cs="Calibri Light"/>
          <w:b/>
          <w:bCs/>
          <w:i w:val="0"/>
          <w:sz w:val="20"/>
          <w:szCs w:val="20"/>
          <w:lang w:val="en-GB"/>
        </w:rPr>
        <w:t>Notes:</w:t>
      </w:r>
    </w:p>
    <w:p w14:paraId="5F600366" w14:textId="0ACE3791" w:rsidR="0045344F" w:rsidRDefault="00CA6BC9" w:rsidP="00AC165E">
      <w:pPr>
        <w:pStyle w:val="a4"/>
        <w:numPr>
          <w:ilvl w:val="0"/>
          <w:numId w:val="62"/>
        </w:numPr>
        <w:spacing w:after="0" w:line="200" w:lineRule="exact"/>
        <w:ind w:left="284" w:hanging="284"/>
        <w:rPr>
          <w:rStyle w:val="af5"/>
          <w:rFonts w:ascii="Calibri Light" w:hAnsi="Calibri Light" w:cs="Calibri Light"/>
          <w:i w:val="0"/>
          <w:sz w:val="19"/>
          <w:szCs w:val="19"/>
          <w:lang w:val="en-GB"/>
        </w:rPr>
      </w:pPr>
      <w:r w:rsidRPr="00831EE4">
        <w:rPr>
          <w:rStyle w:val="af5"/>
          <w:rFonts w:ascii="Calibri Light" w:hAnsi="Calibri Light" w:cs="Calibri Light"/>
          <w:i w:val="0"/>
          <w:sz w:val="19"/>
          <w:szCs w:val="19"/>
          <w:lang w:val="en-GB"/>
        </w:rPr>
        <w:t xml:space="preserve">Poverty line in floating: </w:t>
      </w:r>
      <w:r w:rsidR="0045344F">
        <w:rPr>
          <w:rStyle w:val="af5"/>
          <w:rFonts w:ascii="Calibri Light" w:hAnsi="Calibri Light" w:cs="Calibri Light"/>
          <w:i w:val="0"/>
          <w:sz w:val="19"/>
          <w:szCs w:val="19"/>
          <w:lang w:val="en-GB"/>
        </w:rPr>
        <w:t>€</w:t>
      </w:r>
      <w:r w:rsidRPr="00831EE4">
        <w:rPr>
          <w:rStyle w:val="af5"/>
          <w:rFonts w:ascii="Calibri Light" w:hAnsi="Calibri Light" w:cs="Calibri Light"/>
          <w:i w:val="0"/>
          <w:sz w:val="19"/>
          <w:szCs w:val="19"/>
          <w:lang w:val="en-GB"/>
        </w:rPr>
        <w:t xml:space="preserve">6,707.33 for 2025, </w:t>
      </w:r>
      <w:r w:rsidR="0045344F">
        <w:rPr>
          <w:rStyle w:val="af5"/>
          <w:rFonts w:ascii="Calibri Light" w:hAnsi="Calibri Light" w:cs="Calibri Light"/>
          <w:i w:val="0"/>
          <w:sz w:val="19"/>
          <w:szCs w:val="19"/>
          <w:lang w:val="en-GB"/>
        </w:rPr>
        <w:t>€</w:t>
      </w:r>
      <w:r w:rsidRPr="00831EE4">
        <w:rPr>
          <w:rStyle w:val="af5"/>
          <w:rFonts w:ascii="Calibri Light" w:hAnsi="Calibri Light" w:cs="Calibri Light"/>
          <w:i w:val="0"/>
          <w:sz w:val="19"/>
          <w:szCs w:val="19"/>
          <w:lang w:val="en-GB"/>
        </w:rPr>
        <w:t xml:space="preserve">6,751.48 for scenario 1 of 2025 and </w:t>
      </w:r>
      <w:r w:rsidR="0045344F">
        <w:rPr>
          <w:rStyle w:val="af5"/>
          <w:rFonts w:ascii="Calibri Light" w:hAnsi="Calibri Light" w:cs="Calibri Light"/>
          <w:i w:val="0"/>
          <w:sz w:val="19"/>
          <w:szCs w:val="19"/>
          <w:lang w:val="en-GB"/>
        </w:rPr>
        <w:t>€</w:t>
      </w:r>
      <w:r w:rsidRPr="00831EE4">
        <w:rPr>
          <w:rStyle w:val="af5"/>
          <w:rFonts w:ascii="Calibri Light" w:hAnsi="Calibri Light" w:cs="Calibri Light"/>
          <w:i w:val="0"/>
          <w:sz w:val="19"/>
          <w:szCs w:val="19"/>
          <w:lang w:val="en-GB"/>
        </w:rPr>
        <w:t>6,980.69 for scenario 2 of 2025.</w:t>
      </w:r>
    </w:p>
    <w:p w14:paraId="36E51694" w14:textId="77777777" w:rsidR="0045344F" w:rsidRPr="00831EE4" w:rsidRDefault="00CA6BC9" w:rsidP="00AC165E">
      <w:pPr>
        <w:pStyle w:val="a4"/>
        <w:numPr>
          <w:ilvl w:val="0"/>
          <w:numId w:val="62"/>
        </w:numPr>
        <w:spacing w:after="0" w:line="200" w:lineRule="exact"/>
        <w:ind w:left="284" w:hanging="284"/>
        <w:rPr>
          <w:rStyle w:val="af5"/>
          <w:rFonts w:ascii="Calibri Light" w:hAnsi="Calibri Light" w:cs="Calibri Light"/>
          <w:i w:val="0"/>
          <w:sz w:val="19"/>
          <w:szCs w:val="19"/>
          <w:lang w:val="en-US"/>
        </w:rPr>
      </w:pPr>
      <w:r w:rsidRPr="00831EE4">
        <w:rPr>
          <w:rStyle w:val="af5"/>
          <w:rFonts w:ascii="Calibri Light" w:hAnsi="Calibri Light" w:cs="Calibri Light"/>
          <w:i w:val="0"/>
          <w:sz w:val="19"/>
          <w:szCs w:val="19"/>
          <w:lang w:val="en-GB"/>
        </w:rPr>
        <w:t>FGT (0) is the headcount ratio and shows % of individuals whose income is below 60% of the median equivalised disposable income.</w:t>
      </w:r>
    </w:p>
    <w:p w14:paraId="7B85C788" w14:textId="47062AE4" w:rsidR="0045344F" w:rsidRPr="003F703E" w:rsidRDefault="00CA6BC9" w:rsidP="00AC165E">
      <w:pPr>
        <w:pStyle w:val="a4"/>
        <w:numPr>
          <w:ilvl w:val="0"/>
          <w:numId w:val="62"/>
        </w:numPr>
        <w:spacing w:after="0" w:line="200" w:lineRule="exact"/>
        <w:ind w:left="284" w:hanging="284"/>
        <w:jc w:val="left"/>
        <w:rPr>
          <w:rStyle w:val="af5"/>
          <w:rFonts w:ascii="Calibri Light" w:hAnsi="Calibri Light" w:cs="Calibri Light"/>
          <w:i w:val="0"/>
          <w:sz w:val="19"/>
          <w:szCs w:val="19"/>
          <w:lang w:val="en-GB"/>
        </w:rPr>
      </w:pPr>
      <w:r w:rsidRPr="003F703E">
        <w:rPr>
          <w:rStyle w:val="af5"/>
          <w:rFonts w:ascii="Calibri Light" w:hAnsi="Calibri Light" w:cs="Calibri Light"/>
          <w:i w:val="0"/>
          <w:sz w:val="19"/>
          <w:szCs w:val="19"/>
          <w:lang w:val="en-GB"/>
        </w:rPr>
        <w:t>FGT (1) is the poverty gap index and calculates the average of the differences between individual incomes and the 60% poverty line, expressed as a % of the poverty line, and calculated only for those below the poverty line.</w:t>
      </w:r>
      <w:r w:rsidR="0045344F" w:rsidRPr="003F703E">
        <w:rPr>
          <w:rStyle w:val="af5"/>
          <w:rFonts w:ascii="Calibri Light" w:hAnsi="Calibri Light" w:cs="Calibri Light"/>
          <w:i w:val="0"/>
          <w:sz w:val="19"/>
          <w:szCs w:val="19"/>
          <w:lang w:val="en-GB"/>
        </w:rPr>
        <w:br w:type="page"/>
      </w:r>
    </w:p>
    <w:p w14:paraId="7ED247BD" w14:textId="7C61CBDC" w:rsidR="009558D0" w:rsidRPr="00FF3191" w:rsidRDefault="009558D0">
      <w:pPr>
        <w:pStyle w:val="1"/>
        <w:numPr>
          <w:ilvl w:val="0"/>
          <w:numId w:val="2"/>
        </w:numPr>
        <w:spacing w:after="1560"/>
        <w:ind w:hanging="720"/>
        <w:rPr>
          <w:lang w:val="en-US"/>
        </w:rPr>
      </w:pPr>
      <w:bookmarkStart w:id="85" w:name="_Toc211268751"/>
      <w:bookmarkStart w:id="86" w:name="_Toc211268774"/>
      <w:bookmarkStart w:id="87" w:name="_Toc211274278"/>
      <w:bookmarkStart w:id="88" w:name="_Toc211268668"/>
      <w:bookmarkStart w:id="89" w:name="_Toc211268752"/>
      <w:bookmarkStart w:id="90" w:name="_Toc211268775"/>
      <w:bookmarkStart w:id="91" w:name="_Toc211274279"/>
      <w:bookmarkStart w:id="92" w:name="_Toc211268669"/>
      <w:bookmarkStart w:id="93" w:name="_Toc211268753"/>
      <w:bookmarkStart w:id="94" w:name="_Toc211268776"/>
      <w:bookmarkStart w:id="95" w:name="_Toc211274280"/>
      <w:bookmarkStart w:id="96" w:name="_Toc211418449"/>
      <w:bookmarkEnd w:id="85"/>
      <w:bookmarkEnd w:id="86"/>
      <w:bookmarkEnd w:id="87"/>
      <w:bookmarkEnd w:id="88"/>
      <w:bookmarkEnd w:id="89"/>
      <w:bookmarkEnd w:id="90"/>
      <w:bookmarkEnd w:id="91"/>
      <w:bookmarkEnd w:id="92"/>
      <w:bookmarkEnd w:id="93"/>
      <w:bookmarkEnd w:id="94"/>
      <w:bookmarkEnd w:id="95"/>
      <w:r w:rsidRPr="00FF3191">
        <w:rPr>
          <w:lang w:val="en-US"/>
        </w:rPr>
        <w:t>C</w:t>
      </w:r>
      <w:r w:rsidR="00FF3191" w:rsidRPr="00831EE4">
        <w:rPr>
          <w:lang w:val="en-US"/>
        </w:rPr>
        <w:t xml:space="preserve">ountry </w:t>
      </w:r>
      <w:r w:rsidRPr="00FF3191">
        <w:rPr>
          <w:lang w:val="en-US"/>
        </w:rPr>
        <w:t>S</w:t>
      </w:r>
      <w:r w:rsidR="00FF3191" w:rsidRPr="00831EE4">
        <w:rPr>
          <w:lang w:val="en-US"/>
        </w:rPr>
        <w:t xml:space="preserve">pecific </w:t>
      </w:r>
      <w:r w:rsidR="00FF3191" w:rsidRPr="00FF3191">
        <w:rPr>
          <w:lang w:val="en-US"/>
        </w:rPr>
        <w:t>Recommendations</w:t>
      </w:r>
      <w:r w:rsidR="006C0263" w:rsidRPr="00FF3191">
        <w:rPr>
          <w:lang w:val="en-US"/>
        </w:rPr>
        <w:t xml:space="preserve"> 2025</w:t>
      </w:r>
      <w:bookmarkEnd w:id="96"/>
    </w:p>
    <w:p w14:paraId="06D0191F" w14:textId="77777777" w:rsidR="00BE0B57" w:rsidRPr="00831EE4" w:rsidRDefault="00BE0B57" w:rsidP="00831EE4">
      <w:pPr>
        <w:shd w:val="clear" w:color="auto" w:fill="DBE5F1" w:themeFill="accent1" w:themeFillTint="33"/>
        <w:rPr>
          <w:b/>
          <w:sz w:val="36"/>
          <w:szCs w:val="24"/>
          <w:lang w:val="en-US"/>
        </w:rPr>
      </w:pPr>
      <w:r w:rsidRPr="00831EE4">
        <w:rPr>
          <w:b/>
          <w:sz w:val="32"/>
          <w:lang w:val="en-US"/>
        </w:rPr>
        <w:t>CSR 1</w:t>
      </w:r>
    </w:p>
    <w:p w14:paraId="78606E2F" w14:textId="77777777" w:rsidR="00BE0B57" w:rsidRPr="00831EE4" w:rsidRDefault="00BE0B57" w:rsidP="00831EE4">
      <w:pPr>
        <w:jc w:val="left"/>
        <w:rPr>
          <w:b/>
          <w:lang w:val="en-US"/>
        </w:rPr>
      </w:pPr>
      <w:r w:rsidRPr="00831EE4">
        <w:rPr>
          <w:b/>
          <w:lang w:val="en-US"/>
        </w:rPr>
        <w:t>Reinforce overall defence and security spending and readiness while ensuring debt sustainability in line with the European Council conclusions of 6 March 2025. Adhere to the maximum growth rates of net expenditure recommended by the Council on 21 January 2025, while making use of the allowance under the national escape clause for higher defence expenditure.</w:t>
      </w:r>
      <w:r w:rsidRPr="00831EE4">
        <w:rPr>
          <w:b/>
          <w:color w:val="B7B7B7"/>
          <w:lang w:val="en-US"/>
        </w:rPr>
        <w:t xml:space="preserve"> </w:t>
      </w:r>
      <w:r w:rsidRPr="00831EE4">
        <w:rPr>
          <w:b/>
          <w:lang w:val="en-US"/>
        </w:rPr>
        <w:t>Continue efforts to improve tax compliance, including through further centralisation and digitalisation of customs and tax inspections and improve the tax system’s predictability. Further improve the effectiveness and efficiency of its public administration by fully implementing the multi-level governance framework. Pursue the ongoing reduction of the stock of non-performing loans held by banks and credit servicers by accelerating liquidation-related court proceedings.</w:t>
      </w:r>
    </w:p>
    <w:p w14:paraId="266FFC8F" w14:textId="14065280" w:rsidR="00BE0B57" w:rsidRPr="00831EE4" w:rsidRDefault="00BE0B57" w:rsidP="00BE0B57">
      <w:pPr>
        <w:rPr>
          <w:color w:val="000000" w:themeColor="text1"/>
          <w:lang w:val="en-US"/>
        </w:rPr>
      </w:pPr>
      <w:r w:rsidRPr="00831EE4">
        <w:rPr>
          <w:color w:val="000000" w:themeColor="text1"/>
          <w:lang w:val="en-US"/>
        </w:rPr>
        <w:t>Regarding defence expenditure, Greece estimates that the increase in total defence expenditure as a ratio to GDP from 2024 to 2025 will reach 0.1 pp, while the increase from 2024 to 2026 will be 0.3 pp. The net expenditure for 2025 and 2026 is estimated to grow by 4.4% and 5.8% on an annual basis, respectively. The cumulative growth in the years 2024-2026 taken together, does not exceed the relevant Council recommendation, while it stands 0.3% of GDP below the maximum growth rate recommended, taking into account the flexibility provided by the activation of the escape clause for higher defence expenditure.</w:t>
      </w:r>
    </w:p>
    <w:p w14:paraId="3138BA9D" w14:textId="5E50F994" w:rsidR="00BE0B57" w:rsidRPr="00831EE4" w:rsidRDefault="00BE0B57" w:rsidP="00BE0B57">
      <w:pPr>
        <w:spacing w:line="240" w:lineRule="auto"/>
        <w:rPr>
          <w:color w:val="000000" w:themeColor="text1"/>
          <w:lang w:val="en-US"/>
        </w:rPr>
      </w:pPr>
      <w:r w:rsidRPr="00831EE4">
        <w:rPr>
          <w:color w:val="000000" w:themeColor="text1"/>
          <w:lang w:val="en-US"/>
        </w:rPr>
        <w:t xml:space="preserve">Concerning the improvement of tax compliance, including through further centralisation and digitalisation of customs and tax inspections and improve the tax system’s predictability, for the reference period, the actions of </w:t>
      </w:r>
      <w:r w:rsidR="00FB2265">
        <w:rPr>
          <w:color w:val="000000" w:themeColor="text1"/>
          <w:lang w:val="en-US"/>
        </w:rPr>
        <w:t xml:space="preserve">the </w:t>
      </w:r>
      <w:r w:rsidRPr="00831EE4">
        <w:rPr>
          <w:color w:val="000000" w:themeColor="text1"/>
          <w:lang w:val="en-US"/>
        </w:rPr>
        <w:t xml:space="preserve">Ministry of Economy and Finance and </w:t>
      </w:r>
      <w:r w:rsidR="00FB2265">
        <w:rPr>
          <w:color w:val="000000" w:themeColor="text1"/>
          <w:lang w:val="en-US"/>
        </w:rPr>
        <w:t xml:space="preserve">the </w:t>
      </w:r>
      <w:r w:rsidR="002F1B83">
        <w:rPr>
          <w:color w:val="000000" w:themeColor="text1"/>
          <w:lang w:val="en-US"/>
        </w:rPr>
        <w:t>I</w:t>
      </w:r>
      <w:r w:rsidR="002F1B83" w:rsidRPr="00BE0B57">
        <w:rPr>
          <w:color w:val="000000" w:themeColor="text1"/>
          <w:lang w:val="en-US"/>
        </w:rPr>
        <w:t>ndependent</w:t>
      </w:r>
      <w:r w:rsidRPr="00831EE4">
        <w:rPr>
          <w:color w:val="000000" w:themeColor="text1"/>
          <w:lang w:val="en-US"/>
        </w:rPr>
        <w:t xml:space="preserve"> Authority for Public Revenue (IAPR) include the establishment of mandatory electronic invoicing from 01/09/2025 for all B2G transactions, </w:t>
      </w:r>
      <w:r w:rsidR="00FB2265">
        <w:rPr>
          <w:color w:val="000000" w:themeColor="text1"/>
          <w:lang w:val="en-US"/>
        </w:rPr>
        <w:t>with</w:t>
      </w:r>
      <w:r w:rsidRPr="00831EE4">
        <w:rPr>
          <w:color w:val="000000" w:themeColor="text1"/>
          <w:lang w:val="en-US"/>
        </w:rPr>
        <w:t xml:space="preserve"> minor exceptions due to intrinsic transactive characteristics (confidential transactions, etc.), along with the digital submission of delivery notes. The interconnection of POS systems with business cash registers and the digital customer registry in the vehicle sector were also completed. In addition, the submission period for VAT returns (monthly) was amended for newly established businesses with a simplified accounting system, applicable for the first two years of operation.</w:t>
      </w:r>
    </w:p>
    <w:p w14:paraId="685BE982" w14:textId="77777777" w:rsidR="00BE0B57" w:rsidRPr="00831EE4" w:rsidRDefault="00BE0B57" w:rsidP="00BE0B57">
      <w:pPr>
        <w:spacing w:line="240" w:lineRule="auto"/>
        <w:rPr>
          <w:color w:val="000000" w:themeColor="text1"/>
          <w:lang w:val="en-US"/>
        </w:rPr>
      </w:pPr>
      <w:r w:rsidRPr="00831EE4">
        <w:rPr>
          <w:color w:val="000000" w:themeColor="text1"/>
          <w:lang w:val="en-US"/>
        </w:rPr>
        <w:t>In order to accelerate the centralization of tax and customs audits, 2025 saw the completion of the establishment of the Customs Audit Center (TEK) of Attica, along with the merger of the three Piraeus Customs Offices and the launch of the Large Taxpayers Audit Center (KEMEF), formed through the merger of the Large Enterprises Audit Center (KEMEEP) and the High-Wealth Individuals Audit Center (KEFOMEP).</w:t>
      </w:r>
    </w:p>
    <w:p w14:paraId="2919FD37" w14:textId="2EB18A89" w:rsidR="00BE0B57" w:rsidRPr="00831EE4" w:rsidRDefault="00BE0B57" w:rsidP="00BE0B57">
      <w:pPr>
        <w:spacing w:line="240" w:lineRule="auto"/>
        <w:rPr>
          <w:color w:val="000000" w:themeColor="text1"/>
          <w:sz w:val="18"/>
          <w:szCs w:val="18"/>
          <w:lang w:val="en-US"/>
        </w:rPr>
      </w:pPr>
      <w:r w:rsidRPr="00831EE4">
        <w:rPr>
          <w:color w:val="000000" w:themeColor="text1"/>
          <w:lang w:val="en-US"/>
        </w:rPr>
        <w:t xml:space="preserve">In the context of combating smuggling, an integrated Management Information System (MIS) was developed for the utilization of data from the Inflow-Outflow Systems to counter fuel smuggling, leveraging Artificial Intelligence technologies and hence expanding digitalisation. The digital application for the Register of Fuel Station Tanks for public-use fuel stations and Heating Oil Sellers’ Facilities was launched, as well as the “Unified Central Register of the Tobacco Supply Chain and Manufactured Tobacco Products” (EKMEA) —a new digital registry application of IAPR for tobacco products. Moreover, interoperability between the Customs Information System (ICISnet) and the EU Single Window </w:t>
      </w:r>
      <w:r w:rsidR="003E1DC9">
        <w:rPr>
          <w:color w:val="000000" w:themeColor="text1"/>
          <w:lang w:val="en-US"/>
        </w:rPr>
        <w:t>-</w:t>
      </w:r>
      <w:r w:rsidRPr="00831EE4">
        <w:rPr>
          <w:color w:val="000000" w:themeColor="text1"/>
          <w:lang w:val="en-US"/>
        </w:rPr>
        <w:t xml:space="preserve"> Certificates Exchange Platform (EU CSW-CERTEX) for pre-customs procedures was implemented.</w:t>
      </w:r>
    </w:p>
    <w:p w14:paraId="6513EA6A" w14:textId="1626C0B1" w:rsidR="00BE0B57" w:rsidRPr="00831EE4" w:rsidRDefault="00BE0B57" w:rsidP="00BE0B57">
      <w:pPr>
        <w:spacing w:before="240" w:after="240" w:line="240" w:lineRule="auto"/>
        <w:rPr>
          <w:color w:val="000000" w:themeColor="text1"/>
          <w:sz w:val="24"/>
          <w:szCs w:val="24"/>
          <w:lang w:val="en-US"/>
        </w:rPr>
      </w:pPr>
      <w:r w:rsidRPr="00831EE4">
        <w:rPr>
          <w:color w:val="000000" w:themeColor="text1"/>
          <w:lang w:val="en-US"/>
        </w:rPr>
        <w:t xml:space="preserve">Moreover, the Directive (EU) 2022/2523 was </w:t>
      </w:r>
      <w:r w:rsidR="00FB2265">
        <w:rPr>
          <w:color w:val="000000" w:themeColor="text1"/>
          <w:lang w:val="en-US"/>
        </w:rPr>
        <w:t>transposed</w:t>
      </w:r>
      <w:r w:rsidRPr="00831EE4">
        <w:rPr>
          <w:color w:val="000000" w:themeColor="text1"/>
          <w:lang w:val="en-US"/>
        </w:rPr>
        <w:t xml:space="preserve"> through law 5100/2024, ensuring a global minimum level of taxation for multinational enterprise groups and large-scale domestic groups in the EU (Pillar II), through which Greece has aligned the income taxation of multinational and large domestic groups with the requirements of Directive (EU) 2022/2523, harmonizing its tax regime with modern international standards, with the aim of preventing multinational enterprises from shifting profits to low-tax jurisdictions.</w:t>
      </w:r>
    </w:p>
    <w:p w14:paraId="4814D0A1" w14:textId="6368E476" w:rsidR="00BE0B57" w:rsidRPr="000A05FF" w:rsidRDefault="00BE0B57" w:rsidP="00BE0B57">
      <w:pPr>
        <w:spacing w:after="0" w:line="240" w:lineRule="auto"/>
        <w:rPr>
          <w:color w:val="000000" w:themeColor="text1"/>
        </w:rPr>
      </w:pPr>
      <w:r w:rsidRPr="00831EE4">
        <w:rPr>
          <w:color w:val="000000" w:themeColor="text1"/>
          <w:lang w:val="en-US"/>
        </w:rPr>
        <w:t xml:space="preserve">Furthermore the Council Directive (EU) 2022/542 regarding value-added tax (VAT) rates and the common VAT system for small enterprises was </w:t>
      </w:r>
      <w:r w:rsidR="001D79FC">
        <w:rPr>
          <w:color w:val="000000" w:themeColor="text1"/>
          <w:lang w:val="en-US"/>
        </w:rPr>
        <w:t>transposed</w:t>
      </w:r>
      <w:r w:rsidRPr="00831EE4">
        <w:rPr>
          <w:color w:val="000000" w:themeColor="text1"/>
          <w:lang w:val="en-US"/>
        </w:rPr>
        <w:t xml:space="preserve"> through Law 5222/</w:t>
      </w:r>
      <w:r w:rsidRPr="000A05FF">
        <w:rPr>
          <w:color w:val="000000" w:themeColor="text1"/>
          <w:lang w:val="en-US"/>
        </w:rPr>
        <w:t xml:space="preserve">2025. Also, in the context of negotiations on the “VAT in the Digital Age” (ViDA) package, the Council Directive (EU) 2025/516 was adopted and published on 11 March 2025.  </w:t>
      </w:r>
      <w:r w:rsidRPr="000A05FF">
        <w:rPr>
          <w:color w:val="000000" w:themeColor="text1"/>
        </w:rPr>
        <w:t>This Directive amends the VAT Directive 2006/112/EC concerning:</w:t>
      </w:r>
    </w:p>
    <w:p w14:paraId="61948E72" w14:textId="77777777" w:rsidR="00BE0B57" w:rsidRPr="000A05FF" w:rsidRDefault="00BE0B57" w:rsidP="00831EE4">
      <w:pPr>
        <w:pStyle w:val="a4"/>
        <w:numPr>
          <w:ilvl w:val="0"/>
          <w:numId w:val="75"/>
        </w:numPr>
      </w:pPr>
      <w:r w:rsidRPr="000A05FF">
        <w:t>Digital Reporting Requirements (DRR),</w:t>
      </w:r>
    </w:p>
    <w:p w14:paraId="1B29A314" w14:textId="77777777" w:rsidR="00BE0B57" w:rsidRPr="000A05FF" w:rsidRDefault="00BE0B57" w:rsidP="00831EE4">
      <w:pPr>
        <w:pStyle w:val="a4"/>
        <w:numPr>
          <w:ilvl w:val="0"/>
          <w:numId w:val="75"/>
        </w:numPr>
        <w:rPr>
          <w:lang w:val="en-US"/>
        </w:rPr>
      </w:pPr>
      <w:r w:rsidRPr="000A05FF">
        <w:rPr>
          <w:lang w:val="en-US"/>
        </w:rPr>
        <w:t>Platform Economy (covering short-term accommodation rentals and passenger transport), and</w:t>
      </w:r>
    </w:p>
    <w:p w14:paraId="2761ECD1" w14:textId="77777777" w:rsidR="00BE0B57" w:rsidRPr="000A05FF" w:rsidRDefault="00BE0B57" w:rsidP="00831EE4">
      <w:pPr>
        <w:pStyle w:val="a4"/>
        <w:numPr>
          <w:ilvl w:val="0"/>
          <w:numId w:val="75"/>
        </w:numPr>
      </w:pPr>
      <w:r w:rsidRPr="000A05FF">
        <w:t>Single VAT Registration.</w:t>
      </w:r>
    </w:p>
    <w:p w14:paraId="72C6CA64" w14:textId="77777777" w:rsidR="00BE0B57" w:rsidRPr="00831EE4" w:rsidRDefault="00BE0B57" w:rsidP="00BE0B57">
      <w:pPr>
        <w:spacing w:before="240" w:after="240" w:line="240" w:lineRule="auto"/>
        <w:rPr>
          <w:color w:val="000000" w:themeColor="text1"/>
          <w:lang w:val="en-US"/>
        </w:rPr>
      </w:pPr>
      <w:r w:rsidRPr="000A05FF">
        <w:rPr>
          <w:color w:val="000000" w:themeColor="text1"/>
          <w:lang w:val="en-US"/>
        </w:rPr>
        <w:t>At the same time, Regulation (EU) 2025/517 was also adopted and published, amending Regulation (EU) 904/2010 to enhance administrative cooperation and ensure the proper implementation of VAT rules in the digital age.</w:t>
      </w:r>
    </w:p>
    <w:p w14:paraId="4F4F4E92" w14:textId="149B02D2" w:rsidR="00BE0B57" w:rsidRPr="00831EE4" w:rsidRDefault="004A2573" w:rsidP="00BE0B57">
      <w:pPr>
        <w:spacing w:before="240" w:after="240" w:line="240" w:lineRule="auto"/>
        <w:rPr>
          <w:color w:val="000000" w:themeColor="text1"/>
          <w:lang w:val="en-US"/>
        </w:rPr>
      </w:pPr>
      <w:r>
        <w:rPr>
          <w:bCs/>
          <w:color w:val="000000" w:themeColor="text1"/>
          <w:lang w:val="en-US"/>
        </w:rPr>
        <w:t>Actions planned f</w:t>
      </w:r>
      <w:r w:rsidR="00BE0B57" w:rsidRPr="00831EE4">
        <w:rPr>
          <w:bCs/>
          <w:color w:val="000000" w:themeColor="text1"/>
          <w:lang w:val="en-US"/>
        </w:rPr>
        <w:t>or the upcoming period</w:t>
      </w:r>
      <w:r w:rsidR="00BE0B57" w:rsidRPr="00831EE4">
        <w:rPr>
          <w:b/>
          <w:color w:val="000000" w:themeColor="text1"/>
          <w:lang w:val="en-US"/>
        </w:rPr>
        <w:t xml:space="preserve"> </w:t>
      </w:r>
      <w:r w:rsidRPr="004A2573">
        <w:rPr>
          <w:color w:val="000000" w:themeColor="text1"/>
          <w:lang w:val="en-US"/>
        </w:rPr>
        <w:t>include</w:t>
      </w:r>
      <w:r>
        <w:rPr>
          <w:b/>
          <w:color w:val="000000" w:themeColor="text1"/>
          <w:lang w:val="en-US"/>
        </w:rPr>
        <w:t xml:space="preserve"> </w:t>
      </w:r>
      <w:r w:rsidR="00BE0B57" w:rsidRPr="00831EE4">
        <w:rPr>
          <w:color w:val="000000" w:themeColor="text1"/>
          <w:lang w:val="en-US"/>
        </w:rPr>
        <w:t>the expansion of mandatory electronic invoicing to all businesses, the digital submission of delivery notes to additional market sectors, and the implementation of the Digital Customer Registry in the events sector. In addition, the development of the new digital platform MIDA is underway within IAPR and expected to be completed. The platform will consolidate data on property ownership and usage for each taxpayer across the country. Furthermore, the development of an Advanced Business Intelligence (BI) and Data Analytics System is in progress, designed to analyze and predict non-compliance patterns, along with the establishment of a Compliance Risk Management (CRM) and Enterprise Risk Management (ERM) System for the recording, monitoring, and management of compliance and operational risks.</w:t>
      </w:r>
      <w:r w:rsidR="00DB1F3B">
        <w:rPr>
          <w:color w:val="000000" w:themeColor="text1"/>
          <w:lang w:val="en-US"/>
        </w:rPr>
        <w:t xml:space="preserve"> </w:t>
      </w:r>
      <w:r w:rsidR="00BE0B57" w:rsidRPr="00831EE4">
        <w:rPr>
          <w:color w:val="000000" w:themeColor="text1"/>
          <w:lang w:val="en-US"/>
        </w:rPr>
        <w:t>Moreover, applications are being developed within IAPR to support the implementation of Law 5100/2024, “Transposition of Directive (EU) 2022/2523 on ensuring a global minimum level of taxation for multinational enterprise groups and large-scale domestic groups in the EU (Pillar II) and other provisions”</w:t>
      </w:r>
      <w:r w:rsidR="001B2293">
        <w:rPr>
          <w:color w:val="000000" w:themeColor="text1"/>
          <w:lang w:val="en-US"/>
        </w:rPr>
        <w:t>.</w:t>
      </w:r>
    </w:p>
    <w:p w14:paraId="22D7D2B0" w14:textId="77777777" w:rsidR="00BE0B57" w:rsidRPr="00831EE4" w:rsidRDefault="00BE0B57" w:rsidP="00BE0B57">
      <w:pPr>
        <w:spacing w:before="240" w:after="240" w:line="240" w:lineRule="auto"/>
        <w:rPr>
          <w:color w:val="000000" w:themeColor="text1"/>
          <w:lang w:val="en-US"/>
        </w:rPr>
      </w:pPr>
      <w:r w:rsidRPr="00831EE4">
        <w:rPr>
          <w:color w:val="000000" w:themeColor="text1"/>
          <w:lang w:val="en-US"/>
        </w:rPr>
        <w:t xml:space="preserve">In addition, the activities of the working group on the taxation, supervision, and regulatory framework for cryptocurrencies and digital assets is currently underway. In 2026, the development of an effective and equitable institutional framework for the taxation of cryptocurrencies will be completed, in line with the European legislative framework for capital markets. </w:t>
      </w:r>
    </w:p>
    <w:p w14:paraId="4CBA6CD9" w14:textId="096DE9A8" w:rsidR="00BE0B57" w:rsidRPr="00831EE4" w:rsidRDefault="00BE0B57" w:rsidP="00BE0B57">
      <w:pPr>
        <w:spacing w:before="240" w:after="240" w:line="240" w:lineRule="auto"/>
        <w:rPr>
          <w:color w:val="000000" w:themeColor="text1"/>
          <w:lang w:val="en-US"/>
        </w:rPr>
      </w:pPr>
      <w:r w:rsidRPr="00831EE4">
        <w:rPr>
          <w:color w:val="000000" w:themeColor="text1"/>
          <w:lang w:val="en-US"/>
        </w:rPr>
        <w:t xml:space="preserve">Finally, a law establishing procedures for the issuance of advance tax rulings is expected to be </w:t>
      </w:r>
      <w:r w:rsidR="00187D98">
        <w:rPr>
          <w:color w:val="000000" w:themeColor="text1"/>
          <w:lang w:val="en-US"/>
        </w:rPr>
        <w:t>adopted the upcoming months</w:t>
      </w:r>
      <w:r w:rsidRPr="00831EE4">
        <w:rPr>
          <w:color w:val="000000" w:themeColor="text1"/>
          <w:lang w:val="en-US"/>
        </w:rPr>
        <w:t>. This reform aims to allow businesses to obtain preliminary clarifications on the tax treatment of specific transactions or business structures, thereby reducing tax uncertainty. It is also expected to strengthen investor confidence and to create a stable and predictable environment, which is crucial for economic growth and the attraction of new investments.</w:t>
      </w:r>
    </w:p>
    <w:p w14:paraId="26EEA28A" w14:textId="79914B18" w:rsidR="00BE0B57" w:rsidRPr="00831EE4" w:rsidRDefault="0091264B" w:rsidP="00BE0B57">
      <w:pPr>
        <w:rPr>
          <w:color w:val="000000" w:themeColor="text1"/>
          <w:lang w:val="en-US"/>
        </w:rPr>
      </w:pPr>
      <w:r>
        <w:rPr>
          <w:color w:val="000000" w:themeColor="text1"/>
          <w:lang w:val="en-US"/>
        </w:rPr>
        <w:t xml:space="preserve">With respect to </w:t>
      </w:r>
      <w:r w:rsidR="00BE0B57" w:rsidRPr="00831EE4">
        <w:rPr>
          <w:color w:val="000000" w:themeColor="text1"/>
          <w:lang w:val="en-US"/>
        </w:rPr>
        <w:t>the Multi-Level Governance (MLG) framework, the Ministry of Interior has focused during the period Q3 2024</w:t>
      </w:r>
      <w:r w:rsidR="00896DC3">
        <w:rPr>
          <w:color w:val="000000" w:themeColor="text1"/>
          <w:lang w:val="en-US"/>
        </w:rPr>
        <w:t>-</w:t>
      </w:r>
      <w:r w:rsidR="00BE0B57" w:rsidRPr="00831EE4">
        <w:rPr>
          <w:color w:val="000000" w:themeColor="text1"/>
          <w:lang w:val="en-US"/>
        </w:rPr>
        <w:t>Q3 2025 on developing the necessary tools and infrastructures to ensure its operational application across all levels of public administration. In this context, the first phase of the Information System for Multi-Level Governance (IS MLG) (RRF) was completed, enabling more than 2,500 public bodies to digitize and record their competences and the relevant regulatory framework. At the same time, critical preparatory measures were undertaken, including the system’s interoperability with G-Cloud services, the establishment of technical support arrangements, and the development of a Data Protection Impact Assessment (DPIA). A detailed methodological framework for the reallocation of competences across policy areas was elaborated, while the second phase of the IS MLG (RRF) –focusing on the digitization of resources (human, material and infrastructure)– has been launched. In parallel, preparatory work for the MLG Strategy 2030 was initiated, setting the long-term direction for further strengthening governance effectiveness and inter-institutional cooperation. For the forthcoming period, in 2026, the Ministry is advancing the operational specialization and comprehensive implementation of the framework. Key initiatives include the development of an AI-based tool to automatically identify and integrate the competences of public bodies into the IS MLG, the enhancement of interoperability through interconnection with the “MITOS” system documenting administrative processes, as well as the introduction of traceability functions for public sector equipment, using QR code technology. Through these actions, the Ministry of Interior ensures the transition from institutionalization to a holistic and practical application of the MLG system, turning it into a concrete tool for more effective policy-making and reinforced cooperation across all levels of governance.</w:t>
      </w:r>
    </w:p>
    <w:p w14:paraId="2BDE5C94" w14:textId="461CAB59" w:rsidR="00BE0B57" w:rsidRDefault="00BE0B57" w:rsidP="00BE0B57">
      <w:pPr>
        <w:rPr>
          <w:lang w:val="en-US"/>
        </w:rPr>
      </w:pPr>
    </w:p>
    <w:p w14:paraId="54E64401" w14:textId="77777777" w:rsidR="00BE0B57" w:rsidRPr="00831EE4" w:rsidRDefault="00BE0B57" w:rsidP="00BE0B57">
      <w:pPr>
        <w:rPr>
          <w:lang w:val="en-US"/>
        </w:rPr>
      </w:pPr>
    </w:p>
    <w:p w14:paraId="0C926872" w14:textId="77777777" w:rsidR="00BE0B57" w:rsidRPr="00831EE4" w:rsidRDefault="00BE0B57" w:rsidP="00831EE4">
      <w:pPr>
        <w:shd w:val="clear" w:color="auto" w:fill="DBE5F1" w:themeFill="accent1" w:themeFillTint="33"/>
        <w:rPr>
          <w:b/>
          <w:sz w:val="32"/>
          <w:lang w:val="en-US"/>
        </w:rPr>
      </w:pPr>
      <w:r w:rsidRPr="00831EE4">
        <w:rPr>
          <w:b/>
          <w:sz w:val="32"/>
          <w:lang w:val="en-US"/>
        </w:rPr>
        <w:t>CSR 2</w:t>
      </w:r>
    </w:p>
    <w:p w14:paraId="67BD863F" w14:textId="77777777" w:rsidR="00BE0B57" w:rsidRPr="00831EE4" w:rsidRDefault="00BE0B57" w:rsidP="00831EE4">
      <w:pPr>
        <w:jc w:val="left"/>
        <w:rPr>
          <w:b/>
          <w:lang w:val="en-US"/>
        </w:rPr>
      </w:pPr>
      <w:r w:rsidRPr="00831EE4">
        <w:rPr>
          <w:b/>
          <w:lang w:val="en-US"/>
        </w:rPr>
        <w:t>In view of the applicable deadlines for the timely completion of reforms and investments under Regulation (EU) 2021/241, accelerate implementation of the recovery and resilience plan, including the REPowerEU chapter. Accelerate the implementation of cohesion policy programmes (ERDF, JTF, ESF+, CF), building, where appropriate, on the opportunities offered by the mid-term review. Make optimal use of EU instruments, including the opportunities provided by the InvestEU programme and the Strategic Technologies for Europe Platform, to improve competitiveness.</w:t>
      </w:r>
    </w:p>
    <w:p w14:paraId="6CD41EDD" w14:textId="7DF7D24A" w:rsidR="00BE0B57" w:rsidRPr="00831EE4" w:rsidRDefault="00BE0B57" w:rsidP="00831EE4">
      <w:pPr>
        <w:rPr>
          <w:lang w:val="en-US"/>
        </w:rPr>
      </w:pPr>
      <w:r w:rsidRPr="00831EE4">
        <w:rPr>
          <w:lang w:val="en-US"/>
        </w:rPr>
        <w:t>Policies adopted by the Ministry of Economy and Finance to accelerate the implementation of development and cohesion policy programmes include the enactment of law 5322/2025, which contributes directly to the acceleration of programme implementation by strengthening the administrative capacity and operational efficiency of authorities involved in the management of development programmes. The law streamlines procedures, enhances coordination between managing bodies, and facilitates faster decision-making and fund absorption.</w:t>
      </w:r>
    </w:p>
    <w:p w14:paraId="20B0E76B" w14:textId="77777777" w:rsidR="00BE0B57" w:rsidRPr="00831EE4" w:rsidRDefault="00BE0B57" w:rsidP="00831EE4">
      <w:pPr>
        <w:rPr>
          <w:lang w:val="en-US"/>
        </w:rPr>
      </w:pPr>
      <w:r w:rsidRPr="00831EE4">
        <w:rPr>
          <w:lang w:val="en-US"/>
        </w:rPr>
        <w:t>In parallel, the Managing Authority for the Just Transition Development Programme has carried out a needs assessment in the intervention areas, financed by the Programme, in close cooperation with competent bodies and beneficiaries. Regional Territorial Committees have also been established, serving in an advisory and consultative capacity to the governance structures of the Just Transition Programme and its Monitoring Committee, ensuring strong local engagement and coordination for the timely implementation of projects.</w:t>
      </w:r>
    </w:p>
    <w:p w14:paraId="3DAAB356" w14:textId="0E353B92" w:rsidR="00BE0B57" w:rsidRPr="00831EE4" w:rsidRDefault="00BE0B57" w:rsidP="00831EE4">
      <w:pPr>
        <w:rPr>
          <w:lang w:val="en-US"/>
        </w:rPr>
      </w:pPr>
      <w:r w:rsidRPr="00831EE4">
        <w:rPr>
          <w:lang w:val="en-US"/>
        </w:rPr>
        <w:t>Planned policies to further accelerate the implementation of cohesion policy programmes include targeted capacity-building initiatives to strengthen the administrative and managerial capabilities of beneficiaries under the NSRF 2021</w:t>
      </w:r>
      <w:r w:rsidR="00896DC3">
        <w:rPr>
          <w:lang w:val="en-US"/>
        </w:rPr>
        <w:t>-</w:t>
      </w:r>
      <w:r w:rsidRPr="00831EE4">
        <w:rPr>
          <w:lang w:val="en-US"/>
        </w:rPr>
        <w:t>2027. A second revision of the NSRF programmes is also underway in 2025 to integrate new strategic priorities, such as strengthening competitiveness and economic decarbonisation, supporting defence and security, promoting affordable and sustainable housing, ensuring safe and sustainable water management, and accelerating the energy transition. The mid-term review of the programmes is expected to be submitted by 31 December 2025.</w:t>
      </w:r>
    </w:p>
    <w:p w14:paraId="58AEBE50" w14:textId="77777777" w:rsidR="00BE0B57" w:rsidRPr="00831EE4" w:rsidRDefault="00BE0B57" w:rsidP="00831EE4">
      <w:pPr>
        <w:rPr>
          <w:lang w:val="en-US"/>
        </w:rPr>
      </w:pPr>
      <w:r w:rsidRPr="00831EE4">
        <w:rPr>
          <w:lang w:val="en-US"/>
        </w:rPr>
        <w:t>Under the Just Transition Development Programme, the Managing Authority aims to finalise the specification of the majority of actions by the end of 2025 and continues to provide technical assistance and capacity-building support to beneficiaries. Coordination is being reinforced with regional programmes through the appointed Just Transition officer to ensure timely project maturity and launch. In addition, a second revision of the Programme is planned by end-2025 to take full advantage of the flexibilities provided by the revised EU regulations.</w:t>
      </w:r>
    </w:p>
    <w:p w14:paraId="42C7D542" w14:textId="77777777" w:rsidR="00BE0B57" w:rsidRPr="00831EE4" w:rsidRDefault="00BE0B57" w:rsidP="00831EE4">
      <w:pPr>
        <w:rPr>
          <w:lang w:val="en-US"/>
        </w:rPr>
      </w:pPr>
      <w:r w:rsidRPr="00831EE4">
        <w:rPr>
          <w:lang w:val="en-US"/>
        </w:rPr>
        <w:t xml:space="preserve">The Strategic Technologies for Europe Platform (STEP), the EU’s key instrument for fostering the development and production of critical technologies that strengthen Europe’s competitiveness and reduce strategic dependencies, has been integrated into the first intermediate revision of the NSRF programmes, completed on 31 March 2025. This integration covers the Competitiveness, Human Resources, Digital Transformation, Just Transition and Western Greece programmes. Within the Just Transition Fund, a new STEP priority of €80 million has already been established (€20 million for skills and €60 million for investments), while an additional €20 million will be allocated in the forthcoming revision. </w:t>
      </w:r>
    </w:p>
    <w:p w14:paraId="074D28C9" w14:textId="77777777" w:rsidR="00BE0B57" w:rsidRPr="00831EE4" w:rsidRDefault="00BE0B57" w:rsidP="00831EE4">
      <w:pPr>
        <w:shd w:val="clear" w:color="auto" w:fill="DBE5F1" w:themeFill="accent1" w:themeFillTint="33"/>
        <w:spacing w:before="480"/>
        <w:rPr>
          <w:b/>
          <w:sz w:val="32"/>
          <w:lang w:val="en-US"/>
        </w:rPr>
      </w:pPr>
      <w:r w:rsidRPr="00831EE4">
        <w:rPr>
          <w:b/>
          <w:sz w:val="32"/>
          <w:lang w:val="en-US"/>
        </w:rPr>
        <w:t>CSR 3</w:t>
      </w:r>
    </w:p>
    <w:p w14:paraId="36225866" w14:textId="77777777" w:rsidR="00BE0B57" w:rsidRPr="00831EE4" w:rsidRDefault="00BE0B57" w:rsidP="00831EE4">
      <w:pPr>
        <w:jc w:val="left"/>
        <w:rPr>
          <w:b/>
          <w:color w:val="0000FF"/>
          <w:lang w:val="en-US"/>
        </w:rPr>
      </w:pPr>
      <w:r w:rsidRPr="00831EE4">
        <w:rPr>
          <w:b/>
          <w:lang w:val="en-US"/>
        </w:rPr>
        <w:t>Simplify regulation, improve regulatory tools and reduce administrative burden for companies by streamlining and digitalising administrative processes, completing the regulatory frameworks for environmental licensing and granting concession agreements on the seashore. Review and remove the high entry barriers to the exercise of professional services and to new entrants to product markets. Improve the governance of the national research, development and innovation system by reducing the fragmentation of research policy management and funding sources, and by facilitating access to finance for start-ups and scale-ups, including developing local private equity and venture capital markets with state-sponsored initiatives to mobilise investment. Streamline judicial proceedings and curtail their length by accelerating civil proceedings, adopting a code on alternative dispute resolution mechanisms, further revising the code of judges, and continuing efforts to accelerate the judicial resolution of disputes related to public procurement.</w:t>
      </w:r>
    </w:p>
    <w:p w14:paraId="5EA60F6E" w14:textId="37F06E78" w:rsidR="00BE0B57" w:rsidRPr="00831EE4" w:rsidRDefault="00BE0B57">
      <w:pPr>
        <w:rPr>
          <w:lang w:val="en-US"/>
        </w:rPr>
      </w:pPr>
      <w:r w:rsidRPr="00831EE4">
        <w:rPr>
          <w:lang w:val="en-US"/>
        </w:rPr>
        <w:t xml:space="preserve">The Ministry of </w:t>
      </w:r>
      <w:r w:rsidR="006A1D8E">
        <w:rPr>
          <w:lang w:val="en-US"/>
        </w:rPr>
        <w:t xml:space="preserve">Economy and </w:t>
      </w:r>
      <w:r w:rsidRPr="00831EE4">
        <w:rPr>
          <w:lang w:val="en-US"/>
        </w:rPr>
        <w:t>Finance</w:t>
      </w:r>
      <w:r w:rsidR="006A1D8E">
        <w:rPr>
          <w:lang w:val="en-US"/>
        </w:rPr>
        <w:t xml:space="preserve"> </w:t>
      </w:r>
      <w:r w:rsidRPr="00831EE4">
        <w:rPr>
          <w:lang w:val="en-US"/>
        </w:rPr>
        <w:t>is facilitating access to finance for start-ups and scale-ups through projects implemented under the ERDF, CF and ESF+ programmes. These include the development of Technology Transfer Office networks across universities and research centres, promoting the commercial exploitation of research results produced by public research organisations. A call is also under preparation for the creation and reinforcement of Competence Centres, equipped with the necessary infrastructure and expertise to support innovation in key sectors of the Greek economy. The Centres will provide specialised services and promote technology transfer to enterprises, particularly SMEs, thereby enhancing access to finance and mobilising private investment for innovative businesses.</w:t>
      </w:r>
    </w:p>
    <w:p w14:paraId="23AAC8A7" w14:textId="77777777" w:rsidR="00BE0B57" w:rsidRPr="00831EE4" w:rsidRDefault="00BE0B57" w:rsidP="00831EE4">
      <w:pPr>
        <w:rPr>
          <w:lang w:val="en-US"/>
        </w:rPr>
      </w:pPr>
      <w:r w:rsidRPr="00831EE4">
        <w:rPr>
          <w:lang w:val="en-US"/>
        </w:rPr>
        <w:t xml:space="preserve">The Hellenic Development Bank (HDB) has implemented a series of initiatives to enhance access to finance and support entrepreneurship. These include the launch of the HDB Academy, a digital knowledge platform for Small and Medium-sized Enterprises (SMEs), providing educational content, practical tools, and diagnostic instruments. The Bank has also proceeded with the separate activation of the Microfinance Fund under the TEPIX III programme, aimed at the co-financing of microloans through Microfinance Institutions for very small entities—often newly established enterprises that had not previously received financing. In parallel, the Microloan Fund for Recovery from Natural Disasters was implemented, targeting very small and small enterprises in the Region of Thessaly to support their recovery from the adverse impacts of recent natural disasters on their operations. Furthermore, HDB has supported the establishment and participation in 11 new Venture Capital and Private Equity Investment Funds, with the Hellenic Development Bank of Investments (HDBI) acting as the anchor investor, alongside other institutional and private investors. </w:t>
      </w:r>
    </w:p>
    <w:p w14:paraId="69E07267" w14:textId="77777777" w:rsidR="00BE0B57" w:rsidRPr="00831EE4" w:rsidRDefault="00BE0B57" w:rsidP="00831EE4">
      <w:pPr>
        <w:rPr>
          <w:lang w:val="en-US"/>
        </w:rPr>
      </w:pPr>
      <w:r w:rsidRPr="00831EE4">
        <w:rPr>
          <w:lang w:val="en-US"/>
        </w:rPr>
        <w:t>Administered by the Hellenic Development Bank, the Just Transition Portfolio Fund, co-financed by the European Union under the NSRF 2021-2027 and the Just Transition Mechanism 2021-2027, facilitates access to favorable financing for SMEs operating in the Region of Western Macedonia and selected municipalities of the Peloponnese. The Just Transition Loans Fund offers investment loans and working capital on highly favorable terms, while the Investment Loan Guarantee Fund provides interest rate subsidies and guarantee commission subsidies to improve SMEs’ access to finance.</w:t>
      </w:r>
    </w:p>
    <w:p w14:paraId="6291BB0C" w14:textId="374BD7AD" w:rsidR="00BE0B57" w:rsidRPr="00831EE4" w:rsidRDefault="00BE0B57" w:rsidP="00831EE4">
      <w:pPr>
        <w:rPr>
          <w:lang w:val="en-US"/>
        </w:rPr>
      </w:pPr>
      <w:r w:rsidRPr="00831EE4">
        <w:rPr>
          <w:lang w:val="en-US"/>
        </w:rPr>
        <w:t>Looking ahead, the activation of the Patent Fund, a new financial initiative of the Hellenic Development Bank (HDB), is planned for 2026. The Fund is designed within the framework of the “Competitiveness 2021</w:t>
      </w:r>
      <w:r w:rsidR="00896DC3">
        <w:rPr>
          <w:lang w:val="en-US"/>
        </w:rPr>
        <w:t>-</w:t>
      </w:r>
      <w:r w:rsidRPr="00831EE4">
        <w:rPr>
          <w:lang w:val="en-US"/>
        </w:rPr>
        <w:t>2027” Operational Programme of the National Strategic Reference Framework (NSRF) and aims to provide quasi equity financing to support the acquisition and exploitation of patents primarily submitted by Greek start-ups and newly established enterprises, as well as by companies in their growth phase. In addition, the Hellenic Development Bank of Investments (HDBI) will participate, during the period Q4 2025</w:t>
      </w:r>
      <w:r w:rsidR="00896DC3">
        <w:rPr>
          <w:lang w:val="en-US"/>
        </w:rPr>
        <w:t>-</w:t>
      </w:r>
      <w:r w:rsidRPr="00831EE4">
        <w:rPr>
          <w:lang w:val="en-US"/>
        </w:rPr>
        <w:t>Q4 2026, in approximately 12 new investment schemes, with the new funds expected to focus on key sectors such as Technology Transfer, Startups, Scaleups, Innovative SMEs, as well as next-stage growth funds, and the creation of infrastructure and life sciences funds. New investment and strategic partnerships with institutional investors abroad are also being planned.</w:t>
      </w:r>
    </w:p>
    <w:p w14:paraId="0BC1AF34" w14:textId="77777777" w:rsidR="00BE0B57" w:rsidRPr="00831EE4" w:rsidRDefault="00BE0B57" w:rsidP="00831EE4">
      <w:pPr>
        <w:rPr>
          <w:lang w:val="en-US"/>
        </w:rPr>
      </w:pPr>
      <w:r w:rsidRPr="00831EE4">
        <w:rPr>
          <w:lang w:val="en-US"/>
        </w:rPr>
        <w:t>Furthermore, for the reference period, and with a view to reducing the administrative burden for companies through the streamlining and digitalisation of tax processes, the Independent Authority for Public Revenue (IAPR) developed the new mobile application “myAADEapp” providing citizens and businesses with direct and convenient digital access to tax services from their mobile devices. Through the application, business entities can now use their smartphones or tablets to check their tax accounts and make payments, monitor the progress of their requests, receive instant notifications and updates, and download and store important documents. In addition, a new mobile application for smartphones and tablets has been launched, radically simplifying the registration process for business entities required to participate in the Digital Customer Registry.</w:t>
      </w:r>
    </w:p>
    <w:p w14:paraId="206B0A53" w14:textId="77777777" w:rsidR="00BE0B57" w:rsidRPr="00831EE4" w:rsidRDefault="00BE0B57" w:rsidP="00831EE4">
      <w:pPr>
        <w:rPr>
          <w:lang w:val="en-US"/>
        </w:rPr>
      </w:pPr>
      <w:r w:rsidRPr="00831EE4">
        <w:rPr>
          <w:lang w:val="en-US"/>
        </w:rPr>
        <w:t>By digitalizing business registry procedures, the IAPR has also deployed a new system enabling businesses to declare the termination of their operations electronically, while the tax registry of IAPR is automatically updated with changes concerning Limited Liability Companies (EPE) and Private Capital Companies (IKE) through interoperability with the General Commercial Registry (GEMI). Moreover, a dedicated application has been introduced on the myAADE digital portal for the declaration, modification, or termination of Activity Codes (KAD) and VAT regimes. In addition, the new Integrated Taxpayer Service Center (KEF) of the IAPR has become operational. The KEF significantly reduces waiting times and provides citizens and businesses with fast, direct, and well-documented assistance. It enables taxpayers to resolve their issues either by phone or digitally and manages all inquiries through an intelligent digital ticketing and monitoring system.</w:t>
      </w:r>
    </w:p>
    <w:p w14:paraId="4577E0FA" w14:textId="77777777" w:rsidR="00BE0B57" w:rsidRPr="00831EE4" w:rsidRDefault="00BE0B57" w:rsidP="00831EE4">
      <w:pPr>
        <w:rPr>
          <w:lang w:val="en-US"/>
        </w:rPr>
      </w:pPr>
      <w:r w:rsidRPr="00831EE4">
        <w:rPr>
          <w:lang w:val="en-US"/>
        </w:rPr>
        <w:t>As part of the ongoing effort to further facilitate and improve services for citizens and businesses, during the following period, the development of the IAPR’s Legislation Integration and Content Management System is underway. At the same time, improvements and extensions to the Integrated Taxpayer Service Center (KEF) are in progress, including the addition of new functionalities and the development of a modern omnichannel service platform. Within the framework of the project “Development of the new unified Integrated Tax Information System of the IAPR”, the redesign and implementation of the Tax Registry procedures are also in progress, aiming at the optimal service of citizens and businesses. Finally, among other digitalization initiatives, the digitalization of the issuance process for the transit log of private vessels flying foreign flags is also planned.</w:t>
      </w:r>
    </w:p>
    <w:p w14:paraId="22FEB3F5" w14:textId="451658E7" w:rsidR="00BE0B57" w:rsidRPr="00831EE4" w:rsidRDefault="00BE0B57">
      <w:pPr>
        <w:rPr>
          <w:lang w:val="en-US"/>
        </w:rPr>
      </w:pPr>
      <w:r w:rsidRPr="00831EE4">
        <w:rPr>
          <w:lang w:val="en-US"/>
        </w:rPr>
        <w:t>Furthermore, the National Spatial Strategy for the Marine Space (NMSS) was adopted in April 2025, by the Ministry of the Environment and Energy, establish</w:t>
      </w:r>
      <w:r w:rsidR="006A1D8E">
        <w:rPr>
          <w:lang w:val="en-US"/>
        </w:rPr>
        <w:t>ing</w:t>
      </w:r>
      <w:r w:rsidRPr="00831EE4">
        <w:rPr>
          <w:lang w:val="en-US"/>
        </w:rPr>
        <w:t xml:space="preserve"> clear spatial planning rules for the sustainable development and management of marine and coastal zones, including the seashore. It enhances legal certainty for investors and public authorities in the licensing and ensures coherence between environmental protection and the development of key economic sectors such as offshore renewable energy, aquaculture, shipping, and tourism. In this way, it facilitates environmentally sound and climate-resilient investment, in full alignment with the EU Marine Strategy Framework Directive and the EU Biodiversity Strategy 2030. </w:t>
      </w:r>
    </w:p>
    <w:p w14:paraId="204A8F61" w14:textId="77777777" w:rsidR="00BE0B57" w:rsidRPr="00831EE4" w:rsidRDefault="00BE0B57">
      <w:pPr>
        <w:rPr>
          <w:lang w:val="en-US"/>
        </w:rPr>
      </w:pPr>
      <w:r w:rsidRPr="00831EE4">
        <w:rPr>
          <w:lang w:val="en-US"/>
        </w:rPr>
        <w:t xml:space="preserve">The regulatory framework for environmental licensing has been streamlined while standard environmental commitments have been established for energy storage stations and a new classification system for the environmental permitting of onshore wind and photovoltaic power plants has been introduced, streamlining and clarifying approval processes for renewable energy projects. </w:t>
      </w:r>
    </w:p>
    <w:p w14:paraId="676B39C1" w14:textId="3A217FBA" w:rsidR="00BE0B57" w:rsidRPr="00831EE4" w:rsidRDefault="006A1D8E">
      <w:pPr>
        <w:rPr>
          <w:lang w:val="en-US"/>
        </w:rPr>
      </w:pPr>
      <w:r>
        <w:rPr>
          <w:lang w:val="en-US"/>
        </w:rPr>
        <w:t>T</w:t>
      </w:r>
      <w:r w:rsidR="00BE0B57" w:rsidRPr="00831EE4">
        <w:rPr>
          <w:lang w:val="en-US"/>
        </w:rPr>
        <w:t xml:space="preserve">he digitization of the licensing process for RES projects, </w:t>
      </w:r>
      <w:r>
        <w:rPr>
          <w:lang w:val="en-US"/>
        </w:rPr>
        <w:t xml:space="preserve">scheduled to be completed in 2025, </w:t>
      </w:r>
      <w:r w:rsidR="00BE0B57" w:rsidRPr="00831EE4">
        <w:rPr>
          <w:lang w:val="en-US"/>
        </w:rPr>
        <w:t xml:space="preserve"> will serve as the unified digital licensing portal for RES projects, </w:t>
      </w:r>
      <w:r>
        <w:rPr>
          <w:lang w:val="en-US"/>
        </w:rPr>
        <w:t xml:space="preserve">, </w:t>
      </w:r>
      <w:r w:rsidR="00BE0B57" w:rsidRPr="00831EE4">
        <w:rPr>
          <w:lang w:val="en-US"/>
        </w:rPr>
        <w:t>interoperating with the digital systems of licensing authorities and once completed it will contribute to the acceleration of the licensing process, through reduction of bureaucracy as well as of errors and delays, minimization of mistakes through automated document and data verification and finally through transparency and real-time monitoring.</w:t>
      </w:r>
    </w:p>
    <w:p w14:paraId="17937FD3" w14:textId="77777777" w:rsidR="00BE0B57" w:rsidRPr="00831EE4" w:rsidRDefault="00BE0B57" w:rsidP="00831EE4">
      <w:pPr>
        <w:rPr>
          <w:lang w:val="en-US"/>
        </w:rPr>
      </w:pPr>
      <w:r w:rsidRPr="00831EE4">
        <w:rPr>
          <w:lang w:val="en-US"/>
        </w:rPr>
        <w:t>Moreover, the following measures are currently being implemented by the Ministry of Foreign Affairs:</w:t>
      </w:r>
    </w:p>
    <w:p w14:paraId="109B8BE9" w14:textId="3D86D8FC" w:rsidR="00BE0B57" w:rsidRPr="00831EE4" w:rsidRDefault="00BE0B57" w:rsidP="00831EE4">
      <w:pPr>
        <w:rPr>
          <w:lang w:val="en-US"/>
        </w:rPr>
      </w:pPr>
      <w:r w:rsidRPr="00831EE4">
        <w:rPr>
          <w:lang w:val="en-US"/>
        </w:rPr>
        <w:t>The digital platform “myOEYlive” offers online service to Greek exporters and potential foreign investors to Greece by the Greek Economic and Commercial Affairs Offices located in Greek embassies and consulates around the world and contributes to upgrading services offered to businesses. It began operating on a pilot basis in six Offices in Q1 2025 and by October 2025, it will expand to an additional twenty Offices.</w:t>
      </w:r>
    </w:p>
    <w:p w14:paraId="3A531D59" w14:textId="77777777" w:rsidR="00BE0B57" w:rsidRPr="00831EE4" w:rsidRDefault="00BE0B57" w:rsidP="00831EE4">
      <w:pPr>
        <w:rPr>
          <w:lang w:val="en-US"/>
        </w:rPr>
      </w:pPr>
      <w:r w:rsidRPr="00831EE4">
        <w:rPr>
          <w:lang w:val="en-US"/>
        </w:rPr>
        <w:t>Furthermore, the establishment of Regional Extroversion Offices creates a cooperation mechanism among Greek Regions, the Ministry of Foreign Affairs, “Enterprise Greece” and “Export Credit Greece”. This measure enhances the exporting capacity of Greek businesses, offers local businesses an access point for information and support, and better coordinates actions, and two-way information exchange, while offering a targeted approach to specific markets and sectors.</w:t>
      </w:r>
    </w:p>
    <w:p w14:paraId="21999F8C" w14:textId="77777777" w:rsidR="00BE0B57" w:rsidRPr="00831EE4" w:rsidRDefault="00BE0B57" w:rsidP="00831EE4">
      <w:pPr>
        <w:rPr>
          <w:lang w:val="en-US"/>
        </w:rPr>
      </w:pPr>
      <w:r w:rsidRPr="00831EE4">
        <w:rPr>
          <w:lang w:val="en-US"/>
        </w:rPr>
        <w:t>For the upcoming period, the transformation of “Enterprise Greece” into an integrated hub of extroversion, has been announced in Q3 2025. The reform aims to offer specialised and end-to-end services to businesses and function as a single window for investors and Greek exporters. Additionally, digitalisation of procedures will ensure the operation of Enterprise Greece as a unique access point for exports and investments.</w:t>
      </w:r>
    </w:p>
    <w:p w14:paraId="1D8A8AE3" w14:textId="77777777" w:rsidR="00BE0B57" w:rsidRPr="00831EE4" w:rsidRDefault="00BE0B57" w:rsidP="00831EE4">
      <w:pPr>
        <w:rPr>
          <w:lang w:val="en-US"/>
        </w:rPr>
      </w:pPr>
      <w:r w:rsidRPr="00831EE4">
        <w:rPr>
          <w:lang w:val="en-US"/>
        </w:rPr>
        <w:t>The reform of “Export Credit Greece” includes harmonization with the EU framework for the mandatory transformation of ECG into an Export Credit Agency (ECA), the establishment of two subsidiary companies for short-term credit insurance and factoring, legislative activation of state guarantees and cooperation with European Investment Bank.</w:t>
      </w:r>
    </w:p>
    <w:p w14:paraId="66FEF5D0" w14:textId="77777777" w:rsidR="00BE0B57" w:rsidRPr="00831EE4" w:rsidRDefault="00BE0B57" w:rsidP="00831EE4">
      <w:pPr>
        <w:rPr>
          <w:lang w:val="en-US"/>
        </w:rPr>
      </w:pPr>
      <w:r w:rsidRPr="00831EE4">
        <w:rPr>
          <w:lang w:val="en-US"/>
        </w:rPr>
        <w:t>The digitalization of licencing procedures for the export of controlled items, includes the creation of a digital platform for issuing certificates/licenses/approvals that fall within the competence of the Ministry of Foreign Affairs. The platform will interoperate with the information system of the Single Window of Independent Authority for Public Revenue (AADE).</w:t>
      </w:r>
    </w:p>
    <w:p w14:paraId="5E29141D" w14:textId="77777777" w:rsidR="00BE0B57" w:rsidRPr="00831EE4" w:rsidRDefault="00BE0B57" w:rsidP="00831EE4">
      <w:pPr>
        <w:rPr>
          <w:lang w:val="en-US"/>
        </w:rPr>
      </w:pPr>
      <w:r w:rsidRPr="00831EE4">
        <w:rPr>
          <w:lang w:val="en-US"/>
        </w:rPr>
        <w:t>The digital platform for trade facilitation includes the creation of a digital platform presenting government actions undertaken to facilitate trade on the basis of the National Strategy and Roadmap for the Facilitation of Foreign Trade for the period 2022-2026.</w:t>
      </w:r>
    </w:p>
    <w:p w14:paraId="68F5776C" w14:textId="77777777" w:rsidR="00BE0B57" w:rsidRPr="00831EE4" w:rsidRDefault="00BE0B57" w:rsidP="00831EE4">
      <w:pPr>
        <w:rPr>
          <w:lang w:val="en-US"/>
        </w:rPr>
      </w:pPr>
      <w:r w:rsidRPr="00831EE4">
        <w:rPr>
          <w:lang w:val="en-US"/>
        </w:rPr>
        <w:t>The development of a new integrated information system for the management of sensitive information within the framework of the national foreign direct investment control mechanism, planned for 2026, refers to the technological support for the implementation of Regulation (EU) 2019/452 on the screening of investments for security/public order reasons and for the national foreign investment screening mechanism, which is currently under establishment, until its full operation.</w:t>
      </w:r>
    </w:p>
    <w:p w14:paraId="2BF350BD" w14:textId="2432DD87" w:rsidR="00BE0B57" w:rsidRPr="00831EE4" w:rsidRDefault="00BE0B57" w:rsidP="00831EE4">
      <w:pPr>
        <w:rPr>
          <w:lang w:val="en-US"/>
        </w:rPr>
      </w:pPr>
      <w:r w:rsidRPr="00831EE4">
        <w:rPr>
          <w:lang w:val="en-US"/>
        </w:rPr>
        <w:t>In addition, the implementation of the Trade Facilitation Roadmap 2022-2026 is in progress. The National Strategy for Trade Facilitation (2020</w:t>
      </w:r>
      <w:r w:rsidR="00896DC3">
        <w:rPr>
          <w:lang w:val="en-US"/>
        </w:rPr>
        <w:t>-</w:t>
      </w:r>
      <w:r w:rsidRPr="00831EE4">
        <w:rPr>
          <w:lang w:val="en-US"/>
        </w:rPr>
        <w:t>present), is being coordinated by the Ministry of Foreign Affairs, aiming to streamline administrative procedures for companies operating in Greece. Its implementation focuses on actions of reviewing and simplifying existing pre-customs and customs procedures, identifying unnecessary administrative burdens and/or costs for companies, allowing for the establishment of a Single and Integrated IT system (Single Window). Digital tools are to be developed to facilitate services (all pre-customs procedures), advancing the functioning of the EU Single Market. The rollout of the Single Window is completed and the adoption of a Joint Ministerial Decision for its operation is imminent (October 2025).</w:t>
      </w:r>
    </w:p>
    <w:p w14:paraId="306D28B8" w14:textId="77777777" w:rsidR="00BE0B57" w:rsidRPr="00831EE4" w:rsidRDefault="00BE0B57" w:rsidP="00831EE4">
      <w:pPr>
        <w:rPr>
          <w:lang w:val="en-US"/>
        </w:rPr>
      </w:pPr>
      <w:r w:rsidRPr="00831EE4">
        <w:rPr>
          <w:lang w:val="en-US"/>
        </w:rPr>
        <w:t>On June 28, 2022, the Governmental Trade Facilitation Committee unanimously approved the Trade Facilitation Roadmap 2022-2026. Within the framework of this reform, the Ministry of Foreign Affairs is pursuing the objective of digitalising its services, whereas special effort is given to the digitalization of the Dual-Use Goods &amp; Arms/Ammunition Export Licences. A request for funding for the digitalisation of the export licensing process and for the development of a Government Committee website, was submitted through NSRF 2021-2027.</w:t>
      </w:r>
    </w:p>
    <w:p w14:paraId="66BFEE50" w14:textId="12FF06C2" w:rsidR="00BE0B57" w:rsidRPr="00831EE4" w:rsidRDefault="00BE0B57" w:rsidP="00831EE4">
      <w:pPr>
        <w:rPr>
          <w:lang w:val="en-US"/>
        </w:rPr>
      </w:pPr>
      <w:r w:rsidRPr="00831EE4">
        <w:rPr>
          <w:lang w:val="en-US"/>
        </w:rPr>
        <w:t>Furthermore, in cooperation with the Ministry of Infrastructure &amp; Transport, Greece officially adopted (n. 5054/2023 FEK A 159/28</w:t>
      </w:r>
      <w:r w:rsidR="00436E4A">
        <w:rPr>
          <w:lang w:val="en-US"/>
        </w:rPr>
        <w:t>.</w:t>
      </w:r>
      <w:r w:rsidRPr="00831EE4">
        <w:rPr>
          <w:lang w:val="en-US"/>
        </w:rPr>
        <w:t>9</w:t>
      </w:r>
      <w:r w:rsidR="00436E4A">
        <w:rPr>
          <w:lang w:val="en-US"/>
        </w:rPr>
        <w:t>.20</w:t>
      </w:r>
      <w:r w:rsidRPr="00831EE4">
        <w:rPr>
          <w:lang w:val="en-US"/>
        </w:rPr>
        <w:t>23) the e-CMR Protocol (20</w:t>
      </w:r>
      <w:r w:rsidR="003E1DC9">
        <w:rPr>
          <w:lang w:val="en-US"/>
        </w:rPr>
        <w:t>/</w:t>
      </w:r>
      <w:r w:rsidRPr="00831EE4">
        <w:rPr>
          <w:lang w:val="en-US"/>
        </w:rPr>
        <w:t>02</w:t>
      </w:r>
      <w:r w:rsidR="003E1DC9">
        <w:rPr>
          <w:lang w:val="en-US"/>
        </w:rPr>
        <w:t>/</w:t>
      </w:r>
      <w:r w:rsidRPr="00831EE4">
        <w:rPr>
          <w:lang w:val="en-US"/>
        </w:rPr>
        <w:t xml:space="preserve">2008), supplementing the 1956 Convention on the International Carriage of Goods by Road (CMR). E-CMR enhances transparency and security, providing real-time access to critical data concerning pick-up and delivery processes electronically.  With the same aims, the Ministry of Rural Development &amp; Food advanced the electronic platform, through which export health certificates are managed. The </w:t>
      </w:r>
      <w:r w:rsidR="006A1D8E">
        <w:rPr>
          <w:lang w:val="en-US"/>
        </w:rPr>
        <w:t>fir</w:t>
      </w:r>
      <w:r w:rsidRPr="00831EE4">
        <w:rPr>
          <w:lang w:val="en-US"/>
        </w:rPr>
        <w:t xml:space="preserve">st implementation phase has been completed (including approximately 150 health certificates); the goal of the </w:t>
      </w:r>
      <w:r w:rsidR="006A1D8E">
        <w:rPr>
          <w:lang w:val="en-US"/>
        </w:rPr>
        <w:t>second</w:t>
      </w:r>
      <w:r w:rsidRPr="00831EE4">
        <w:rPr>
          <w:lang w:val="en-US"/>
        </w:rPr>
        <w:t xml:space="preserve"> phase is to include all the certificates required for the export of animal products. The system is operational and has been uploaded on the gov.gr platform.</w:t>
      </w:r>
    </w:p>
    <w:p w14:paraId="6C265A3D" w14:textId="77777777" w:rsidR="00BE0B57" w:rsidRPr="00831EE4" w:rsidRDefault="00BE0B57" w:rsidP="00831EE4">
      <w:pPr>
        <w:rPr>
          <w:lang w:val="en-US"/>
        </w:rPr>
      </w:pPr>
      <w:r w:rsidRPr="00831EE4">
        <w:rPr>
          <w:lang w:val="en-US"/>
        </w:rPr>
        <w:t>In addition, the following measures are currently being implemented by the Ministry of Development.</w:t>
      </w:r>
    </w:p>
    <w:p w14:paraId="1660B493" w14:textId="3F714738" w:rsidR="00BE0B57" w:rsidRPr="00831EE4" w:rsidRDefault="006A1D8E" w:rsidP="00831EE4">
      <w:pPr>
        <w:rPr>
          <w:lang w:val="en-US"/>
        </w:rPr>
      </w:pPr>
      <w:r>
        <w:rPr>
          <w:lang w:val="en-US"/>
        </w:rPr>
        <w:t>C</w:t>
      </w:r>
      <w:r w:rsidR="00BE0B57" w:rsidRPr="00831EE4">
        <w:rPr>
          <w:lang w:val="en-US"/>
        </w:rPr>
        <w:t>oncern</w:t>
      </w:r>
      <w:r>
        <w:rPr>
          <w:lang w:val="en-US"/>
        </w:rPr>
        <w:t>ing</w:t>
      </w:r>
      <w:r w:rsidR="00BE0B57" w:rsidRPr="00831EE4">
        <w:rPr>
          <w:lang w:val="en-US"/>
        </w:rPr>
        <w:t xml:space="preserve"> the New Development Law, </w:t>
      </w:r>
      <w:r>
        <w:rPr>
          <w:lang w:val="en-US"/>
        </w:rPr>
        <w:t>it aims to resolve</w:t>
      </w:r>
      <w:r w:rsidR="00BE0B57" w:rsidRPr="00831EE4">
        <w:rPr>
          <w:lang w:val="en-US"/>
        </w:rPr>
        <w:t xml:space="preserve"> challenges connected to previous similar legal initiatives. Simultaneously, three new state aid schemes have been published targeting strategic sectors of the national economy (Large Investments, Special Aid Areas, Manufacturing and Supply Chain). More state aid rounds will be activated throughout 2026. At the same time, the Development Laws’ Information System is being implemented according to its schedule. It is estimated that its completion will be reached during the first quarter of 2026.</w:t>
      </w:r>
    </w:p>
    <w:p w14:paraId="16FC19C9" w14:textId="77777777" w:rsidR="00BE0B57" w:rsidRPr="00831EE4" w:rsidRDefault="00BE0B57" w:rsidP="00831EE4">
      <w:pPr>
        <w:rPr>
          <w:lang w:val="en-US"/>
        </w:rPr>
      </w:pPr>
      <w:r w:rsidRPr="00831EE4">
        <w:rPr>
          <w:lang w:val="en-US"/>
        </w:rPr>
        <w:t>Measures planned for 2026 include:</w:t>
      </w:r>
    </w:p>
    <w:p w14:paraId="6075F834" w14:textId="5F8CA578" w:rsidR="00BE0B57" w:rsidRPr="00831EE4" w:rsidRDefault="003F1EA7" w:rsidP="00831EE4">
      <w:pPr>
        <w:rPr>
          <w:lang w:val="en-US"/>
        </w:rPr>
      </w:pPr>
      <w:r>
        <w:rPr>
          <w:lang w:val="en-US"/>
        </w:rPr>
        <w:t>The a</w:t>
      </w:r>
      <w:r w:rsidR="00BE0B57" w:rsidRPr="00831EE4">
        <w:rPr>
          <w:lang w:val="en-US"/>
        </w:rPr>
        <w:t>doption of primary legislation for the simplification of licensing procedures for additional economic activities. The project provides for the selection of additional economic activities for the simplification of their licensing procedures and their approval. Subsequently, it is envisaged that inter-ministerial working groups will be established for these additional economic activities in order to proceed with the necessary actions for the enactment of primary legislation. The economic activities that will be proposed for simplification are being processed. Completion of the project is expected by the end of June 2027.</w:t>
      </w:r>
    </w:p>
    <w:p w14:paraId="28BFC7F8" w14:textId="51052FC5" w:rsidR="00BE0B57" w:rsidRPr="00831EE4" w:rsidRDefault="00BE0B57" w:rsidP="00831EE4">
      <w:pPr>
        <w:rPr>
          <w:lang w:val="en-US"/>
        </w:rPr>
      </w:pPr>
      <w:r w:rsidRPr="00831EE4">
        <w:rPr>
          <w:lang w:val="en-US"/>
        </w:rPr>
        <w:t xml:space="preserve">Simplification of the business environment – ​​Reduction of bureaucracy and administrative burdens by 25%. The project includes 12 legislative and non-legislative Interventions, with the aim of simplifying the </w:t>
      </w:r>
      <w:r w:rsidR="003F1EA7">
        <w:rPr>
          <w:lang w:val="en-US"/>
        </w:rPr>
        <w:t>b</w:t>
      </w:r>
      <w:r w:rsidRPr="00831EE4">
        <w:rPr>
          <w:lang w:val="en-US"/>
        </w:rPr>
        <w:t xml:space="preserve">usiness </w:t>
      </w:r>
      <w:r w:rsidR="003F1EA7">
        <w:rPr>
          <w:lang w:val="en-US"/>
        </w:rPr>
        <w:t>e</w:t>
      </w:r>
      <w:r w:rsidRPr="00831EE4">
        <w:rPr>
          <w:lang w:val="en-US"/>
        </w:rPr>
        <w:t xml:space="preserve">nvironment. </w:t>
      </w:r>
      <w:r w:rsidR="003F1EA7">
        <w:rPr>
          <w:lang w:val="en-US"/>
        </w:rPr>
        <w:t>T</w:t>
      </w:r>
      <w:r w:rsidRPr="00831EE4">
        <w:rPr>
          <w:lang w:val="en-US"/>
        </w:rPr>
        <w:t>he General Secretariat of Industry will act as a coordinator in the implementation of these interventions, which will include</w:t>
      </w:r>
      <w:r w:rsidR="003F1EA7">
        <w:rPr>
          <w:lang w:val="en-US"/>
        </w:rPr>
        <w:t xml:space="preserve"> the following</w:t>
      </w:r>
      <w:r w:rsidRPr="00831EE4">
        <w:rPr>
          <w:lang w:val="en-US"/>
        </w:rPr>
        <w:t>: Abolition/Replacement of the Industrial Movement Card, Upgrading the electronic Licensing &amp; Inspections system, Simplification of the business closure process, Improvement of the framework for Research and Technology, Removal of overlaps in common data requested when completing and submitting financial statements, Unification of Consumer Protection Legislation into a single Code, Simplification of procedures &amp; supporting documents during the modernization of manufacturing facilities, Improvements in the institutional framework for the establishment of a “Single Large Unit Business Park” (SLBBP), Expansion of industries to adjacent properties that have been designated as incompatible land uses, Solving problems of characterizing high-productivity agricultural land in cases of industrial facilities, Possibility of functional consolidation of plots/agricultural plots in areas of development of Business Parks, Improvement of access conditions of industrial plots to adjacent road networks. The project started in September 2025.</w:t>
      </w:r>
    </w:p>
    <w:p w14:paraId="60675034" w14:textId="487DF7FA" w:rsidR="00BE0B57" w:rsidRPr="00831EE4" w:rsidRDefault="00BE0B57" w:rsidP="00831EE4">
      <w:pPr>
        <w:rPr>
          <w:lang w:val="en-US"/>
        </w:rPr>
      </w:pPr>
      <w:r w:rsidRPr="00831EE4">
        <w:rPr>
          <w:lang w:val="en-US"/>
        </w:rPr>
        <w:t xml:space="preserve">Another pivotal initiative concerns the reform of the Foreign Direct Investments’ legal framework. </w:t>
      </w:r>
      <w:r>
        <w:t>Τ</w:t>
      </w:r>
      <w:r w:rsidRPr="00831EE4">
        <w:rPr>
          <w:lang w:val="en-US"/>
        </w:rPr>
        <w:t xml:space="preserve">he new framework will introduce legal improvements with an emphasis on  FDI with a size below </w:t>
      </w:r>
      <w:r w:rsidR="009D5F8F">
        <w:rPr>
          <w:lang w:val="en-US"/>
        </w:rPr>
        <w:t>€</w:t>
      </w:r>
      <w:r w:rsidRPr="00831EE4">
        <w:rPr>
          <w:lang w:val="en-US"/>
        </w:rPr>
        <w:t xml:space="preserve">20 million. This initiative will be completed by 2026.  </w:t>
      </w:r>
    </w:p>
    <w:p w14:paraId="2E3601AB" w14:textId="70BAC7F4" w:rsidR="00BE0B57" w:rsidRPr="00831EE4" w:rsidRDefault="003F1EA7" w:rsidP="00831EE4">
      <w:pPr>
        <w:rPr>
          <w:lang w:val="en-US"/>
        </w:rPr>
      </w:pPr>
      <w:r>
        <w:rPr>
          <w:lang w:val="en-US"/>
        </w:rPr>
        <w:t xml:space="preserve">In order to </w:t>
      </w:r>
      <w:r w:rsidR="00564223">
        <w:rPr>
          <w:lang w:val="en-US"/>
        </w:rPr>
        <w:t>review and remove entry barriers</w:t>
      </w:r>
      <w:r w:rsidR="00BE0B57" w:rsidRPr="00831EE4">
        <w:rPr>
          <w:lang w:val="en-US"/>
        </w:rPr>
        <w:t xml:space="preserve"> the Ministry of Development</w:t>
      </w:r>
      <w:r w:rsidR="000C041F">
        <w:rPr>
          <w:lang w:val="en-US"/>
        </w:rPr>
        <w:t xml:space="preserve"> is currently implementing a r</w:t>
      </w:r>
      <w:r w:rsidR="00BE0B57" w:rsidRPr="00831EE4">
        <w:rPr>
          <w:lang w:val="en-US"/>
        </w:rPr>
        <w:t>eview and amendment of Regulations on the Marketing/Trade of Products and the Provision of Services (DIEPPY) for the retail distribution of goods. The reform concerns the modernization of legislative and regulatory provisions with an emphasis on market regulations for the marketing and distribution of products, as well as the provision of services in organized trade (indoor and outdoor)/ e-commerce.</w:t>
      </w:r>
    </w:p>
    <w:p w14:paraId="68EAD1DD" w14:textId="1636AF62" w:rsidR="00BE0B57" w:rsidRPr="00831EE4" w:rsidRDefault="000C041F" w:rsidP="00831EE4">
      <w:pPr>
        <w:rPr>
          <w:lang w:val="en-US"/>
        </w:rPr>
      </w:pPr>
      <w:r>
        <w:rPr>
          <w:lang w:val="en-US"/>
        </w:rPr>
        <w:t xml:space="preserve">In addition, </w:t>
      </w:r>
      <w:r w:rsidR="00BE0B57" w:rsidRPr="00831EE4">
        <w:rPr>
          <w:lang w:val="en-US"/>
        </w:rPr>
        <w:t xml:space="preserve">a ministerial decision </w:t>
      </w:r>
      <w:r>
        <w:rPr>
          <w:lang w:val="en-US"/>
        </w:rPr>
        <w:t xml:space="preserve">has been issued </w:t>
      </w:r>
      <w:r w:rsidR="00BE0B57" w:rsidRPr="00831EE4">
        <w:rPr>
          <w:lang w:val="en-US"/>
        </w:rPr>
        <w:t xml:space="preserve">to define a training program for the exercise of the activity of operating forklifts for construction projects classified in specialty 2. </w:t>
      </w:r>
    </w:p>
    <w:p w14:paraId="2F30509E" w14:textId="5C48B07E" w:rsidR="00BE0B57" w:rsidRPr="00831EE4" w:rsidRDefault="00BE0B57" w:rsidP="000C041F">
      <w:pPr>
        <w:rPr>
          <w:lang w:val="en-US"/>
        </w:rPr>
      </w:pPr>
      <w:r w:rsidRPr="00831EE4">
        <w:rPr>
          <w:lang w:val="en-US"/>
        </w:rPr>
        <w:t xml:space="preserve">Measures planned </w:t>
      </w:r>
      <w:r w:rsidR="000C041F">
        <w:rPr>
          <w:lang w:val="en-US"/>
        </w:rPr>
        <w:t xml:space="preserve">by the Ministry of Development </w:t>
      </w:r>
      <w:r w:rsidRPr="00831EE4">
        <w:rPr>
          <w:lang w:val="en-US"/>
        </w:rPr>
        <w:t>for 2026 include</w:t>
      </w:r>
      <w:r w:rsidR="000C041F">
        <w:rPr>
          <w:lang w:val="en-US"/>
        </w:rPr>
        <w:t xml:space="preserve"> a n</w:t>
      </w:r>
      <w:r w:rsidRPr="00831EE4">
        <w:rPr>
          <w:lang w:val="en-US"/>
        </w:rPr>
        <w:t>ew legislative initiative regarding retail commerce entry barriers elimination. This reform will introduce legal improvements considering the OECD Product Market Regulation (PMR) indicators.</w:t>
      </w:r>
      <w:r w:rsidR="000C041F">
        <w:rPr>
          <w:lang w:val="en-US"/>
        </w:rPr>
        <w:t xml:space="preserve"> They also include</w:t>
      </w:r>
      <w:r w:rsidRPr="00831EE4">
        <w:rPr>
          <w:lang w:val="en-US"/>
        </w:rPr>
        <w:t xml:space="preserve"> a study regarding regulatory barriers in goods and services markets (mainly in food, health, transport and fuel markets). This initiative is one of the government's policy priorities and relates in particular to the need to establish a theoretical and practical basis for the need to take action at EU level to regulate the issue of territorial supply constraints.</w:t>
      </w:r>
    </w:p>
    <w:p w14:paraId="6B919271" w14:textId="58490C35" w:rsidR="00BE0B57" w:rsidRPr="00831EE4" w:rsidRDefault="009B5CAC" w:rsidP="00831EE4">
      <w:pPr>
        <w:rPr>
          <w:lang w:val="en-US"/>
        </w:rPr>
      </w:pPr>
      <w:r>
        <w:rPr>
          <w:lang w:val="en-US"/>
        </w:rPr>
        <w:t xml:space="preserve">In addition, </w:t>
      </w:r>
      <w:r w:rsidR="00BE0B57" w:rsidRPr="00831EE4">
        <w:rPr>
          <w:lang w:val="en-US"/>
        </w:rPr>
        <w:t>Presidential Decree 113/12</w:t>
      </w:r>
      <w:r>
        <w:rPr>
          <w:lang w:val="en-US"/>
        </w:rPr>
        <w:t xml:space="preserve"> will be amended by the end of 2026</w:t>
      </w:r>
      <w:r w:rsidR="00BE0B57" w:rsidRPr="00831EE4">
        <w:rPr>
          <w:lang w:val="en-US"/>
        </w:rPr>
        <w:t xml:space="preserve"> to simplify the procedures for accessing the activity of construction machinery operators. </w:t>
      </w:r>
    </w:p>
    <w:p w14:paraId="4AABD91C" w14:textId="6A82C49D" w:rsidR="00BE0B57" w:rsidRPr="00831EE4" w:rsidRDefault="00BE0B57" w:rsidP="00831EE4">
      <w:pPr>
        <w:rPr>
          <w:lang w:val="en-US"/>
        </w:rPr>
      </w:pPr>
      <w:r w:rsidRPr="00831EE4">
        <w:rPr>
          <w:lang w:val="en-US"/>
        </w:rPr>
        <w:t xml:space="preserve">Regarding </w:t>
      </w:r>
      <w:r w:rsidR="009B5CAC">
        <w:rPr>
          <w:lang w:val="en-US"/>
        </w:rPr>
        <w:t>the acceleration of</w:t>
      </w:r>
      <w:r w:rsidRPr="00831EE4">
        <w:rPr>
          <w:lang w:val="en-US"/>
        </w:rPr>
        <w:t xml:space="preserve"> the judicial resolution of disputes related to public procurement”, the Ministry of Development adopted new legislation regarding public procurement dispute resolution (Law 5218/2025) in July 2025, which includes specific measures to discourage dilatory litigation from economic operators, in order to accelerate dispute resolution in public procurement.</w:t>
      </w:r>
    </w:p>
    <w:p w14:paraId="3DB4DBEB" w14:textId="77777777" w:rsidR="00BE0B57" w:rsidRPr="00831EE4" w:rsidRDefault="00BE0B57" w:rsidP="004E78D7">
      <w:pPr>
        <w:spacing w:after="120" w:line="252" w:lineRule="auto"/>
        <w:rPr>
          <w:lang w:val="en-US"/>
        </w:rPr>
      </w:pPr>
      <w:r w:rsidRPr="00831EE4">
        <w:rPr>
          <w:lang w:val="en-US"/>
        </w:rPr>
        <w:t>Concerning the improvement of the governance of the national research, development and innovation system, through the reduction of fragmentation in the management of research policy and funding sources, a project is currently underway, concerning the Validation of the National Strategy for Research, Technological Development and Innovation (NRDI Strategy). In particular, the General Secretariat for Research and Innovation is working on a draft strategic document, which is expected to incorporate comments from the newly established (end of May 2025) National Council for Research, Technological Development and Innovation (ESTEAK), in order to be submitted to the Council of Ministers.</w:t>
      </w:r>
    </w:p>
    <w:p w14:paraId="5E658A8E" w14:textId="77777777" w:rsidR="00BE0B57" w:rsidRPr="00831EE4" w:rsidRDefault="00BE0B57" w:rsidP="004E78D7">
      <w:pPr>
        <w:spacing w:after="120" w:line="252" w:lineRule="auto"/>
        <w:rPr>
          <w:lang w:val="en-US"/>
        </w:rPr>
      </w:pPr>
      <w:r w:rsidRPr="00831EE4">
        <w:rPr>
          <w:lang w:val="en-US"/>
        </w:rPr>
        <w:t>Furthermore, the Registry of Cultural Organizations of the Ministry of Culture, accessible via the website of the Cultural Organizations Portal (portal.culture.gov.gr), is an information system through which non-profit cultural organizations across Greece submit grant proposals in response to annual calls for applications. Through the Registry, the Ministry’s grant application process has been almost entirely digitized. This includes registration in the Registry by submitting supporting documents via e-mail, electronic submission of grant proposals and accompanying documentation, and the automated issuance of grant-related documents such as the special report, expenditure statement, and others. The Registry of Cultural Organizations is continually being improved and upgraded through the ongoing enhancement of electronic registration and application forms. The goal is to fully digitize the Ministry of Culture’s grant process, standardize and automate the issuance of relevant documents, and improve the quality of the services provided.</w:t>
      </w:r>
    </w:p>
    <w:p w14:paraId="4792609F" w14:textId="5ABE52EF" w:rsidR="00BE0B57" w:rsidRPr="00831EE4" w:rsidRDefault="00BE0B57" w:rsidP="004E78D7">
      <w:pPr>
        <w:spacing w:after="120" w:line="252" w:lineRule="auto"/>
        <w:rPr>
          <w:lang w:val="en-US"/>
        </w:rPr>
      </w:pPr>
      <w:r w:rsidRPr="00831EE4">
        <w:rPr>
          <w:lang w:val="en-US"/>
        </w:rPr>
        <w:t>The Hellenic Museum Accreditation Programme aims to transform the country's museum landscape in response to the challenges of modern era, namely, sustainable development, digital transformation, inclusion and social relevance. The Accreditation Programme provides tools that enable participating museums to conform to the standards set in the Law.  Since 2021, the Accreditation Programme is co-funded by NSRF 2014-2020-and 2021</w:t>
      </w:r>
      <w:r w:rsidR="00896DC3">
        <w:rPr>
          <w:lang w:val="en-US"/>
        </w:rPr>
        <w:t>-</w:t>
      </w:r>
      <w:r w:rsidRPr="00831EE4">
        <w:rPr>
          <w:lang w:val="en-US"/>
        </w:rPr>
        <w:t>2027 (Public Sector Reform 2014-2020 and Digital Transformation 2021-2027)</w:t>
      </w:r>
      <w:r w:rsidR="00FA365C">
        <w:rPr>
          <w:lang w:val="en-US"/>
        </w:rPr>
        <w:t>.</w:t>
      </w:r>
      <w:r w:rsidRPr="00831EE4">
        <w:rPr>
          <w:lang w:val="en-US"/>
        </w:rPr>
        <w:t xml:space="preserve"> The Programme includes the development of a dedicated Integrated Information System (IIS) and a Knowledge Base, while providing tools for civil society and community engagement. </w:t>
      </w:r>
      <w:r w:rsidR="00FA365C" w:rsidRPr="00FA365C">
        <w:rPr>
          <w:lang w:val="en-US"/>
        </w:rPr>
        <w:t xml:space="preserve">The policy is successful as its wholehearted adoption by the cultural institutions can testify: more than 40 non-government Museums have initiated their Accreditation process, precisely because they recognize its positive effect. </w:t>
      </w:r>
      <w:r w:rsidR="00FA365C">
        <w:rPr>
          <w:lang w:val="en-US"/>
        </w:rPr>
        <w:t xml:space="preserve"> </w:t>
      </w:r>
    </w:p>
    <w:p w14:paraId="559198D7" w14:textId="77777777" w:rsidR="00BE0B57" w:rsidRPr="00831EE4" w:rsidRDefault="00BE0B57" w:rsidP="00831EE4">
      <w:pPr>
        <w:rPr>
          <w:lang w:val="en-US"/>
        </w:rPr>
      </w:pPr>
      <w:r w:rsidRPr="00831EE4">
        <w:rPr>
          <w:lang w:val="en-US"/>
        </w:rPr>
        <w:t>The Information System and Online Platform for licensing procedures simplification for the use and reuse of the cultural heritage assets of the Ministry of Culture and Sports and fees management using open standards and emerging technologies concerns the development of an Integrated Information System and Web Platform for the Organization for the Management and Development of Cultural Resources (ODAP) and the Ministry of Culture, with the objective of achieving the complete digitization, standardization, and simplification of the procedures for licensing, use, and reuse of cultural assets, as well as the management of related fees. The platform will operate on the Government Cloud (G-Cloud) and will integrate technologies such as Artificial Intelligence (AI), Machine Learning (ML), Robotic Process Automation (RPA), Natural Language Processing (NLP), and Geographical Information Systems (GIS). Through a user-friendly and interactive interface, citizens and businesses will be able to submit requests electronically, track their progress, and complete payments online, supported by a digital assistant that provides real-time guidance and information.</w:t>
      </w:r>
    </w:p>
    <w:p w14:paraId="4DA14B38" w14:textId="7B66574A" w:rsidR="00BE0B57" w:rsidRPr="00831EE4" w:rsidRDefault="00BE0B57" w:rsidP="00831EE4">
      <w:pPr>
        <w:rPr>
          <w:color w:val="EE0000"/>
          <w:lang w:val="en-US"/>
        </w:rPr>
      </w:pPr>
      <w:r w:rsidRPr="00831EE4">
        <w:rPr>
          <w:lang w:val="en-US"/>
        </w:rPr>
        <w:t>The system will serve as a modern administrative tool, enhancing efficiency and decision-making speed, while reducing administrative costs and bureaucratic workload. For citizens and businesses, it will ensure faster, secure, and predictable service delivery, without the need for physical presence. The digitization and standardization of procedures are expected to enhance the utilization of the country’s cultural assets, facilitate investment, and promote cooperation between the public and private sectors, contributing to sustainable cultural development. The standardization of procedures and the reduction of administrative burden will create a more attractive environment for investments and partnerships between the public and private sectors, particularly in the field of audiovisual productions. The project is co-funded by NSRF “Digital Transformation 2021</w:t>
      </w:r>
      <w:r w:rsidR="00896DC3">
        <w:rPr>
          <w:lang w:val="en-US"/>
        </w:rPr>
        <w:t>-</w:t>
      </w:r>
      <w:r w:rsidRPr="00831EE4">
        <w:rPr>
          <w:lang w:val="en-US"/>
        </w:rPr>
        <w:t>2027”. It was announced on 03</w:t>
      </w:r>
      <w:r w:rsidR="00D21EF6">
        <w:rPr>
          <w:lang w:val="en-US"/>
        </w:rPr>
        <w:t>/</w:t>
      </w:r>
      <w:r w:rsidRPr="00831EE4">
        <w:rPr>
          <w:lang w:val="en-US"/>
        </w:rPr>
        <w:t>10</w:t>
      </w:r>
      <w:r w:rsidR="00D21EF6">
        <w:rPr>
          <w:lang w:val="en-US"/>
        </w:rPr>
        <w:t>/</w:t>
      </w:r>
      <w:r w:rsidRPr="00831EE4">
        <w:rPr>
          <w:lang w:val="en-US"/>
        </w:rPr>
        <w:t xml:space="preserve">2025, with an implementation period of 20 months. Contract award </w:t>
      </w:r>
      <w:r w:rsidR="008A4496">
        <w:rPr>
          <w:lang w:val="en-US"/>
        </w:rPr>
        <w:t xml:space="preserve">for the project is </w:t>
      </w:r>
      <w:r w:rsidRPr="00831EE4">
        <w:rPr>
          <w:lang w:val="en-US"/>
        </w:rPr>
        <w:t>expected in December 2025</w:t>
      </w:r>
      <w:r w:rsidR="008A4496">
        <w:rPr>
          <w:lang w:val="en-US"/>
        </w:rPr>
        <w:t>, while i</w:t>
      </w:r>
      <w:r w:rsidRPr="00831EE4">
        <w:rPr>
          <w:lang w:val="en-US"/>
        </w:rPr>
        <w:t>mplementation is scheduled for January 2026.</w:t>
      </w:r>
    </w:p>
    <w:p w14:paraId="3FCF7863" w14:textId="78CEA59E" w:rsidR="00BE0B57" w:rsidRPr="00831EE4" w:rsidRDefault="008A4496" w:rsidP="004E78D7">
      <w:pPr>
        <w:spacing w:after="0"/>
        <w:rPr>
          <w:lang w:val="en-US"/>
        </w:rPr>
      </w:pPr>
      <w:r>
        <w:rPr>
          <w:lang w:val="en-US"/>
        </w:rPr>
        <w:t>D</w:t>
      </w:r>
      <w:r w:rsidR="00BE0B57" w:rsidRPr="00831EE4">
        <w:rPr>
          <w:lang w:val="en-US"/>
        </w:rPr>
        <w:t>uring the period Q3 2024</w:t>
      </w:r>
      <w:r w:rsidR="002F1B83">
        <w:rPr>
          <w:lang w:val="en-US"/>
        </w:rPr>
        <w:t>-</w:t>
      </w:r>
      <w:r w:rsidR="00BE0B57" w:rsidRPr="00831EE4">
        <w:rPr>
          <w:lang w:val="en-US"/>
        </w:rPr>
        <w:t xml:space="preserve">Q3 2025, the Ministry of Tourism promoted significant reform measures </w:t>
      </w:r>
      <w:r>
        <w:rPr>
          <w:lang w:val="en-US"/>
        </w:rPr>
        <w:t>related to</w:t>
      </w:r>
      <w:r w:rsidR="00BE0B57" w:rsidRPr="00831EE4">
        <w:rPr>
          <w:lang w:val="en-US"/>
        </w:rPr>
        <w:t xml:space="preserve"> CSR 3, aimed at simplifying the regulatory framework and reducing the administrative burden for businesses through the rationalization and digitalization of administrative procedures. In this context, the modernization of the legal framework governing the relations (rights and obligations) between tourism accommodation providers and their customers has been completed, as well as the necessary legal framework for the development of a new hotel and other tourism accommodation classification system based on the principles of sustainable development. At the same time, projects are underway and expected to be completed within the current year, concerning:</w:t>
      </w:r>
    </w:p>
    <w:p w14:paraId="154A4E07" w14:textId="7932D14A" w:rsidR="00BE0B57" w:rsidRPr="00831EE4" w:rsidRDefault="00BE0B57" w:rsidP="00831EE4">
      <w:pPr>
        <w:pStyle w:val="a4"/>
        <w:numPr>
          <w:ilvl w:val="0"/>
          <w:numId w:val="77"/>
        </w:numPr>
        <w:rPr>
          <w:lang w:val="en-US"/>
        </w:rPr>
      </w:pPr>
      <w:r w:rsidRPr="00831EE4">
        <w:rPr>
          <w:lang w:val="en-US"/>
        </w:rPr>
        <w:t>The digitalization and standardization of procedures with the aim of including additional enterprises supervised by the Ministry of Tourism under the notification regime (“notify business” legal framework and platform)</w:t>
      </w:r>
      <w:r w:rsidR="002F1B83">
        <w:rPr>
          <w:lang w:val="en-US"/>
        </w:rPr>
        <w:t>.</w:t>
      </w:r>
    </w:p>
    <w:p w14:paraId="5EA010C6" w14:textId="23FFFFA3" w:rsidR="00BE0B57" w:rsidRPr="00831EE4" w:rsidRDefault="00BE0B57" w:rsidP="00831EE4">
      <w:pPr>
        <w:pStyle w:val="a4"/>
        <w:numPr>
          <w:ilvl w:val="0"/>
          <w:numId w:val="77"/>
        </w:numPr>
        <w:rPr>
          <w:lang w:val="en-US"/>
        </w:rPr>
      </w:pPr>
      <w:r w:rsidRPr="00831EE4">
        <w:rPr>
          <w:lang w:val="en-US"/>
        </w:rPr>
        <w:t>The definition of a reporting and complaints system of procedures for tourism enterprises</w:t>
      </w:r>
      <w:r w:rsidR="002F1B83">
        <w:rPr>
          <w:lang w:val="en-US"/>
        </w:rPr>
        <w:t>.</w:t>
      </w:r>
    </w:p>
    <w:p w14:paraId="3DB0588B" w14:textId="7F66C64E" w:rsidR="00BE0B57" w:rsidRPr="00831EE4" w:rsidRDefault="00BE0B57" w:rsidP="00831EE4">
      <w:pPr>
        <w:pStyle w:val="a4"/>
        <w:numPr>
          <w:ilvl w:val="0"/>
          <w:numId w:val="77"/>
        </w:numPr>
        <w:rPr>
          <w:lang w:val="en-US"/>
        </w:rPr>
      </w:pPr>
      <w:r w:rsidRPr="00831EE4">
        <w:rPr>
          <w:lang w:val="en-US"/>
        </w:rPr>
        <w:t>The amendment of the regulatory framework regarding the technical and operational specifications of hotels, considering also the environmental criteria for the classification of hotels and other accommodation</w:t>
      </w:r>
      <w:r w:rsidR="002F1B83">
        <w:rPr>
          <w:lang w:val="en-US"/>
        </w:rPr>
        <w:t>.</w:t>
      </w:r>
    </w:p>
    <w:p w14:paraId="31419374" w14:textId="77777777" w:rsidR="00BE0B57" w:rsidRPr="00831EE4" w:rsidRDefault="00BE0B57" w:rsidP="00831EE4">
      <w:pPr>
        <w:pStyle w:val="a4"/>
        <w:numPr>
          <w:ilvl w:val="0"/>
          <w:numId w:val="77"/>
        </w:numPr>
        <w:rPr>
          <w:lang w:val="en-US"/>
        </w:rPr>
      </w:pPr>
      <w:r w:rsidRPr="00831EE4">
        <w:rPr>
          <w:lang w:val="en-US"/>
        </w:rPr>
        <w:t>The definition of the methodology for inspections in tourism enterprises.</w:t>
      </w:r>
    </w:p>
    <w:p w14:paraId="3BC2A381" w14:textId="256FEEF9" w:rsidR="00BE0B57" w:rsidRPr="00831EE4" w:rsidRDefault="00BE0B57" w:rsidP="00831EE4">
      <w:pPr>
        <w:rPr>
          <w:lang w:val="en-US"/>
        </w:rPr>
      </w:pPr>
      <w:r w:rsidRPr="00831EE4">
        <w:rPr>
          <w:lang w:val="en-US"/>
        </w:rPr>
        <w:t>In addition, an institutional and regulatory framework is being promoted for new forms of tourism activity, such as medical tourism, wineries open to public and luxury camping</w:t>
      </w:r>
      <w:r w:rsidR="00055CF7">
        <w:rPr>
          <w:lang w:val="en-US"/>
        </w:rPr>
        <w:t>.</w:t>
      </w:r>
    </w:p>
    <w:p w14:paraId="350767F3" w14:textId="2D7B20D6" w:rsidR="00BE0B57" w:rsidRPr="00831EE4" w:rsidRDefault="00BE0B57" w:rsidP="00831EE4">
      <w:pPr>
        <w:rPr>
          <w:lang w:val="en-US"/>
        </w:rPr>
      </w:pPr>
      <w:r w:rsidRPr="00831EE4">
        <w:rPr>
          <w:lang w:val="en-US"/>
        </w:rPr>
        <w:t>Similarly, in the context of removing barriers to entry into tourism professions, during the period Q3 2024</w:t>
      </w:r>
      <w:r w:rsidR="002F1B83">
        <w:rPr>
          <w:lang w:val="en-US"/>
        </w:rPr>
        <w:t>-</w:t>
      </w:r>
      <w:r w:rsidRPr="00831EE4">
        <w:rPr>
          <w:lang w:val="en-US"/>
        </w:rPr>
        <w:t>Q3 2025, projects are underway such as:</w:t>
      </w:r>
    </w:p>
    <w:p w14:paraId="782BB82E" w14:textId="01443015" w:rsidR="00BE0B57" w:rsidRPr="00831EE4" w:rsidRDefault="00BE0B57" w:rsidP="00831EE4">
      <w:pPr>
        <w:pStyle w:val="a4"/>
        <w:numPr>
          <w:ilvl w:val="0"/>
          <w:numId w:val="80"/>
        </w:numPr>
        <w:rPr>
          <w:lang w:val="en-US"/>
        </w:rPr>
      </w:pPr>
      <w:r w:rsidRPr="00831EE4">
        <w:rPr>
          <w:lang w:val="en-US"/>
        </w:rPr>
        <w:t>The regulation of the profession of tour leaders, and</w:t>
      </w:r>
    </w:p>
    <w:p w14:paraId="4045B3EC" w14:textId="71D205EF" w:rsidR="00BE0B57" w:rsidRPr="00831EE4" w:rsidRDefault="00BE0B57" w:rsidP="00831EE4">
      <w:pPr>
        <w:pStyle w:val="a4"/>
        <w:numPr>
          <w:ilvl w:val="0"/>
          <w:numId w:val="80"/>
        </w:numPr>
        <w:rPr>
          <w:lang w:val="en-US"/>
        </w:rPr>
      </w:pPr>
      <w:r w:rsidRPr="00831EE4">
        <w:rPr>
          <w:lang w:val="en-US"/>
        </w:rPr>
        <w:t>The creation of an Electronic Registry of Tourist Guides from EU member states who have already undergone (or are in the process of undergoing) compensatory measures.</w:t>
      </w:r>
    </w:p>
    <w:p w14:paraId="4D143E46" w14:textId="5AC297C2" w:rsidR="00BE0B57" w:rsidRPr="00831EE4" w:rsidRDefault="00BE0B57" w:rsidP="00831EE4">
      <w:pPr>
        <w:pStyle w:val="a4"/>
        <w:numPr>
          <w:ilvl w:val="0"/>
          <w:numId w:val="80"/>
        </w:numPr>
        <w:rPr>
          <w:lang w:val="en-US"/>
        </w:rPr>
      </w:pPr>
      <w:r w:rsidRPr="00831EE4">
        <w:rPr>
          <w:sz w:val="22"/>
          <w:lang w:val="en-US"/>
        </w:rPr>
        <w:t>For the period Q4 2025</w:t>
      </w:r>
      <w:r w:rsidR="002F1B83">
        <w:rPr>
          <w:sz w:val="22"/>
          <w:lang w:val="en-US"/>
        </w:rPr>
        <w:t>-</w:t>
      </w:r>
      <w:r w:rsidRPr="00831EE4">
        <w:rPr>
          <w:sz w:val="22"/>
          <w:lang w:val="en-US"/>
        </w:rPr>
        <w:t xml:space="preserve">Q4 2026, </w:t>
      </w:r>
      <w:r w:rsidRPr="00831EE4">
        <w:rPr>
          <w:lang w:val="en-US"/>
        </w:rPr>
        <w:t>further interventions are planned, which are fully aligned with the priorities of CSR 3 and include:</w:t>
      </w:r>
    </w:p>
    <w:p w14:paraId="1CA5DF98" w14:textId="3C091A51" w:rsidR="00BE0B57" w:rsidRPr="00831EE4" w:rsidRDefault="00BE0B57" w:rsidP="00831EE4">
      <w:pPr>
        <w:pStyle w:val="a4"/>
        <w:numPr>
          <w:ilvl w:val="0"/>
          <w:numId w:val="91"/>
        </w:numPr>
        <w:rPr>
          <w:lang w:val="en-US"/>
        </w:rPr>
      </w:pPr>
      <w:r w:rsidRPr="00831EE4">
        <w:rPr>
          <w:lang w:val="en-US"/>
        </w:rPr>
        <w:t>The modernization of the institutional framework for the licensing of tourist ports, as well as the definition of the inspection and sanction framework applicable to their management bodies,</w:t>
      </w:r>
    </w:p>
    <w:p w14:paraId="227F8DBB" w14:textId="0BB749FD" w:rsidR="00BE0B57" w:rsidRPr="00831EE4" w:rsidRDefault="00FA365C" w:rsidP="00831EE4">
      <w:pPr>
        <w:pStyle w:val="a4"/>
        <w:numPr>
          <w:ilvl w:val="0"/>
          <w:numId w:val="91"/>
        </w:numPr>
        <w:rPr>
          <w:lang w:val="en-US"/>
        </w:rPr>
      </w:pPr>
      <w:r>
        <w:rPr>
          <w:lang w:val="en-US"/>
        </w:rPr>
        <w:t>t</w:t>
      </w:r>
      <w:r w:rsidR="00BE0B57" w:rsidRPr="00831EE4">
        <w:rPr>
          <w:lang w:val="en-US"/>
        </w:rPr>
        <w:t>he regulation of the activity of operating conference centers,</w:t>
      </w:r>
    </w:p>
    <w:p w14:paraId="126D0BAA" w14:textId="119E36FF" w:rsidR="00BE0B57" w:rsidRPr="00831EE4" w:rsidRDefault="00FA365C" w:rsidP="00831EE4">
      <w:pPr>
        <w:pStyle w:val="a4"/>
        <w:numPr>
          <w:ilvl w:val="0"/>
          <w:numId w:val="91"/>
        </w:numPr>
        <w:rPr>
          <w:lang w:val="en-US"/>
        </w:rPr>
      </w:pPr>
      <w:r>
        <w:rPr>
          <w:lang w:val="en-US"/>
        </w:rPr>
        <w:t>t</w:t>
      </w:r>
      <w:r w:rsidR="00BE0B57" w:rsidRPr="00831EE4">
        <w:rPr>
          <w:lang w:val="en-US"/>
        </w:rPr>
        <w:t>he issuance of a Ministerial Decision defining standardized “inspection sheets” for tourism enterprises, and</w:t>
      </w:r>
    </w:p>
    <w:p w14:paraId="7C652C3B" w14:textId="7DB07E12" w:rsidR="00BE0B57" w:rsidRPr="00831EE4" w:rsidRDefault="00FA365C" w:rsidP="00831EE4">
      <w:pPr>
        <w:pStyle w:val="a4"/>
        <w:numPr>
          <w:ilvl w:val="0"/>
          <w:numId w:val="91"/>
        </w:numPr>
        <w:rPr>
          <w:lang w:val="en-US"/>
        </w:rPr>
      </w:pPr>
      <w:r>
        <w:rPr>
          <w:lang w:val="en-US"/>
        </w:rPr>
        <w:t>t</w:t>
      </w:r>
      <w:r w:rsidR="00BE0B57" w:rsidRPr="00831EE4">
        <w:rPr>
          <w:lang w:val="en-US"/>
        </w:rPr>
        <w:t>he modernization and simplification of the administrative framework for the exercise of the tourist guide profession, including the provision of services through the Civil Service Centers (KEP).</w:t>
      </w:r>
    </w:p>
    <w:p w14:paraId="1487C5C5" w14:textId="77777777" w:rsidR="00327C88" w:rsidRDefault="00BE0B57" w:rsidP="004E78D7">
      <w:pPr>
        <w:spacing w:line="252" w:lineRule="auto"/>
        <w:rPr>
          <w:lang w:val="en-US"/>
        </w:rPr>
      </w:pPr>
      <w:r w:rsidRPr="00831EE4">
        <w:rPr>
          <w:lang w:val="en-US"/>
        </w:rPr>
        <w:t xml:space="preserve">The Ministry of Justice has advanced a comprehensive set of legislative reforms aiming to reduce backlogs, improve efficiency, and reinforce legal certainty and economic activity, while broadening citizens’ access to justice. Key measures include Law 5134/2024 (Government Gazette A' 146/11.09.2024), which introduced significant amendments to the Code of Civil Procedure, the Code of Criminal Procedure, and the Code of Organization of Courts and Status of Judicial Officers. This law introduced significant reforms to procedural codes to accelerate judicial processes and improve coherence in jurisdictional matters. Law 5197/2025 (Government Gazette A' 76/16.05.2025) further strengthened institutional capacity through reforms to the National School of Judicial Officers, the organization of courts, and the framework for notaries, enhancing the training and professionalism of judicial officers. </w:t>
      </w:r>
    </w:p>
    <w:p w14:paraId="5FB09422" w14:textId="39A89C7A" w:rsidR="00BE0B57" w:rsidRPr="00831EE4" w:rsidRDefault="00BE0B57" w:rsidP="004E78D7">
      <w:pPr>
        <w:spacing w:line="252" w:lineRule="auto"/>
        <w:rPr>
          <w:lang w:val="en-US"/>
        </w:rPr>
      </w:pPr>
      <w:r w:rsidRPr="00831EE4">
        <w:rPr>
          <w:lang w:val="en-US"/>
        </w:rPr>
        <w:t>Law 5221/2025 (Government Gazette A' 133/28.07.2025) focused on civil procedure, further accelerating civil procedures and improving legal certainty in enforcement matters (see also CSR1 “by accelerating liquidation-related court proceedings”, addressed by an RRP reform). Furthermore, the adoption of the Code on Alternative Dispute Resolution was accompanied by the establishment of the Special Secretariat for ADR and a dedicated working group to ensure its full implementation. This represents a decisive step in institutionalizing efficient dispute resolution mechanisms outside the traditional court system, thereby alleviating the caseload of courts and facilitating faster access to justice. Looking forward, the Ministry of Justice will continue to build on these reforms by focusing on their full operational implementation and by further enhancing the effectiveness, transparency, and timeliness of judicial proceedings.</w:t>
      </w:r>
    </w:p>
    <w:p w14:paraId="05C66378" w14:textId="06EB9113" w:rsidR="00BE0B57" w:rsidRPr="00831EE4" w:rsidRDefault="00BE0B57" w:rsidP="004E78D7">
      <w:pPr>
        <w:spacing w:line="252" w:lineRule="auto"/>
        <w:rPr>
          <w:lang w:val="en-US"/>
        </w:rPr>
      </w:pPr>
      <w:r w:rsidRPr="00831EE4">
        <w:rPr>
          <w:lang w:val="en-US"/>
        </w:rPr>
        <w:t>Since September 2024 the obligation of enterprises to implement the Digital Work Card mechanism of the Ministry of Labour and Social Security has been extended to the following sectors: Accommodation Services in the Tourism Industry, as well as Food and Catering Services (11/09/2024). Since June 2025</w:t>
      </w:r>
      <w:r w:rsidR="00953CC3" w:rsidRPr="00D129CD">
        <w:rPr>
          <w:lang w:val="en-US"/>
        </w:rPr>
        <w:t xml:space="preserve"> </w:t>
      </w:r>
      <w:r w:rsidR="00953CC3">
        <w:rPr>
          <w:lang w:val="en-US"/>
        </w:rPr>
        <w:t>and with full implementation from November 2025</w:t>
      </w:r>
      <w:r w:rsidRPr="00831EE4">
        <w:rPr>
          <w:lang w:val="en-US"/>
        </w:rPr>
        <w:t xml:space="preserve">, the obligation of enterprises to implement the Digital Work Card mechanism </w:t>
      </w:r>
      <w:r w:rsidR="00953CC3">
        <w:rPr>
          <w:lang w:val="en-US"/>
        </w:rPr>
        <w:t>is</w:t>
      </w:r>
      <w:r w:rsidRPr="00831EE4">
        <w:rPr>
          <w:lang w:val="en-US"/>
        </w:rPr>
        <w:t xml:space="preserve"> extended to the following sectors: 1) Electricity, gas, steam and air conditioning supply, 2) wholesale and retail trade and repair of motor vehicles and motorcycles, 3) financial and insurance activities, 4) administrative and support activities.  </w:t>
      </w:r>
    </w:p>
    <w:p w14:paraId="26E298F5" w14:textId="52E7E86C" w:rsidR="00BE0B57" w:rsidRPr="00831EE4" w:rsidRDefault="00BE0B57" w:rsidP="004E78D7">
      <w:pPr>
        <w:spacing w:line="252" w:lineRule="auto"/>
        <w:rPr>
          <w:lang w:val="en-US"/>
        </w:rPr>
      </w:pPr>
      <w:bookmarkStart w:id="97" w:name="_heading=h.yuv4zv8pslax"/>
      <w:bookmarkEnd w:id="97"/>
      <w:r w:rsidRPr="00831EE4">
        <w:rPr>
          <w:lang w:val="en-US"/>
        </w:rPr>
        <w:t>The Ministry has submitted the Draft Law «Fair Work for All: Simplification of Legislation– Support for the Worker – Protection in Practice – Pension Provisions». It abolishes the obligation to submit part-time and rotation work contracts on the ERGANI Information System. Furthermore, the law simplifies the procedure that employers must follow to declare the annual leave that has been taken by their employees. It also abolishes the companies’ obligation to keep hard-copy documents of information that are also available in electronic form. Also, the bill abolishes the obligation to submit individual employment contracts, and their amendments, to the ERGANI II Information System. In addition, it introduces the mobile application «Ergani», allowing businesses’ easy access to the ERGANI II system and the ability to upload and modify declarations directly, facilitating particularly small businesses’ declaration procedures. Furthermore, the law simplifies the hiring notification process by eliminating the requirement to submit key and essential terms of employment relationship and the individual employment contract when hiring the employee. Additionally, the employer’s obligation to notify the essential terms of employment is fulfilled by the electronic submission of the hiring notification. Furthermore the bill creates a dedicated application for quick hires/recruitments to cover urgent company’s needs of up to two days per week, enabling companies to submit essential employment relationship terms and declare the documents proving legal access of the employee to the labour market following employee acceptance via MyErgani. This facilitates company’s operations, protects employees’ rights, and helps in combatting undeclared work.</w:t>
      </w:r>
    </w:p>
    <w:p w14:paraId="5E12C8D7" w14:textId="77777777" w:rsidR="00BE0B57" w:rsidRPr="00831EE4" w:rsidRDefault="00BE0B57" w:rsidP="00BE0B57">
      <w:pPr>
        <w:spacing w:after="0"/>
        <w:rPr>
          <w:color w:val="0000FF"/>
          <w:lang w:val="en-US"/>
        </w:rPr>
      </w:pPr>
    </w:p>
    <w:p w14:paraId="11AFD825" w14:textId="77777777" w:rsidR="00BE0B57" w:rsidRPr="00831EE4" w:rsidRDefault="00BE0B57" w:rsidP="00831EE4">
      <w:pPr>
        <w:shd w:val="clear" w:color="auto" w:fill="DBE5F1" w:themeFill="accent1" w:themeFillTint="33"/>
        <w:spacing w:before="480"/>
        <w:rPr>
          <w:b/>
          <w:sz w:val="32"/>
          <w:lang w:val="en-US"/>
        </w:rPr>
      </w:pPr>
      <w:r w:rsidRPr="00831EE4">
        <w:rPr>
          <w:b/>
          <w:sz w:val="32"/>
          <w:lang w:val="en-US"/>
        </w:rPr>
        <w:t>CSR 4</w:t>
      </w:r>
    </w:p>
    <w:p w14:paraId="2203B678" w14:textId="77777777" w:rsidR="00BE0B57" w:rsidRPr="00831EE4" w:rsidRDefault="00BE0B57" w:rsidP="00831EE4">
      <w:pPr>
        <w:jc w:val="left"/>
        <w:rPr>
          <w:b/>
          <w:color w:val="0000FF"/>
          <w:lang w:val="en-US"/>
        </w:rPr>
      </w:pPr>
      <w:r w:rsidRPr="00831EE4">
        <w:rPr>
          <w:b/>
          <w:lang w:val="en-US"/>
        </w:rPr>
        <w:t>Developing non-fossil flexibility solutions, including demand-response and storage, which will contribute in making electricity prices more affordable; recalibrating energy taxes to incentivise electrification; taking concrete steps to phase out fossil-fuel subsidies in particular in the industrial sector; and increasing the capacity of electricity networks by streamlining the licensing process for new transmission networks and by improving the quality of the distribution network to reduce technical and non-technical losses. Accelerate the decarbonisation of the transport sector under a comprehensive strategy with reforms and investment in the shift to electric mobility, upgrading urban and inter-regional public transport, and improving railway infrastructure and operations, including by undertaking the short-term organisational reform work required and the accelerated deployment of the European Rail Traffic Management System on the railway network to improve interoperability, efficiency and safety. Draw up a plan for climate-proofing key infrastructure, including the water supply; reform the institutional framework to improve the capacity and accountability of local water service providers; and take steps to increase private insurance coverage against natural disaster-related damages.</w:t>
      </w:r>
    </w:p>
    <w:p w14:paraId="037BE7D3" w14:textId="1780EE10" w:rsidR="00BE0B57" w:rsidRPr="00831EE4" w:rsidRDefault="00BE0B57" w:rsidP="00831EE4">
      <w:pPr>
        <w:rPr>
          <w:lang w:val="en-US"/>
        </w:rPr>
      </w:pPr>
      <w:r w:rsidRPr="00831EE4">
        <w:rPr>
          <w:lang w:val="en-US"/>
        </w:rPr>
        <w:t>Concerning the phasing out of fossil-fuel subsidies in particular in the industrial sector, Greece has already gradually abolished all energy measures and subsidies that came into force during the COVID-era or were related to the subsequent energy crisis due to the war</w:t>
      </w:r>
      <w:r w:rsidR="00055CF7">
        <w:rPr>
          <w:lang w:val="en-US"/>
        </w:rPr>
        <w:t xml:space="preserve"> in Ukraine</w:t>
      </w:r>
      <w:r w:rsidRPr="00831EE4">
        <w:rPr>
          <w:lang w:val="en-US"/>
        </w:rPr>
        <w:t>. Remaining measures are all within permitted framework by EU law. Furthermore, certain steps have been taken to promote the use of electricity:</w:t>
      </w:r>
    </w:p>
    <w:p w14:paraId="43792F0B" w14:textId="14DADF30" w:rsidR="00BE0B57" w:rsidRPr="00831EE4" w:rsidRDefault="00BE0B57" w:rsidP="00831EE4">
      <w:pPr>
        <w:rPr>
          <w:lang w:val="en-US"/>
        </w:rPr>
      </w:pPr>
      <w:r w:rsidRPr="00831EE4">
        <w:rPr>
          <w:lang w:val="en-US"/>
        </w:rPr>
        <w:t>a) the excise tax exemption in the use of electricity in Agriculture: The measure should be considered as a green subsidy as it aims to substitute usage of fossil fuels with electricity. This measure is within the allowed exemptions from D</w:t>
      </w:r>
      <w:r w:rsidR="00055CF7">
        <w:rPr>
          <w:lang w:val="en-US"/>
        </w:rPr>
        <w:t>irective</w:t>
      </w:r>
      <w:r w:rsidRPr="00831EE4">
        <w:rPr>
          <w:lang w:val="en-US"/>
        </w:rPr>
        <w:t xml:space="preserve"> 2003/96/E</w:t>
      </w:r>
      <w:r w:rsidR="00055CF7">
        <w:rPr>
          <w:lang w:val="en-US"/>
        </w:rPr>
        <w:t>C</w:t>
      </w:r>
      <w:r w:rsidRPr="00831EE4">
        <w:rPr>
          <w:lang w:val="en-US"/>
        </w:rPr>
        <w:t>.</w:t>
      </w:r>
    </w:p>
    <w:p w14:paraId="1B0E84FA" w14:textId="39A89928" w:rsidR="00BE0B57" w:rsidRPr="00831EE4" w:rsidRDefault="00BE0B57" w:rsidP="00831EE4">
      <w:pPr>
        <w:rPr>
          <w:lang w:val="en-US"/>
        </w:rPr>
      </w:pPr>
      <w:r w:rsidRPr="00831EE4">
        <w:rPr>
          <w:lang w:val="en-US"/>
        </w:rPr>
        <w:t xml:space="preserve">b) Heating allowance for households for space heating purposes: This constitutes a social subsidy, rather than a fossil fuel subsidy, as its main purpose is to lower the cost of heating for households, based on income criteria. As from 2024 the heating allowance energy includes additional heating sources other than oil, i.e. natural gas and electricity. The subsidy amount differs by energy source, promoting electricity compared to oil. Therefore, it should be considered as an attempt to turn consumption to "clean" energy sources used for heating.   </w:t>
      </w:r>
    </w:p>
    <w:p w14:paraId="17102558" w14:textId="3464362F" w:rsidR="00BE0B57" w:rsidRDefault="00BE0B57" w:rsidP="00831EE4">
      <w:r w:rsidRPr="00831EE4">
        <w:rPr>
          <w:lang w:val="en-US"/>
        </w:rPr>
        <w:t xml:space="preserve">Regarding </w:t>
      </w:r>
      <w:r w:rsidR="00BC29D6">
        <w:rPr>
          <w:lang w:val="en-US"/>
        </w:rPr>
        <w:t xml:space="preserve">the </w:t>
      </w:r>
      <w:r w:rsidRPr="00831EE4">
        <w:rPr>
          <w:lang w:val="en-US"/>
        </w:rPr>
        <w:t>recalibrati</w:t>
      </w:r>
      <w:r w:rsidR="00BC29D6">
        <w:rPr>
          <w:lang w:val="en-US"/>
        </w:rPr>
        <w:t>o</w:t>
      </w:r>
      <w:r w:rsidRPr="00831EE4">
        <w:rPr>
          <w:lang w:val="en-US"/>
        </w:rPr>
        <w:t xml:space="preserve">n </w:t>
      </w:r>
      <w:r w:rsidR="00BC29D6">
        <w:rPr>
          <w:lang w:val="en-US"/>
        </w:rPr>
        <w:t xml:space="preserve">of </w:t>
      </w:r>
      <w:r w:rsidRPr="00831EE4">
        <w:rPr>
          <w:lang w:val="en-US"/>
        </w:rPr>
        <w:t>energy taxes to incentivise electrification</w:t>
      </w:r>
      <w:r w:rsidR="00BC29D6">
        <w:rPr>
          <w:lang w:val="en-US"/>
        </w:rPr>
        <w:t>,</w:t>
      </w:r>
      <w:r w:rsidRPr="00831EE4">
        <w:rPr>
          <w:lang w:val="en-US"/>
        </w:rPr>
        <w:t xml:space="preserve"> the current Greek tax framework already substantially supports electric mobility through various incentives covering both individuals and businesses. In particular, it provides exemptions and reductions in vehicle ownership and usage taxes, increased deductions for business expenses, and accelerated depreciation for investments related to electromobility. </w:t>
      </w:r>
      <w:r>
        <w:t>Specifically,</w:t>
      </w:r>
      <w:r>
        <w:rPr>
          <w:sz w:val="22"/>
        </w:rPr>
        <w:t xml:space="preserve"> </w:t>
      </w:r>
      <w:r>
        <w:t>measures for individuals and electric vehicle users include:</w:t>
      </w:r>
    </w:p>
    <w:p w14:paraId="61754F1F" w14:textId="77777777" w:rsidR="00BE0B57" w:rsidRPr="00831EE4" w:rsidRDefault="00BE0B57" w:rsidP="00831EE4">
      <w:pPr>
        <w:pStyle w:val="a4"/>
        <w:numPr>
          <w:ilvl w:val="0"/>
          <w:numId w:val="81"/>
        </w:numPr>
        <w:rPr>
          <w:lang w:val="en-US"/>
        </w:rPr>
      </w:pPr>
      <w:r w:rsidRPr="00831EE4">
        <w:rPr>
          <w:lang w:val="en-US"/>
        </w:rPr>
        <w:t>Exemption from registration tax for electric vehicles.</w:t>
      </w:r>
    </w:p>
    <w:p w14:paraId="6C695444" w14:textId="77777777" w:rsidR="00BE0B57" w:rsidRPr="00831EE4" w:rsidRDefault="00BE0B57" w:rsidP="00831EE4">
      <w:pPr>
        <w:pStyle w:val="a4"/>
        <w:numPr>
          <w:ilvl w:val="0"/>
          <w:numId w:val="81"/>
        </w:numPr>
        <w:rPr>
          <w:lang w:val="en-US"/>
        </w:rPr>
      </w:pPr>
      <w:r w:rsidRPr="00831EE4">
        <w:rPr>
          <w:lang w:val="en-US"/>
        </w:rPr>
        <w:t>Lower taxation based on CO₂ emissions.</w:t>
      </w:r>
    </w:p>
    <w:p w14:paraId="1FD2A626" w14:textId="77777777" w:rsidR="00BE0B57" w:rsidRPr="00831EE4" w:rsidRDefault="00BE0B57" w:rsidP="00831EE4">
      <w:pPr>
        <w:pStyle w:val="a4"/>
        <w:numPr>
          <w:ilvl w:val="0"/>
          <w:numId w:val="81"/>
        </w:numPr>
        <w:rPr>
          <w:lang w:val="en-US"/>
        </w:rPr>
      </w:pPr>
      <w:r w:rsidRPr="00831EE4">
        <w:rPr>
          <w:lang w:val="en-US"/>
        </w:rPr>
        <w:t>Higher VAT refund for electric vehicles.</w:t>
      </w:r>
    </w:p>
    <w:p w14:paraId="6F3CB394" w14:textId="77777777" w:rsidR="00BE0B57" w:rsidRPr="00831EE4" w:rsidRDefault="00BE0B57" w:rsidP="00831EE4">
      <w:pPr>
        <w:pStyle w:val="a4"/>
        <w:numPr>
          <w:ilvl w:val="0"/>
          <w:numId w:val="81"/>
        </w:numPr>
        <w:rPr>
          <w:lang w:val="en-US"/>
        </w:rPr>
      </w:pPr>
      <w:r w:rsidRPr="00831EE4">
        <w:rPr>
          <w:lang w:val="en-US"/>
        </w:rPr>
        <w:t>Exemption from income-in-kind calculation (Article 13 of the Income Tax Code) for zero- or low-emission vehicles (up to 50 g CO₂/km) with a Retail Price Before Taxes (RPT) of up to €40,000, for any period within the tax year.</w:t>
      </w:r>
    </w:p>
    <w:p w14:paraId="06C22251" w14:textId="77777777" w:rsidR="00BE0B57" w:rsidRPr="00831EE4" w:rsidRDefault="00BE0B57" w:rsidP="00831EE4">
      <w:pPr>
        <w:pStyle w:val="a4"/>
        <w:numPr>
          <w:ilvl w:val="0"/>
          <w:numId w:val="81"/>
        </w:numPr>
        <w:rPr>
          <w:lang w:val="en-US"/>
        </w:rPr>
      </w:pPr>
      <w:r w:rsidRPr="00831EE4">
        <w:rPr>
          <w:lang w:val="en-US"/>
        </w:rPr>
        <w:t>Exemption from luxury tax for electric cars.</w:t>
      </w:r>
    </w:p>
    <w:p w14:paraId="60AB201E" w14:textId="77777777" w:rsidR="00BE0B57" w:rsidRPr="00831EE4" w:rsidRDefault="00BE0B57" w:rsidP="00831EE4">
      <w:pPr>
        <w:rPr>
          <w:lang w:val="en-US"/>
        </w:rPr>
      </w:pPr>
      <w:r w:rsidRPr="00831EE4">
        <w:rPr>
          <w:lang w:val="en-US"/>
        </w:rPr>
        <w:t>The measures for businesses and investments include:</w:t>
      </w:r>
    </w:p>
    <w:p w14:paraId="1FFBFC90" w14:textId="77777777" w:rsidR="00BE0B57" w:rsidRPr="00831EE4" w:rsidRDefault="00BE0B57" w:rsidP="00831EE4">
      <w:pPr>
        <w:pStyle w:val="a4"/>
        <w:numPr>
          <w:ilvl w:val="0"/>
          <w:numId w:val="82"/>
        </w:numPr>
        <w:rPr>
          <w:lang w:val="en-US"/>
        </w:rPr>
      </w:pPr>
      <w:r w:rsidRPr="00831EE4">
        <w:rPr>
          <w:lang w:val="en-US"/>
        </w:rPr>
        <w:t>Article 22B of the Income Tax Code – Businesses are granted extra tax deductions for investing in electric mobility, including leasing electric vehicles, installing charging points, and purchasing electric commercial or small vehicles, with deductions reaching up to 90% in certain cases (e.g. on islands or when using renewable energy).</w:t>
      </w:r>
    </w:p>
    <w:p w14:paraId="2114D5BD" w14:textId="77777777" w:rsidR="00BE0B57" w:rsidRPr="00831EE4" w:rsidRDefault="00BE0B57" w:rsidP="00831EE4">
      <w:pPr>
        <w:pStyle w:val="a4"/>
        <w:numPr>
          <w:ilvl w:val="0"/>
          <w:numId w:val="82"/>
        </w:numPr>
        <w:rPr>
          <w:lang w:val="en-US"/>
        </w:rPr>
      </w:pPr>
      <w:r w:rsidRPr="00831EE4">
        <w:rPr>
          <w:lang w:val="en-US"/>
        </w:rPr>
        <w:t>Article 24 of the Income Tax Code – Businesses can apply accelerated depreciation for corporate electric vehicles, gaining up to +50% (or +25% for higher values), and even +75% (or +35%) for companies based on islands, encouraging faster tax write-offs for electric vehicle investments.</w:t>
      </w:r>
    </w:p>
    <w:p w14:paraId="37587AB1" w14:textId="77777777" w:rsidR="00BE0B57" w:rsidRPr="00831EE4" w:rsidRDefault="00BE0B57" w:rsidP="00831EE4">
      <w:pPr>
        <w:pStyle w:val="a4"/>
        <w:numPr>
          <w:ilvl w:val="0"/>
          <w:numId w:val="82"/>
        </w:numPr>
        <w:rPr>
          <w:lang w:val="en-US"/>
        </w:rPr>
      </w:pPr>
      <w:r w:rsidRPr="00831EE4">
        <w:rPr>
          <w:lang w:val="en-US"/>
        </w:rPr>
        <w:t>Article 33(h) of the Income Tax Code – Electric vehicles with a pre-tax retail price up to €50,000 are fully exempt from annual objective expenses and acquisition presumptions, while more expensive models are subject to a fixed annual expense of €4,000.</w:t>
      </w:r>
    </w:p>
    <w:p w14:paraId="5867B9A2" w14:textId="77777777" w:rsidR="00BE0B57" w:rsidRPr="00831EE4" w:rsidRDefault="00BE0B57" w:rsidP="00831EE4">
      <w:pPr>
        <w:pStyle w:val="a4"/>
        <w:numPr>
          <w:ilvl w:val="0"/>
          <w:numId w:val="82"/>
        </w:numPr>
        <w:rPr>
          <w:lang w:val="en-US"/>
        </w:rPr>
      </w:pPr>
      <w:r w:rsidRPr="00831EE4">
        <w:rPr>
          <w:lang w:val="en-US"/>
        </w:rPr>
        <w:t>Article 71Z of the Income Tax Code – A 5-percentage-point reduction in the tax rate is granted to businesses and individuals producing electric vehicles or related goods. This measure applies to Western Macedonia and the Regional Unit of Arcadia and remains in force for up to five profitable tax years from the start of production.</w:t>
      </w:r>
    </w:p>
    <w:p w14:paraId="1E4953D2" w14:textId="77777777" w:rsidR="00BE0B57" w:rsidRPr="00831EE4" w:rsidRDefault="00BE0B57" w:rsidP="00831EE4">
      <w:pPr>
        <w:rPr>
          <w:lang w:val="en-US"/>
        </w:rPr>
      </w:pPr>
      <w:r w:rsidRPr="00831EE4">
        <w:rPr>
          <w:lang w:val="en-US"/>
        </w:rPr>
        <w:t>The measures to be taken for the following period will depend on the results of the processing of the revised Energy Taxation Directive (ETD), proposed by the European Commission in July 2021. The directive aims, among other things, to align taxation with the EU’s climate change goals by increasing the minimum rates for energy products and electricity and incorporating new forms of energy.</w:t>
      </w:r>
    </w:p>
    <w:p w14:paraId="7E215C34" w14:textId="4BEB3268" w:rsidR="00BE0B57" w:rsidRPr="00831EE4" w:rsidRDefault="00BE0B57" w:rsidP="00831EE4">
      <w:pPr>
        <w:rPr>
          <w:lang w:val="en-US"/>
        </w:rPr>
      </w:pPr>
      <w:r w:rsidRPr="00831EE4">
        <w:rPr>
          <w:lang w:val="en-US"/>
        </w:rPr>
        <w:t>In any case, an adjustment and rationalization of the system of living standards criteria is planned for the vehicle category (including electric vehicles and distinguishing between newer and older models). According to a tax bill open for public consultation until October 22, the changes in the calculation of these criteria for cars concern owners of private vehicles registered from November 1</w:t>
      </w:r>
      <w:r w:rsidR="00737B44">
        <w:rPr>
          <w:lang w:val="en-US"/>
        </w:rPr>
        <w:t>/</w:t>
      </w:r>
      <w:r w:rsidRPr="00831EE4">
        <w:rPr>
          <w:lang w:val="en-US"/>
        </w:rPr>
        <w:t>2010, onwards. The new calculation method will follow the system used for annual road taxes:</w:t>
      </w:r>
    </w:p>
    <w:p w14:paraId="60DB2A94" w14:textId="422E429A" w:rsidR="00BE0B57" w:rsidRPr="00831EE4" w:rsidRDefault="00BE0B57" w:rsidP="00831EE4">
      <w:pPr>
        <w:pStyle w:val="a4"/>
        <w:numPr>
          <w:ilvl w:val="0"/>
          <w:numId w:val="83"/>
        </w:numPr>
        <w:rPr>
          <w:lang w:val="en-US"/>
        </w:rPr>
      </w:pPr>
      <w:r w:rsidRPr="00831EE4">
        <w:rPr>
          <w:lang w:val="en-US"/>
        </w:rPr>
        <w:t>For all vehicles up to 15 years old (registered after November 1</w:t>
      </w:r>
      <w:r w:rsidR="00737B44">
        <w:rPr>
          <w:lang w:val="en-US"/>
        </w:rPr>
        <w:t>/</w:t>
      </w:r>
      <w:r w:rsidRPr="00831EE4">
        <w:rPr>
          <w:lang w:val="en-US"/>
        </w:rPr>
        <w:t>2010), the deemed living expenses will be determined based on CO₂ emissions (similar to road tax). This will significantly reduce the assessed expenses, bringing them closer to the levels currently applied to cars over ten years old. Reductions could exceed 50% for new-technology vehicles up to five years old, while smaller reductions will apply to cars around ten years old.</w:t>
      </w:r>
    </w:p>
    <w:p w14:paraId="52FD5AFD" w14:textId="77777777" w:rsidR="00BE0B57" w:rsidRPr="00831EE4" w:rsidRDefault="00BE0B57" w:rsidP="00831EE4">
      <w:pPr>
        <w:pStyle w:val="a4"/>
        <w:numPr>
          <w:ilvl w:val="0"/>
          <w:numId w:val="83"/>
        </w:numPr>
        <w:rPr>
          <w:lang w:val="en-US"/>
        </w:rPr>
      </w:pPr>
      <w:r w:rsidRPr="00831EE4">
        <w:rPr>
          <w:lang w:val="en-US"/>
        </w:rPr>
        <w:t>For vehicles over 15 years old (registered before 2010), the deemed living expenses will remain unchanged.</w:t>
      </w:r>
    </w:p>
    <w:p w14:paraId="5F7FBD35" w14:textId="7565788C" w:rsidR="00BE0B57" w:rsidRPr="00831EE4" w:rsidRDefault="00BE0B57" w:rsidP="00831EE4">
      <w:pPr>
        <w:rPr>
          <w:lang w:val="en-US"/>
        </w:rPr>
      </w:pPr>
      <w:r w:rsidRPr="00831EE4">
        <w:rPr>
          <w:lang w:val="en-US"/>
        </w:rPr>
        <w:t>Finally, through a TSI (Technical Support Instrument) program on “green taxation”, the Ministry of Economy and Finance has developed two key tools to assess and implement a sustainable framework for green tax reforms: a) the CGE (Computable General Equilibrium) model, a specialized tool tailored to the Greek economy, which enables the Ministry to evaluate the impact of related policy reforms; and b) policy proposals based on a thorough analysis of the Greek legislative framework, identifying preliminary areas for intervention. Based on the TSI model, a draft legislative proposal with tax-related measures is already under consultation within the Ministry hierarchy. Further legislative initiatives may follow, depending on the available fiscal space.</w:t>
      </w:r>
    </w:p>
    <w:p w14:paraId="428A72AB" w14:textId="77777777" w:rsidR="00BE0B57" w:rsidRPr="00831EE4" w:rsidRDefault="00BE0B57" w:rsidP="00831EE4">
      <w:pPr>
        <w:rPr>
          <w:lang w:val="en-US"/>
        </w:rPr>
      </w:pPr>
      <w:r w:rsidRPr="00831EE4">
        <w:rPr>
          <w:lang w:val="en-US"/>
        </w:rPr>
        <w:t xml:space="preserve">Concerning the incentives to increase private insurance coverage against natural disaster-related damages, we highlight the following measures already taken by  the Ministry of Economy and Finance: </w:t>
      </w:r>
    </w:p>
    <w:p w14:paraId="545DF0D9" w14:textId="2E405D09" w:rsidR="00BE0B57" w:rsidRPr="00831EE4" w:rsidRDefault="00BE0B57" w:rsidP="00831EE4">
      <w:pPr>
        <w:pStyle w:val="a4"/>
        <w:numPr>
          <w:ilvl w:val="0"/>
          <w:numId w:val="84"/>
        </w:numPr>
        <w:rPr>
          <w:lang w:val="en-US"/>
        </w:rPr>
      </w:pPr>
      <w:r w:rsidRPr="00831EE4">
        <w:rPr>
          <w:lang w:val="en-US"/>
        </w:rPr>
        <w:t xml:space="preserve">Art. 10 of Law 5162/2024 introduced a reduction of ENFIA property tax for residential private properties insured against natural disaster damages: (a) 20% reduction for properties with taxable value for ENFIA purposes not exceeding </w:t>
      </w:r>
      <w:r w:rsidR="00737B44" w:rsidRPr="00466550">
        <w:rPr>
          <w:lang w:val="en-US"/>
        </w:rPr>
        <w:t>€</w:t>
      </w:r>
      <w:r w:rsidRPr="00831EE4">
        <w:rPr>
          <w:lang w:val="en-US"/>
        </w:rPr>
        <w:t>500</w:t>
      </w:r>
      <w:r w:rsidR="00730320">
        <w:rPr>
          <w:lang w:val="en-US"/>
        </w:rPr>
        <w:t>,</w:t>
      </w:r>
      <w:r w:rsidRPr="00831EE4">
        <w:rPr>
          <w:lang w:val="en-US"/>
        </w:rPr>
        <w:t xml:space="preserve">000 and (b) 10% reduction for properties with taxable value for ENFIA purposes exceeding </w:t>
      </w:r>
      <w:r w:rsidR="00737B44" w:rsidRPr="00466550">
        <w:rPr>
          <w:lang w:val="en-US"/>
        </w:rPr>
        <w:t>€</w:t>
      </w:r>
      <w:r w:rsidRPr="00831EE4">
        <w:rPr>
          <w:lang w:val="en-US"/>
        </w:rPr>
        <w:t>500</w:t>
      </w:r>
      <w:r w:rsidR="00730320">
        <w:rPr>
          <w:lang w:val="en-US"/>
        </w:rPr>
        <w:t>,</w:t>
      </w:r>
      <w:r w:rsidRPr="00831EE4">
        <w:rPr>
          <w:lang w:val="en-US"/>
        </w:rPr>
        <w:t>000.</w:t>
      </w:r>
    </w:p>
    <w:p w14:paraId="32ED8FCC" w14:textId="3F267C13" w:rsidR="00BE0B57" w:rsidRPr="00831EE4" w:rsidRDefault="00BE0B57" w:rsidP="00831EE4">
      <w:pPr>
        <w:pStyle w:val="a4"/>
        <w:numPr>
          <w:ilvl w:val="0"/>
          <w:numId w:val="84"/>
        </w:numPr>
        <w:rPr>
          <w:lang w:val="en-US"/>
        </w:rPr>
      </w:pPr>
      <w:r w:rsidRPr="00831EE4">
        <w:rPr>
          <w:lang w:val="en-US"/>
        </w:rPr>
        <w:t xml:space="preserve">Art. 25 of Law 5162/2024 (amending art. 5 of Law 5116/2024) mandatory insurance of enterprises with annual gross revenues over </w:t>
      </w:r>
      <w:r w:rsidR="00737B44" w:rsidRPr="00466550">
        <w:rPr>
          <w:lang w:val="en-US"/>
        </w:rPr>
        <w:t>€</w:t>
      </w:r>
      <w:r w:rsidRPr="00831EE4">
        <w:rPr>
          <w:lang w:val="en-US"/>
        </w:rPr>
        <w:t>500</w:t>
      </w:r>
      <w:r w:rsidR="00730320">
        <w:rPr>
          <w:lang w:val="en-US"/>
        </w:rPr>
        <w:t>,</w:t>
      </w:r>
      <w:r w:rsidRPr="00831EE4">
        <w:rPr>
          <w:lang w:val="en-US"/>
        </w:rPr>
        <w:t xml:space="preserve">000 against natural disaster damages (threshold lowered compared to earlier provision). </w:t>
      </w:r>
    </w:p>
    <w:p w14:paraId="5EB24C37" w14:textId="77777777" w:rsidR="00BE0B57" w:rsidRPr="00831EE4" w:rsidRDefault="00BE0B57" w:rsidP="00831EE4">
      <w:pPr>
        <w:pStyle w:val="a4"/>
        <w:numPr>
          <w:ilvl w:val="0"/>
          <w:numId w:val="84"/>
        </w:numPr>
        <w:rPr>
          <w:lang w:val="en-US"/>
        </w:rPr>
      </w:pPr>
      <w:r w:rsidRPr="00831EE4">
        <w:rPr>
          <w:lang w:val="en-US"/>
        </w:rPr>
        <w:t xml:space="preserve">Art. 26 of Law 5162/2024 (amending art. 5A of Law 5116/2024) insurance against wildfires and floods are added to the risks against which vehicle insurance is mandatory, starting from June 2025, with the exception of state vehicles. </w:t>
      </w:r>
    </w:p>
    <w:p w14:paraId="45841800" w14:textId="77777777" w:rsidR="00BE0B57" w:rsidRPr="00831EE4" w:rsidRDefault="00BE0B57">
      <w:pPr>
        <w:rPr>
          <w:lang w:val="en-US"/>
        </w:rPr>
      </w:pPr>
      <w:r w:rsidRPr="00831EE4">
        <w:rPr>
          <w:lang w:val="en-US"/>
        </w:rPr>
        <w:t>Furthermore, several measures by the Ministry of the Environment and Energy, (all within the framework of RRP) are being implemented with the objective of increasing energy storage capacity, thereby contributing to more affordable electricity through the balancing of supply and demand and improving the quality of the distribution network.</w:t>
      </w:r>
    </w:p>
    <w:p w14:paraId="77999BBA" w14:textId="77777777" w:rsidR="00BE0B57" w:rsidRPr="00831EE4" w:rsidRDefault="00BE0B57" w:rsidP="00831EE4">
      <w:pPr>
        <w:rPr>
          <w:lang w:val="en-US"/>
        </w:rPr>
      </w:pPr>
      <w:r w:rsidRPr="00831EE4">
        <w:rPr>
          <w:lang w:val="en-US"/>
        </w:rPr>
        <w:t>Among other crucial funding sources, the Decarbonization Fund for the Greek Islands shall allow Greece to claim up to 25 million allowances under the EU ETS for the financing of projects aimed at the decarbonization of electricity consumption in Greek Islands. Since non-interconnected islands rely heavily (in cases, even exclusively) on fossil fuels for their electricity needs, those funds will significantly reinforce the reduction of the reliance on fossil fuels. The agreement to establish Greece's Islands Decarbonization Fund was signed in November 2024 between Greece, EC and EIB, which will consist of three main pillars: Installations to increase the penetration of Renewable Energy Sources (RES), new Renewable Energy Sources (RES) installations and island interconnections.</w:t>
      </w:r>
    </w:p>
    <w:p w14:paraId="7CCB6365" w14:textId="77777777" w:rsidR="00BE0B57" w:rsidRPr="00831EE4" w:rsidRDefault="00BE0B57">
      <w:pPr>
        <w:rPr>
          <w:lang w:val="en-US"/>
        </w:rPr>
      </w:pPr>
      <w:r w:rsidRPr="00831EE4">
        <w:rPr>
          <w:lang w:val="en-US"/>
        </w:rPr>
        <w:t>The updated National Energy and Climate Plan (NECP), adopted in December 2024 and submitted to the European Commission, explicitly integrates the development of  demand-response mechanisms. These are designed to allow consumers to actively participate in the electricity market, facilitating load shifting and system balancing, and thereby contributing to price stability.</w:t>
      </w:r>
    </w:p>
    <w:p w14:paraId="21B1274F" w14:textId="16293DCD" w:rsidR="00BE0B57" w:rsidRPr="00831EE4" w:rsidRDefault="00BE0B57">
      <w:pPr>
        <w:rPr>
          <w:lang w:val="en-US"/>
        </w:rPr>
      </w:pPr>
      <w:r w:rsidRPr="00831EE4">
        <w:rPr>
          <w:lang w:val="en-US"/>
        </w:rPr>
        <w:t>In line with the recommendation for the development of a plan to climate-proof key infrastructure including the water supply, as well as the reform of the institutional framework to enhance the capacity and accountability of local water service providers, the following measures have been implemented:</w:t>
      </w:r>
    </w:p>
    <w:p w14:paraId="243DC0DE" w14:textId="77777777" w:rsidR="00BE0B57" w:rsidRPr="00831EE4" w:rsidRDefault="00BE0B57">
      <w:pPr>
        <w:rPr>
          <w:lang w:val="en-US"/>
        </w:rPr>
      </w:pPr>
      <w:r w:rsidRPr="00831EE4">
        <w:rPr>
          <w:lang w:val="en-US"/>
        </w:rPr>
        <w:t>In June 2025, the first revision of the Flood Risk Management Plans (FRMPs) regarding the country’s river basin districts was completed, which constitutes an important step towards strengthening the resilience of flood-affected areas, protecting human life, property, and the natural environment, and is part of the broader planning for addressing the impacts of climate change. It updates and refines previous flood risk assessments to reflect new data, evolving environmental conditions, and the effectiveness of previous measures, aiming to enhance protection for human health, cultural heritage, and economic activity from flood risks.</w:t>
      </w:r>
    </w:p>
    <w:p w14:paraId="701CBCD8" w14:textId="77777777" w:rsidR="00BE0B57" w:rsidRPr="00831EE4" w:rsidRDefault="00BE0B57">
      <w:pPr>
        <w:rPr>
          <w:i/>
          <w:highlight w:val="yellow"/>
          <w:lang w:val="en-US"/>
        </w:rPr>
      </w:pPr>
      <w:r w:rsidRPr="00831EE4">
        <w:rPr>
          <w:lang w:val="en-US"/>
        </w:rPr>
        <w:t xml:space="preserve">Furthermore, Greece has adopted important measures to climate-proof key infrastructure and to strengthen the institutional framework for the provision of water services. Since late 2024, the dimension of climate resilience has been formally integrated into the environmental permitting process for all projects and activities in Greece, including water infrastructure projects, under Ministerial Decision. </w:t>
      </w:r>
      <w:r>
        <w:t>Τ</w:t>
      </w:r>
      <w:r w:rsidRPr="00831EE4">
        <w:rPr>
          <w:lang w:val="en-US"/>
        </w:rPr>
        <w:t>he Decision mandates that the Environmental Impact Assessment (EIA) of all projects and activities must now include a Climate Resilience Assessment, which involves climate risk and vulnerability analysis of the project, adaptation measures, including monitoring and review mechanisms to assess the effectiveness of these adaptation measures over time. This ensures that all newly licensed infrastructure is designed to withstand the evolving impacts of climate change.</w:t>
      </w:r>
    </w:p>
    <w:p w14:paraId="19858D27" w14:textId="77777777" w:rsidR="00BE0B57" w:rsidRPr="00831EE4" w:rsidRDefault="00BE0B57">
      <w:pPr>
        <w:rPr>
          <w:lang w:val="en-US"/>
        </w:rPr>
      </w:pPr>
      <w:r w:rsidRPr="00831EE4">
        <w:rPr>
          <w:lang w:val="en-US"/>
        </w:rPr>
        <w:t>Institutional reforms have also strengthened the capacity and accountability of water service providers. From September 2024 onwards, Regulatory Authority for Water (RAAEY) the single regulatory supervision body for water services,</w:t>
      </w:r>
      <w:r w:rsidRPr="00831EE4">
        <w:rPr>
          <w:color w:val="EE0000"/>
          <w:sz w:val="22"/>
          <w:lang w:val="en-US"/>
        </w:rPr>
        <w:t xml:space="preserve"> </w:t>
      </w:r>
      <w:r w:rsidRPr="00831EE4">
        <w:rPr>
          <w:lang w:val="en-US"/>
        </w:rPr>
        <w:t xml:space="preserve">is fully operational and supervises the fulfilment of the binding obligations of the water service providers to ensure the continuous provision of affordable, sufficient, and high-quality water services. The main obligations are: a) the issuing of General Water Services Plan (Masterplan) that constitutes the long-term, integrated, and sustainable planning of water services, b) the costing and pricing policy of each provider to be aligned with the regulatory framework governing the costing and pricing of water services that was introduced in 2024, and c) the Certificate of Managerial Capacity for providers, issued by RAAEY. In this framework, RAAEY has certified  several water service providers. </w:t>
      </w:r>
    </w:p>
    <w:p w14:paraId="3384CD30" w14:textId="77777777" w:rsidR="00BE0B57" w:rsidRPr="00831EE4" w:rsidRDefault="00BE0B57" w:rsidP="00831EE4">
      <w:pPr>
        <w:rPr>
          <w:lang w:val="en-US"/>
        </w:rPr>
      </w:pPr>
      <w:r w:rsidRPr="00831EE4">
        <w:rPr>
          <w:lang w:val="en-US"/>
        </w:rPr>
        <w:t>As part of the comprehensive policy on climate-proofing key infrastructure, an initiative has been launched by the Ministry of Climate Crisis and Civil Protection, to prevent forest fires, based on which a Joint Ministerial Decision is planned to be issued by 30/4/2026 in accordance with Article 53B of Law 4662/2020, for the creation of firebreaks, around forests and power lines, involving clearing flammable vegetation down to bare soil to create a barrier that stops or slows wildfire spread.</w:t>
      </w:r>
    </w:p>
    <w:p w14:paraId="59B6EAF5" w14:textId="77777777" w:rsidR="00BE0B57" w:rsidRPr="00831EE4" w:rsidRDefault="00BE0B57" w:rsidP="00831EE4">
      <w:pPr>
        <w:rPr>
          <w:lang w:val="en-US"/>
        </w:rPr>
      </w:pPr>
      <w:r w:rsidRPr="00831EE4">
        <w:rPr>
          <w:lang w:val="en-US"/>
        </w:rPr>
        <w:t>In the same context, the establishment of a Private Insurance Observatory against Natural Disasters was defined, with the aim of initiating a National Strategy for private insurance against natural disasters. The Observatory's operating schedule has been set until March 31, 2026, and formal meetings of the relevant Committee will follow.</w:t>
      </w:r>
    </w:p>
    <w:p w14:paraId="5960B1F0" w14:textId="77777777" w:rsidR="00BE0B57" w:rsidRPr="00831EE4" w:rsidRDefault="00BE0B57">
      <w:pPr>
        <w:rPr>
          <w:lang w:val="en-US"/>
        </w:rPr>
      </w:pPr>
      <w:r w:rsidRPr="00831EE4">
        <w:rPr>
          <w:lang w:val="en-US"/>
        </w:rPr>
        <w:t>The Ministry of Infrastructure and Transport has advanced a comprehensive set of reforms and investments aimed at enhancing sustainability, efficiency, and connectivity across the transport sector.</w:t>
      </w:r>
    </w:p>
    <w:p w14:paraId="6D972478" w14:textId="5A86C3D2" w:rsidR="00BE0B57" w:rsidRPr="00831EE4" w:rsidRDefault="00BE0B57" w:rsidP="00831EE4">
      <w:pPr>
        <w:rPr>
          <w:lang w:val="en-US"/>
        </w:rPr>
      </w:pPr>
      <w:r w:rsidRPr="00831EE4">
        <w:rPr>
          <w:lang w:val="en-US"/>
        </w:rPr>
        <w:t>On decarbonisation and the promotion of electric mobility, payments to beneficiaries were completed under the “Kinoumai Ilektrika</w:t>
      </w:r>
      <w:r w:rsidR="002F6BAA">
        <w:rPr>
          <w:lang w:val="en-US"/>
        </w:rPr>
        <w:t>-</w:t>
      </w:r>
      <w:r w:rsidRPr="00831EE4">
        <w:rPr>
          <w:lang w:val="en-US"/>
        </w:rPr>
        <w:t xml:space="preserve">Cycle B” subsidy scheme and the final implementation report was issued. Cycle C of the programme commenced in May 2024 with a budget of </w:t>
      </w:r>
      <w:r w:rsidR="002F6BAA">
        <w:rPr>
          <w:lang w:val="en-US"/>
        </w:rPr>
        <w:t>€</w:t>
      </w:r>
      <w:r w:rsidRPr="00831EE4">
        <w:rPr>
          <w:lang w:val="en-US"/>
        </w:rPr>
        <w:t xml:space="preserve">33 million and currently applications are still open with the total budget increased to </w:t>
      </w:r>
      <w:r w:rsidR="002F6BAA">
        <w:rPr>
          <w:lang w:val="en-US"/>
        </w:rPr>
        <w:t>€</w:t>
      </w:r>
      <w:r w:rsidRPr="00831EE4">
        <w:rPr>
          <w:lang w:val="en-US"/>
        </w:rPr>
        <w:t>57 million.</w:t>
      </w:r>
    </w:p>
    <w:p w14:paraId="5A5EF917" w14:textId="6B89A05A" w:rsidR="00BE0B57" w:rsidRPr="00831EE4" w:rsidRDefault="00BE0B57" w:rsidP="00831EE4">
      <w:pPr>
        <w:rPr>
          <w:lang w:val="en-US"/>
        </w:rPr>
      </w:pPr>
      <w:r w:rsidRPr="00831EE4">
        <w:rPr>
          <w:lang w:val="en-US"/>
        </w:rPr>
        <w:t>Regarding urban and inter-regional public transport, the Ministry is preparing a large-scale project for the procurement of electric buses, to serve Athens, Thessaloniki, and 20 regional cities, with resources from European funds beyond the RRF. The objective is to phase out polluting public transport vehicles. Superstructure works for the extension of the Athens Tram depot in Elliniko were completed, and the Automatic Fare Collection System for both Metro Line 3 and the Tram extensions to Piraeus advanced, with the completion of equipment maintenance. On Metro Line 1, modernisation of the rolling stock progressed with the delivery of a prototype YE1 trainset. For Athens Metro Line 4, Section A (“Alsos Veikou</w:t>
      </w:r>
      <w:r w:rsidR="002F6BAA">
        <w:rPr>
          <w:lang w:val="en-US"/>
        </w:rPr>
        <w:t>-</w:t>
      </w:r>
      <w:r w:rsidRPr="00831EE4">
        <w:rPr>
          <w:lang w:val="en-US"/>
        </w:rPr>
        <w:t>Goudi”), 20% of the project’s financial scope has already been implemented. In parallel, interoperability arrangements for TAP-N-PAY contactless payments were finalised, and prototype testing of Tram telecommunications equipment was completed.</w:t>
      </w:r>
    </w:p>
    <w:p w14:paraId="0886DDF8" w14:textId="77777777" w:rsidR="00BE0B57" w:rsidRPr="00831EE4" w:rsidRDefault="00BE0B57" w:rsidP="00831EE4">
      <w:pPr>
        <w:rPr>
          <w:lang w:val="en-US"/>
        </w:rPr>
      </w:pPr>
      <w:r w:rsidRPr="00831EE4">
        <w:rPr>
          <w:lang w:val="en-US"/>
        </w:rPr>
        <w:t>In the context of the National Transport Plan for Greece (NTPG), data collection was concluded to strengthen the analytical and technical foundation necessary for developing a comprehensive national strategy for the decarbonisation of the transport sector. This work supports evidence-based planning for reforms and investments in transport infrastructure, as well as the design of measures promoting inter-regional public transport. The next phase involves the elaboration and formal adoption of the updated NTPG, integrating decarbonisation targets and concrete actions to promote sustainable mobility. The implementation of related investment projects, co-financed by the RRF and CEF instruments, will further enhance sustainability, interconnectivity, and multimodality nationwide.</w:t>
      </w:r>
    </w:p>
    <w:p w14:paraId="38FE3B2D" w14:textId="0EAED013" w:rsidR="00BE0B57" w:rsidRPr="00831EE4" w:rsidRDefault="00BE0B57" w:rsidP="00831EE4">
      <w:pPr>
        <w:rPr>
          <w:lang w:val="en-US"/>
        </w:rPr>
      </w:pPr>
      <w:r w:rsidRPr="00831EE4">
        <w:rPr>
          <w:lang w:val="en-US"/>
        </w:rPr>
        <w:t>Finally, in railway infrastructure and operations, within the framework of TSI 2024 and with the support of the National Railway Authority, the Ministry is finalising the national ERTMS Master Plan, which will guide subsequent implementation steps to improve the safety and reliability of rail transport. On the Alexandroupolis</w:t>
      </w:r>
      <w:r w:rsidR="00C91C7B">
        <w:rPr>
          <w:lang w:val="en-US"/>
        </w:rPr>
        <w:t>-</w:t>
      </w:r>
      <w:r w:rsidRPr="00831EE4">
        <w:rPr>
          <w:lang w:val="en-US"/>
        </w:rPr>
        <w:t>Ormenio line upgrade (doubling, electrification, and ETCS signalling), progress continued with the submission of a funding proposal for the Alexandroupolis</w:t>
      </w:r>
      <w:r w:rsidR="00C91C7B">
        <w:rPr>
          <w:lang w:val="en-US"/>
        </w:rPr>
        <w:t>-</w:t>
      </w:r>
      <w:r w:rsidRPr="00831EE4">
        <w:rPr>
          <w:lang w:val="en-US"/>
        </w:rPr>
        <w:t>Pythio section. These developments complement the organisational reform of the railway sector and accelerate the deployment of interoperability, efficiency, and safety measures.</w:t>
      </w:r>
    </w:p>
    <w:p w14:paraId="0C30FD26" w14:textId="10FA30E4" w:rsidR="00BE0B57" w:rsidRDefault="00BE0B57" w:rsidP="00BE0B57">
      <w:pPr>
        <w:rPr>
          <w:color w:val="0000FF"/>
          <w:lang w:val="en-US"/>
        </w:rPr>
      </w:pPr>
    </w:p>
    <w:p w14:paraId="693259D7" w14:textId="77777777" w:rsidR="004E78D7" w:rsidRDefault="004E78D7" w:rsidP="00BE0B57">
      <w:pPr>
        <w:rPr>
          <w:color w:val="0000FF"/>
          <w:lang w:val="en-US"/>
        </w:rPr>
      </w:pPr>
    </w:p>
    <w:p w14:paraId="655BC8B6" w14:textId="77777777" w:rsidR="00737B44" w:rsidRPr="00831EE4" w:rsidRDefault="00737B44" w:rsidP="00BE0B57">
      <w:pPr>
        <w:rPr>
          <w:color w:val="0000FF"/>
          <w:lang w:val="en-US"/>
        </w:rPr>
      </w:pPr>
    </w:p>
    <w:p w14:paraId="4E6C5F70" w14:textId="77777777" w:rsidR="00BE0B57" w:rsidRPr="00831EE4" w:rsidRDefault="00BE0B57" w:rsidP="00831EE4">
      <w:pPr>
        <w:shd w:val="clear" w:color="auto" w:fill="DBE5F1" w:themeFill="accent1" w:themeFillTint="33"/>
        <w:spacing w:before="480"/>
        <w:rPr>
          <w:b/>
          <w:sz w:val="32"/>
          <w:lang w:val="en-US"/>
        </w:rPr>
      </w:pPr>
      <w:r w:rsidRPr="00831EE4">
        <w:rPr>
          <w:b/>
          <w:sz w:val="32"/>
          <w:lang w:val="en-US"/>
        </w:rPr>
        <w:t>CSR 5</w:t>
      </w:r>
    </w:p>
    <w:p w14:paraId="2E963437" w14:textId="77777777" w:rsidR="00BE0B57" w:rsidRPr="00831EE4" w:rsidRDefault="00BE0B57" w:rsidP="00831EE4">
      <w:pPr>
        <w:jc w:val="left"/>
        <w:rPr>
          <w:b/>
          <w:lang w:val="en-US"/>
        </w:rPr>
      </w:pPr>
      <w:bookmarkStart w:id="98" w:name="_heading=h.h1urql96yna"/>
      <w:bookmarkEnd w:id="98"/>
      <w:r w:rsidRPr="00831EE4">
        <w:rPr>
          <w:b/>
          <w:lang w:val="en-US"/>
        </w:rPr>
        <w:t>Increase the rate of women and vulnerable groups in work or looking for work, and help more young people find work by promoting more flexible work arrangements, expanding formal early childhood care and education and long-term care, reinforcing active labour market policies, and tackling skill mismatches. Improve educational outcomes by enhancing continuous professional development for teachers focused on competence-based approaches and aligning student assessment to these approaches, improving school autonomy, and expanding teacher evaluation. Address poverty and social exclusion by further increasing the effectiveness and efficiency of the social protection system.</w:t>
      </w:r>
    </w:p>
    <w:p w14:paraId="535DE45E" w14:textId="3C4F9DE0" w:rsidR="00BE0B57" w:rsidRPr="00831EE4" w:rsidRDefault="00BE0B57" w:rsidP="00831EE4">
      <w:pPr>
        <w:rPr>
          <w:lang w:val="en-US"/>
        </w:rPr>
      </w:pPr>
      <w:r w:rsidRPr="00831EE4">
        <w:rPr>
          <w:lang w:val="en-US"/>
        </w:rPr>
        <w:t>Concerning the effectiveness and efficiency of the social protection system, and in order to provide a clearer overview of the social benefits granted by the State to individuals, the Ministry of Economy and Finance enacted Law 5217/2025 (art. 63-69), which provides for the creation of the National Registry of Benefits and Aids. The central purposes of the registry are: (a) the concentration in a single registry of benefits and aids granted by public sector bodies to natural persons and the productive utilization of public data, (b) the more effective monitoring of the fiscal impact of benefits and aids granted by public sector bodies and (c) the support of the planning and implementation of public policies. A pilot programme will run until June 2026, to include all the social benefits of OPEKA and DYPA, as well as the heating allowance granted by IAPR and the benefits in kind (vouchers) concerning kindergartens granted via EETAA.</w:t>
      </w:r>
    </w:p>
    <w:p w14:paraId="540EC170" w14:textId="2F6F3BC2" w:rsidR="00BE0B57" w:rsidRPr="00831EE4" w:rsidRDefault="00D06AE5" w:rsidP="00831EE4">
      <w:pPr>
        <w:rPr>
          <w:lang w:val="en-US"/>
        </w:rPr>
      </w:pPr>
      <w:sdt>
        <w:sdtPr>
          <w:tag w:val="goog_rdk_0"/>
          <w:id w:val="-603434415"/>
        </w:sdtPr>
        <w:sdtEndPr/>
        <w:sdtContent/>
      </w:sdt>
      <w:r w:rsidR="00BE0B57" w:rsidRPr="00831EE4">
        <w:rPr>
          <w:lang w:val="en-US"/>
        </w:rPr>
        <w:t>Further initiatives –already adopted</w:t>
      </w:r>
      <w:r w:rsidR="00896DC3" w:rsidRPr="00466550">
        <w:rPr>
          <w:lang w:val="en-US"/>
        </w:rPr>
        <w:t>–</w:t>
      </w:r>
      <w:r w:rsidR="00BE0B57" w:rsidRPr="00831EE4">
        <w:rPr>
          <w:lang w:val="en-US"/>
        </w:rPr>
        <w:t xml:space="preserve"> that aim to boost income and address the risks of poverty and social exclusion, while at the same time addressing the demographic and housing crisis are:</w:t>
      </w:r>
    </w:p>
    <w:p w14:paraId="551FD6FA" w14:textId="69C10304" w:rsidR="00BE0B57" w:rsidRPr="00831EE4" w:rsidRDefault="00BE0B57" w:rsidP="00831EE4">
      <w:pPr>
        <w:pStyle w:val="a4"/>
        <w:numPr>
          <w:ilvl w:val="0"/>
          <w:numId w:val="85"/>
        </w:numPr>
        <w:rPr>
          <w:lang w:val="en-US"/>
        </w:rPr>
      </w:pPr>
      <w:r w:rsidRPr="00831EE4">
        <w:rPr>
          <w:lang w:val="en-US"/>
        </w:rPr>
        <w:t xml:space="preserve">Establishment of social support of </w:t>
      </w:r>
      <w:r w:rsidR="00737B44" w:rsidRPr="00831EE4">
        <w:rPr>
          <w:lang w:val="en-US"/>
        </w:rPr>
        <w:t>€</w:t>
      </w:r>
      <w:r w:rsidRPr="00831EE4">
        <w:rPr>
          <w:lang w:val="en-US"/>
        </w:rPr>
        <w:t>250 every November for pensioners over 65 years with low-income criteria (</w:t>
      </w:r>
      <w:r w:rsidR="00737B44" w:rsidRPr="00831EE4">
        <w:rPr>
          <w:lang w:val="en-US"/>
        </w:rPr>
        <w:t>€</w:t>
      </w:r>
      <w:r w:rsidRPr="00831EE4">
        <w:rPr>
          <w:lang w:val="en-US"/>
        </w:rPr>
        <w:t xml:space="preserve">14,000 for unmarried and </w:t>
      </w:r>
      <w:r w:rsidR="00737B44" w:rsidRPr="00831EE4">
        <w:rPr>
          <w:lang w:val="en-US"/>
        </w:rPr>
        <w:t>€</w:t>
      </w:r>
      <w:r w:rsidRPr="00831EE4">
        <w:rPr>
          <w:lang w:val="en-US"/>
        </w:rPr>
        <w:t xml:space="preserve">26,000 for married) as well as uninsured elderly people and persons with disabilities, with an annual fiscal cost of </w:t>
      </w:r>
      <w:r w:rsidR="00737B44" w:rsidRPr="00831EE4">
        <w:rPr>
          <w:lang w:val="en-US"/>
        </w:rPr>
        <w:t>€</w:t>
      </w:r>
      <w:r w:rsidRPr="00831EE4">
        <w:rPr>
          <w:lang w:val="en-US"/>
        </w:rPr>
        <w:t>360 million.</w:t>
      </w:r>
    </w:p>
    <w:p w14:paraId="4187273C" w14:textId="54A7694E" w:rsidR="00BE0B57" w:rsidRPr="00831EE4" w:rsidRDefault="00BE0B57" w:rsidP="00831EE4">
      <w:pPr>
        <w:pStyle w:val="a4"/>
        <w:numPr>
          <w:ilvl w:val="0"/>
          <w:numId w:val="85"/>
        </w:numPr>
        <w:rPr>
          <w:lang w:val="en-US"/>
        </w:rPr>
      </w:pPr>
      <w:r w:rsidRPr="00831EE4">
        <w:rPr>
          <w:lang w:val="en-US"/>
        </w:rPr>
        <w:t xml:space="preserve">From November 2025, annual return of one month’s rent to eligible renters (main house and student’s house), based on income and property criteria, covering around 80% of renters, with an annual cost of </w:t>
      </w:r>
      <w:r w:rsidR="00896DC3" w:rsidRPr="00466550">
        <w:rPr>
          <w:lang w:val="en-US"/>
        </w:rPr>
        <w:t>€</w:t>
      </w:r>
      <w:r w:rsidRPr="00831EE4">
        <w:rPr>
          <w:lang w:val="en-US"/>
        </w:rPr>
        <w:t>230 million.</w:t>
      </w:r>
    </w:p>
    <w:p w14:paraId="78F910A5" w14:textId="69017B47" w:rsidR="00BE0B57" w:rsidRPr="00831EE4" w:rsidRDefault="00BE0B57" w:rsidP="00831EE4">
      <w:pPr>
        <w:pStyle w:val="a4"/>
        <w:numPr>
          <w:ilvl w:val="0"/>
          <w:numId w:val="85"/>
        </w:numPr>
        <w:rPr>
          <w:lang w:val="en-US"/>
        </w:rPr>
      </w:pPr>
      <w:r w:rsidRPr="00831EE4">
        <w:rPr>
          <w:lang w:val="en-US"/>
        </w:rPr>
        <w:t xml:space="preserve">Abolishment of age restrictions for the granting of deafness - hearing loss allowance, with an annual cost of </w:t>
      </w:r>
      <w:r w:rsidR="00896DC3" w:rsidRPr="00466550">
        <w:rPr>
          <w:lang w:val="en-US"/>
        </w:rPr>
        <w:t>€</w:t>
      </w:r>
      <w:r w:rsidRPr="00831EE4">
        <w:rPr>
          <w:lang w:val="en-US"/>
        </w:rPr>
        <w:t>4 million.</w:t>
      </w:r>
    </w:p>
    <w:p w14:paraId="060080B5" w14:textId="2A7450DB" w:rsidR="00BE0B57" w:rsidRPr="00831EE4" w:rsidRDefault="00BE0B57" w:rsidP="00831EE4">
      <w:pPr>
        <w:pStyle w:val="a4"/>
        <w:numPr>
          <w:ilvl w:val="0"/>
          <w:numId w:val="85"/>
        </w:numPr>
        <w:rPr>
          <w:lang w:val="en-US"/>
        </w:rPr>
      </w:pPr>
      <w:r w:rsidRPr="00831EE4">
        <w:rPr>
          <w:lang w:val="en-US"/>
        </w:rPr>
        <w:t xml:space="preserve">Horizontal increase in the public sector wage bill, so that the initial wage does not fall below the minimum wage level. The fiscal cost of the measure was </w:t>
      </w:r>
      <w:r w:rsidR="00737B44" w:rsidRPr="00466550">
        <w:rPr>
          <w:lang w:val="en-US"/>
        </w:rPr>
        <w:t>€</w:t>
      </w:r>
      <w:r w:rsidRPr="00831EE4">
        <w:rPr>
          <w:lang w:val="en-US"/>
        </w:rPr>
        <w:t xml:space="preserve">215 million for 2025, </w:t>
      </w:r>
      <w:r w:rsidR="00737B44" w:rsidRPr="00466550">
        <w:rPr>
          <w:lang w:val="en-US"/>
        </w:rPr>
        <w:t>€</w:t>
      </w:r>
      <w:r w:rsidRPr="00831EE4">
        <w:rPr>
          <w:lang w:val="en-US"/>
        </w:rPr>
        <w:t xml:space="preserve">572 million for 2026 and </w:t>
      </w:r>
      <w:r w:rsidR="00737B44">
        <w:rPr>
          <w:lang w:val="en-US"/>
        </w:rPr>
        <w:t>€</w:t>
      </w:r>
      <w:r w:rsidRPr="00831EE4">
        <w:rPr>
          <w:lang w:val="en-US"/>
        </w:rPr>
        <w:t>882 million for 2027.</w:t>
      </w:r>
    </w:p>
    <w:p w14:paraId="5C564F7B" w14:textId="47F05D1B" w:rsidR="00BE0B57" w:rsidRPr="00831EE4" w:rsidRDefault="00BE0B57" w:rsidP="00831EE4">
      <w:pPr>
        <w:rPr>
          <w:lang w:val="en-US"/>
        </w:rPr>
      </w:pPr>
      <w:r w:rsidRPr="00831EE4">
        <w:rPr>
          <w:lang w:val="en-US"/>
        </w:rPr>
        <w:t>Main initiatives –in the pipeline to be voted on– connected also with the above scope are:</w:t>
      </w:r>
    </w:p>
    <w:p w14:paraId="76341692" w14:textId="77777777" w:rsidR="00BE0B57" w:rsidRPr="00831EE4" w:rsidRDefault="00BE0B57" w:rsidP="00831EE4">
      <w:pPr>
        <w:pStyle w:val="a4"/>
        <w:numPr>
          <w:ilvl w:val="0"/>
          <w:numId w:val="86"/>
        </w:numPr>
        <w:rPr>
          <w:lang w:val="en-US"/>
        </w:rPr>
      </w:pPr>
      <w:r w:rsidRPr="00831EE4">
        <w:rPr>
          <w:lang w:val="en-US"/>
        </w:rPr>
        <w:t>The reform of the tax scale, with a fiscal cost of €1.2 billion for 2026 and €1.6 billion for 2027, is expected to benefit approximately 4 million taxpayers and includes the following measures:</w:t>
      </w:r>
    </w:p>
    <w:p w14:paraId="4752C6AA" w14:textId="3C36A344" w:rsidR="00BE0B57" w:rsidRPr="00831EE4" w:rsidRDefault="00BE0B57" w:rsidP="00831EE4">
      <w:pPr>
        <w:pStyle w:val="a4"/>
        <w:numPr>
          <w:ilvl w:val="0"/>
          <w:numId w:val="88"/>
        </w:numPr>
        <w:rPr>
          <w:lang w:val="en-US"/>
        </w:rPr>
      </w:pPr>
      <w:r w:rsidRPr="00831EE4">
        <w:rPr>
          <w:lang w:val="en-US"/>
        </w:rPr>
        <w:t xml:space="preserve">reduction of tax rates by 2 pp for income ranging from </w:t>
      </w:r>
      <w:r w:rsidR="00737B44" w:rsidRPr="00466550">
        <w:rPr>
          <w:lang w:val="en-US"/>
        </w:rPr>
        <w:t>€</w:t>
      </w:r>
      <w:r w:rsidRPr="00831EE4">
        <w:rPr>
          <w:lang w:val="en-US"/>
        </w:rPr>
        <w:t xml:space="preserve">10,000 to </w:t>
      </w:r>
      <w:r w:rsidR="00737B44" w:rsidRPr="00466550">
        <w:rPr>
          <w:lang w:val="en-US"/>
        </w:rPr>
        <w:t>€</w:t>
      </w:r>
      <w:r w:rsidRPr="00831EE4">
        <w:rPr>
          <w:lang w:val="en-US"/>
        </w:rPr>
        <w:t xml:space="preserve">40,000 </w:t>
      </w:r>
    </w:p>
    <w:p w14:paraId="4D9C49B0" w14:textId="70498DD9" w:rsidR="00BE0B57" w:rsidRPr="00831EE4" w:rsidRDefault="00BE0B57" w:rsidP="00831EE4">
      <w:pPr>
        <w:pStyle w:val="a4"/>
        <w:numPr>
          <w:ilvl w:val="0"/>
          <w:numId w:val="88"/>
        </w:numPr>
        <w:rPr>
          <w:lang w:val="en-US"/>
        </w:rPr>
      </w:pPr>
      <w:r w:rsidRPr="00831EE4">
        <w:rPr>
          <w:lang w:val="en-US"/>
        </w:rPr>
        <w:t xml:space="preserve">introduction of a new scale with a tax rate of 39% for income ranging from </w:t>
      </w:r>
      <w:r w:rsidR="00737B44" w:rsidRPr="00466550">
        <w:rPr>
          <w:lang w:val="en-US"/>
        </w:rPr>
        <w:t>€</w:t>
      </w:r>
      <w:r w:rsidRPr="00831EE4">
        <w:rPr>
          <w:lang w:val="en-US"/>
        </w:rPr>
        <w:t xml:space="preserve">40,000 to </w:t>
      </w:r>
      <w:r w:rsidR="00737B44" w:rsidRPr="00466550">
        <w:rPr>
          <w:lang w:val="en-US"/>
        </w:rPr>
        <w:t>€</w:t>
      </w:r>
      <w:r w:rsidRPr="00831EE4">
        <w:rPr>
          <w:lang w:val="en-US"/>
        </w:rPr>
        <w:t xml:space="preserve">60,000 </w:t>
      </w:r>
    </w:p>
    <w:p w14:paraId="7FC3CE48" w14:textId="53A88D93" w:rsidR="00BE0B57" w:rsidRPr="00831EE4" w:rsidRDefault="00BE0B57" w:rsidP="00831EE4">
      <w:pPr>
        <w:pStyle w:val="a4"/>
        <w:numPr>
          <w:ilvl w:val="0"/>
          <w:numId w:val="88"/>
        </w:numPr>
        <w:rPr>
          <w:lang w:val="en-US"/>
        </w:rPr>
      </w:pPr>
      <w:r w:rsidRPr="00831EE4">
        <w:rPr>
          <w:lang w:val="en-US"/>
        </w:rPr>
        <w:t xml:space="preserve">further reduction of the tax rate for income from </w:t>
      </w:r>
      <w:r w:rsidR="00737B44" w:rsidRPr="00466550">
        <w:rPr>
          <w:lang w:val="en-US"/>
        </w:rPr>
        <w:t>€</w:t>
      </w:r>
      <w:r w:rsidRPr="00831EE4">
        <w:rPr>
          <w:lang w:val="en-US"/>
        </w:rPr>
        <w:t xml:space="preserve">10,000 to </w:t>
      </w:r>
      <w:r w:rsidR="00737B44" w:rsidRPr="00466550">
        <w:rPr>
          <w:lang w:val="en-US"/>
        </w:rPr>
        <w:t>€</w:t>
      </w:r>
      <w:r w:rsidRPr="00831EE4">
        <w:rPr>
          <w:lang w:val="en-US"/>
        </w:rPr>
        <w:t>20,000  according to the number of children and even more for families with more than 3 children</w:t>
      </w:r>
    </w:p>
    <w:p w14:paraId="15CDAF32" w14:textId="550754F3" w:rsidR="00BE0B57" w:rsidRPr="00831EE4" w:rsidRDefault="00BE0B57" w:rsidP="00831EE4">
      <w:pPr>
        <w:pStyle w:val="a4"/>
        <w:numPr>
          <w:ilvl w:val="0"/>
          <w:numId w:val="88"/>
        </w:numPr>
        <w:rPr>
          <w:lang w:val="en-US"/>
        </w:rPr>
      </w:pPr>
      <w:r w:rsidRPr="00831EE4">
        <w:rPr>
          <w:lang w:val="en-US"/>
        </w:rPr>
        <w:t xml:space="preserve">elimination of tax for income up to </w:t>
      </w:r>
      <w:r w:rsidR="00737B44" w:rsidRPr="00466550">
        <w:rPr>
          <w:lang w:val="en-US"/>
        </w:rPr>
        <w:t>€</w:t>
      </w:r>
      <w:r w:rsidRPr="00831EE4">
        <w:rPr>
          <w:lang w:val="en-US"/>
        </w:rPr>
        <w:t>20,000 for young taxpayers under 25 years</w:t>
      </w:r>
    </w:p>
    <w:p w14:paraId="0EC6E191" w14:textId="26019F7C" w:rsidR="00BE0B57" w:rsidRPr="00831EE4" w:rsidRDefault="00BE0B57" w:rsidP="00831EE4">
      <w:pPr>
        <w:pStyle w:val="a4"/>
        <w:numPr>
          <w:ilvl w:val="0"/>
          <w:numId w:val="88"/>
        </w:numPr>
        <w:rPr>
          <w:lang w:val="en-US"/>
        </w:rPr>
      </w:pPr>
      <w:r w:rsidRPr="00831EE4">
        <w:rPr>
          <w:lang w:val="en-US"/>
        </w:rPr>
        <w:t xml:space="preserve">tax rate of 9% for income from </w:t>
      </w:r>
      <w:r w:rsidR="00737B44" w:rsidRPr="00466550">
        <w:rPr>
          <w:lang w:val="en-US"/>
        </w:rPr>
        <w:t>€</w:t>
      </w:r>
      <w:r w:rsidRPr="00831EE4">
        <w:rPr>
          <w:lang w:val="en-US"/>
        </w:rPr>
        <w:t xml:space="preserve">10,000 to </w:t>
      </w:r>
      <w:r w:rsidR="00737B44" w:rsidRPr="00466550">
        <w:rPr>
          <w:lang w:val="en-US"/>
        </w:rPr>
        <w:t>€</w:t>
      </w:r>
      <w:r w:rsidRPr="00831EE4">
        <w:rPr>
          <w:lang w:val="en-US"/>
        </w:rPr>
        <w:t>20,000 for taxpayers in the age cohort of 26-30 years</w:t>
      </w:r>
      <w:r w:rsidR="00737B44">
        <w:rPr>
          <w:lang w:val="en-US"/>
        </w:rPr>
        <w:t>.</w:t>
      </w:r>
    </w:p>
    <w:p w14:paraId="7EC82754" w14:textId="645CE4F2" w:rsidR="00BE0B57" w:rsidRPr="00831EE4" w:rsidRDefault="00BE0B57" w:rsidP="00831EE4">
      <w:pPr>
        <w:pStyle w:val="a4"/>
        <w:numPr>
          <w:ilvl w:val="0"/>
          <w:numId w:val="89"/>
        </w:numPr>
        <w:rPr>
          <w:lang w:val="en-US"/>
        </w:rPr>
      </w:pPr>
      <w:r w:rsidRPr="00831EE4">
        <w:rPr>
          <w:lang w:val="en-US"/>
        </w:rPr>
        <w:t xml:space="preserve">Gradual abolition of ENFIA property tax for main residences in settlements with a population of up to 1,500 residents (50% reduction in 2026 and complete abolition in 2027). The annual cost of the measure is </w:t>
      </w:r>
      <w:r w:rsidR="00737B44" w:rsidRPr="00466550">
        <w:rPr>
          <w:lang w:val="en-US"/>
        </w:rPr>
        <w:t>€</w:t>
      </w:r>
      <w:r w:rsidRPr="00831EE4">
        <w:rPr>
          <w:lang w:val="en-US"/>
        </w:rPr>
        <w:t xml:space="preserve">38 million for 2026 and </w:t>
      </w:r>
      <w:r w:rsidR="00737B44">
        <w:rPr>
          <w:lang w:val="en-US"/>
        </w:rPr>
        <w:t>€</w:t>
      </w:r>
      <w:r w:rsidRPr="00831EE4">
        <w:rPr>
          <w:lang w:val="en-US"/>
        </w:rPr>
        <w:t>75 million for 2027.</w:t>
      </w:r>
    </w:p>
    <w:p w14:paraId="5F99AF6F" w14:textId="058E393E" w:rsidR="00BE0B57" w:rsidRPr="00831EE4" w:rsidRDefault="00BE0B57" w:rsidP="00831EE4">
      <w:pPr>
        <w:pStyle w:val="a4"/>
        <w:numPr>
          <w:ilvl w:val="0"/>
          <w:numId w:val="89"/>
        </w:numPr>
        <w:rPr>
          <w:lang w:val="en-US"/>
        </w:rPr>
      </w:pPr>
      <w:r w:rsidRPr="00831EE4">
        <w:rPr>
          <w:lang w:val="en-US"/>
        </w:rPr>
        <w:t xml:space="preserve">Non-offsetting of 50% of the pension’s increase with the personal difference of pensioners in 2026 and abolition of the offsetting from 2027. The annual cost of the measure is </w:t>
      </w:r>
      <w:r w:rsidR="00737B44">
        <w:rPr>
          <w:lang w:val="en-US"/>
        </w:rPr>
        <w:t>€</w:t>
      </w:r>
      <w:r w:rsidRPr="00831EE4">
        <w:rPr>
          <w:lang w:val="en-US"/>
        </w:rPr>
        <w:t xml:space="preserve">75 million for 2025 and </w:t>
      </w:r>
      <w:r w:rsidR="00737B44">
        <w:rPr>
          <w:lang w:val="en-US"/>
        </w:rPr>
        <w:t>€</w:t>
      </w:r>
      <w:r w:rsidRPr="00831EE4">
        <w:rPr>
          <w:lang w:val="en-US"/>
        </w:rPr>
        <w:t xml:space="preserve">210 million for 2027. </w:t>
      </w:r>
    </w:p>
    <w:p w14:paraId="25EC2126" w14:textId="77777777" w:rsidR="00BE0B57" w:rsidRPr="00831EE4" w:rsidRDefault="00BE0B57">
      <w:pPr>
        <w:rPr>
          <w:lang w:val="en-US"/>
        </w:rPr>
      </w:pPr>
      <w:r w:rsidRPr="00831EE4">
        <w:rPr>
          <w:lang w:val="en-US"/>
        </w:rPr>
        <w:t>With a view to address poverty and social exclusion by further increasing the effectiveness and efficiency of the social protection system, the  Ministry of Migration and Asylum took the initiative to strengthen intercultural mediation services in Community Centers and Immigrant Integration Centers by employing intercultural mediators with a migrant background, while simultaneously implementing relevant training. Furthermore, in respect to the protection of unaccompanied minors and former unaccompanied minors, the implementation of the integration mechanism "Helios Junior" was launched, providing housing support and integration services to former unaccompanied minors. In addition, 155 places are available in emergency accommodation facilities for unaccompanied minors who are homeless or living in precarious conditions, while a new memorandum of understanding has been signed for the accommodation of 850 homeless unaccompanied minors. In the same context, the National Emergency Response Mechanism for minors at risk of homelessness, received 1,000 requests by email or telephone, while by the end of 2025, the Mechanism is envisaged to refer 1,500 unaccompanied minors to appropriate housing and protection services. Moreover, through the National Guardianship System, guardianship services were provided to 2,070 unaccompanied and separated children that will reach 3,000 by the end of the year. At the same time, through the operation of day centers in Athens, Thessaloniki, Lesvos, Ioannina, and Larissa, psychosocial and legal support as well as educational/counseling support is provided to 400 children while mobile child protection units and information centers operate in Athens and Thessaloniki as part of the National Emergency Response Mechanism, supporting 830 unaccompanied minors. The abovementioned initiatives are added to the core initiatives, concerning the 1,507 places which are available in accommodation facilities for unaccompanied minors and the 238 places in supervised apartments through Supported Independent Living for Unaccompanied Children. Moreover, with regard to asylum seeker accommodation facilities, an initiative is being introduced to upgrade the provision of primary health care services, while the operation of 8 Mobile Units/Polyclinics and the provision of medical and psychosocial support services to 62,000 residents will be initiated by the end of the year. Finally, the housing scheme for vulnerable third-country nationals (especially women) "STIRIXIS", is continuing through the issuance of a relevant call for participation and a Joint Ministerial Decision, which are scheduled for November 2025.</w:t>
      </w:r>
    </w:p>
    <w:p w14:paraId="6EC070E4" w14:textId="77777777" w:rsidR="00BE0B57" w:rsidRPr="00831EE4" w:rsidRDefault="00BE0B57" w:rsidP="00831EE4">
      <w:pPr>
        <w:rPr>
          <w:lang w:val="en-US"/>
        </w:rPr>
      </w:pPr>
      <w:r w:rsidRPr="00831EE4">
        <w:rPr>
          <w:lang w:val="en-US"/>
        </w:rPr>
        <w:t>In reference to promoting the integration of beneficiaries of international and temporary protection into the labor market, the successful HELIOS program is continuing through ESF as HELIOS + with emphasis on the labor sector. The program is being implemented in five regions, where 1,000 beneficiaries have already registered and will be provided with housing services by the end of the year, constituting the initial phase of the project. At the same time, through the "Bridging the Skills Gap" project, the provision of employability services to 500 refugees and migrants is set for the end of the year, while through the program "Cultivating futures for migrants", which involves psychosocial and vocational counseling for refugees and migrants in Athens and Lesvos, psychological support and trauma-centered care services will be initially provided to 100 beneficiaries, similarly by the end of the year. Finally, the EU-funded projects “EMBRACE” and “HOST” constitute targeted interventions to combat labor trafficking, by actively engaging the business community and promoting ethical business practices within supply chains.</w:t>
      </w:r>
    </w:p>
    <w:p w14:paraId="67B7BC9C" w14:textId="46E9A7AD" w:rsidR="00BE0B57" w:rsidRPr="00831EE4" w:rsidRDefault="00893FFC" w:rsidP="00831EE4">
      <w:pPr>
        <w:rPr>
          <w:lang w:val="en-US"/>
        </w:rPr>
      </w:pPr>
      <w:r>
        <w:rPr>
          <w:lang w:val="en-US"/>
        </w:rPr>
        <w:t>A</w:t>
      </w:r>
      <w:r w:rsidR="00BE0B57" w:rsidRPr="00831EE4">
        <w:rPr>
          <w:lang w:val="en-US"/>
        </w:rPr>
        <w:t xml:space="preserve">s social exclusion </w:t>
      </w:r>
      <w:r>
        <w:rPr>
          <w:lang w:val="en-US"/>
        </w:rPr>
        <w:t xml:space="preserve">also </w:t>
      </w:r>
      <w:r w:rsidR="00BE0B57" w:rsidRPr="00831EE4">
        <w:rPr>
          <w:lang w:val="en-US"/>
        </w:rPr>
        <w:t>directly affects inmates in correctional facilities, many initiatives have been undertaken by the Ministry of Citizen Protection, such as treatment guidelines for vulnerable LGBTQI+ inmates, the establishment and operation of 16 new educational structures in correctional facilities across the country, the expansion of the EPANODOS, a non-profit organization which aims to reintegrate ex-offenders into society and the labour market, with three new branches and six more planned for 2026, the continuation of the provision of a Temporary Prisoner Health Care Number (PAYPEK), with the aim of providing access to public health structures and medical care for Greek and foreign prisoners who do not have and do not meet the conditions for issuing an AMKA (Social Security Number) with 7,850 beneficiaries to date, along with other key initiatives related to enhancing accessibility for persons with disabilities which are currently underway in 23 correctional facilities, while the works in the remaining 12 correctional facilities will be held in 2026.</w:t>
      </w:r>
    </w:p>
    <w:p w14:paraId="0ECB882A" w14:textId="211D4CCE" w:rsidR="00BE0B57" w:rsidRPr="00831EE4" w:rsidRDefault="00BE0B57" w:rsidP="00831EE4">
      <w:pPr>
        <w:rPr>
          <w:lang w:val="en-US"/>
        </w:rPr>
      </w:pPr>
      <w:r w:rsidRPr="00831EE4">
        <w:rPr>
          <w:lang w:val="en-US"/>
        </w:rPr>
        <w:t>At the same time, the Hellenic Police has taken significant measures to combat social exclusion of vulnerable groups such as the development of an operational plan for the protection of victims of human trafficking, the specialized training for police personnel with a focus on understanding and respecting diversity in terms of race, ethnic origin, religious beliefs, sexual orientation, gender identity</w:t>
      </w:r>
      <w:r w:rsidR="000A05FF">
        <w:rPr>
          <w:lang w:val="en-US"/>
        </w:rPr>
        <w:t>,</w:t>
      </w:r>
      <w:r w:rsidRPr="00831EE4">
        <w:rPr>
          <w:lang w:val="en-US"/>
        </w:rPr>
        <w:t xml:space="preserve"> through the "DISMANTLE" action, as well as the organized training for 300 police officers on dealing with racist violence by the end of 2025, the initiation of a multisectoral network for the benefit of the members of LGBTQI+ communities so as to protect victims of hate and racist crimes (“EXIS” project) and the operational protocols for the management of incidents of gender-based violence, which are expected to be issued by the end of 2025. Finally, the establishment of a new Directorate of Social Policing in May 2025, constitutes a major step in this direction.</w:t>
      </w:r>
    </w:p>
    <w:p w14:paraId="31335E6B" w14:textId="77777777" w:rsidR="00BE0B57" w:rsidRPr="00831EE4" w:rsidRDefault="00BE0B57" w:rsidP="00831EE4">
      <w:pPr>
        <w:rPr>
          <w:lang w:val="en-US"/>
        </w:rPr>
      </w:pPr>
      <w:r w:rsidRPr="00831EE4">
        <w:rPr>
          <w:lang w:val="en-US"/>
        </w:rPr>
        <w:t>Moreover, the Ministry of Education, Religious Affairs and Sports is actively implementing policies aimed at strengthening youth participation in the labour market, particularly among young people, by addressing skill mismatches and improving the relevance of vocational education and training (VET) to employment needs. In September 2025, the National Organisation for the Certification of Qualifications and Vocational Guidance (EOPPEP) launched a public tender for the development of the “Graduate Transition Observatory for VET Graduates (levels 3 and 5 of the NQF)”. This information system will systematically monitor graduates’ career paths, identify skill gaps, and inform the design of new specialties and programmes, thus improving labour market forecasting and alignment of VET provision with employment needs. In parallel, the Institute of Educational Policy (IEP) is developing the “Tracking of School and Employment Pathways through the Transition Observatory”, which will track students’ pathways from school to higher education or employment. The system will provide students, parents, and educators with access to data and tools that support informed educational and career choices. The Ministry of Education also proceeded with the modernisation and simplification of the regulatory framework governing vocational education. Law 5224/2025 introduced simplifications to facilitate the establishment of Vocational Education and Training Centres (KEEK), a reform designed to improve coordination among VET structures (levels 3, 4, and 5), prevent overlaps, and strengthen regional governance mechanisms. Moreover, on 8 October 2025, the Parliament passed the draft law establishing Vocational Training Academies and their integration into the National System of Vocational Education and Training (level 5 of the NQF). These Academies will operate in selected regions, focusing on specific thematic areas and specialties, ensuring direct access to apprenticeship and work-based learning placements through partnerships with local and regional stakeholders. Between Q4 2025 and Q4 2026, further upgrades to the VET system are scheduled to better align VET provision with employment needs, including i) the establishment of the first Vocational Academy, ii) a revised Ministerial Decision on Production and Labour Market Liaison Councils (SSPAE), which will establish clear evaluation criteria for new specialties and strengthen their capacity to effectively identify local labour market needs. Finally, to further strengthen the quality and relevance of VET, Greece is expanding work-based learning (WBL) opportunities, including the Post-secondary Apprenticeship Year for EPAL graduates, which combines school-based learning with paid on-the-job training.</w:t>
      </w:r>
    </w:p>
    <w:p w14:paraId="1AB9FA54" w14:textId="77777777" w:rsidR="00BE0B57" w:rsidRPr="00831EE4" w:rsidRDefault="00BE0B57" w:rsidP="00831EE4">
      <w:pPr>
        <w:rPr>
          <w:lang w:val="en-US"/>
        </w:rPr>
      </w:pPr>
      <w:r w:rsidRPr="00831EE4">
        <w:rPr>
          <w:lang w:val="en-US"/>
        </w:rPr>
        <w:t>The Ministry of Education continues the implementation of a coherent reform programme aimed at creating a new, open, and inclusive school, oriented towards 21st-century skills. The reform agenda aims to improve educational outcomes by enhancing continuous professional development for teachers, aligning student assessment to competence-based approaches, improving school autonomy, and expanding teacher evaluation. Concerned by Greek students’ low performance in PISA, the Ministry of Education commissioned an OECD Policy Review aiming to reach the OECD average by 2027 and address the system's structural shortcomings. Improving educational outcomes is pursued through four main axes: Teacher Professional Development and Evaluation, Strengthening Student Learning Outcomes, School Governance and Autonomy. In more detail, a National Framework for Teacher Professional Development, implemented by IEP from November 2025, promotes continuous upskilling aligned with competence-based teaching. Teacher evaluation, introduced under Law 4823/2021, is planned to be refined based on ADIPPDE and IEP proposals to enhance evaluator roles, criteria, and procedures, with the goal of improving learning outcomes. Moreover, the National System of Diagnostic Examinations (in its fourth year in 2025) monitors learning progress. Curricula have been enriched with interdisciplinary and competence-based approaches, emphasizing critical thinking, citizenship, well-being, STEM, and AI. In both primary and secondary education, further measures have been introduced, including new subjects (e.g., swimming, active citizenship), and the ongoing enrichment of the Bank of Graded Difficulty Examination Topics. The Ministry remains committed to implementing reforms that support early intervention in kindergartens and promote inclusive education. The governance of schools is being strengthened through the expansion of the network of Model and Experimental Schools, the adoption of a legislative framework for the establishment of 22 Onassis Schools, and the pilot introduction of the International Baccalaureate (IB) in the national education system. In the context of forthcoming reforms, a new model of school governance is expected to be introduced. Such an approach will enhance school autonomy, enabling more effective adaptation to local needs and foster innovation within the national framework. The reform of school education, also, includes the introduction of free choice of textbooks among multiple approved titles and a national informatics certification system. Educational opportunities are expected to increase with the establishment of new Sports Schools. Last, 13 Innovation Centres are to be opened, and initiatives have been undertaken to improve school libraries and equip laboratories.</w:t>
      </w:r>
    </w:p>
    <w:p w14:paraId="6BC5189E" w14:textId="6BEE8BCC" w:rsidR="00BE0B57" w:rsidRPr="00831EE4" w:rsidRDefault="00BE0B57" w:rsidP="00831EE4">
      <w:pPr>
        <w:rPr>
          <w:lang w:val="en-US"/>
        </w:rPr>
      </w:pPr>
      <w:r w:rsidRPr="00831EE4">
        <w:rPr>
          <w:lang w:val="en-US"/>
        </w:rPr>
        <w:t>In order to increase the rate of women in employment, the Ministry of Labour and Social Security runs an entrepreneurship support program for 10</w:t>
      </w:r>
      <w:r w:rsidR="00846349">
        <w:rPr>
          <w:lang w:val="en-US"/>
        </w:rPr>
        <w:t>,</w:t>
      </w:r>
      <w:r w:rsidRPr="00831EE4">
        <w:rPr>
          <w:lang w:val="en-US"/>
        </w:rPr>
        <w:t>055 unemployed individuals aged 30-59 with an emphasis on women (about 7</w:t>
      </w:r>
      <w:r w:rsidR="00730320">
        <w:rPr>
          <w:lang w:val="en-US"/>
        </w:rPr>
        <w:t>,</w:t>
      </w:r>
      <w:r w:rsidRPr="00831EE4">
        <w:rPr>
          <w:lang w:val="en-US"/>
        </w:rPr>
        <w:t>000 women) (NSRF). For the period Q4 2025-Q4 2026, a subsidy program is planned for businesses to hire 10</w:t>
      </w:r>
      <w:r w:rsidR="00730320">
        <w:rPr>
          <w:lang w:val="en-US"/>
        </w:rPr>
        <w:t>,</w:t>
      </w:r>
      <w:r w:rsidRPr="00831EE4">
        <w:rPr>
          <w:lang w:val="en-US"/>
        </w:rPr>
        <w:t>000 unemployed women in the private sector, with an emphasis on mothers of minors (national funding). Related to older persons, the following projects are in the implementation phase: program for subsidizing businesses, entities and organizations of the public sector, and local government enterprises to hire unemployed individuals aged 55 years and over, and program subsidizing businesses for hiring 5</w:t>
      </w:r>
      <w:r w:rsidR="00730320">
        <w:rPr>
          <w:lang w:val="en-US"/>
        </w:rPr>
        <w:t>,</w:t>
      </w:r>
      <w:r w:rsidRPr="00831EE4">
        <w:rPr>
          <w:lang w:val="en-US"/>
        </w:rPr>
        <w:t>000 unemployed individuals, aged over 50, in private sector businesses (national funding). To support other vulnerable groups, such as persons with disabilities, a special employment program is being implemented for hiring 2</w:t>
      </w:r>
      <w:r w:rsidR="00730320">
        <w:rPr>
          <w:lang w:val="en-US"/>
        </w:rPr>
        <w:t>,</w:t>
      </w:r>
      <w:r w:rsidRPr="00831EE4">
        <w:rPr>
          <w:lang w:val="en-US"/>
        </w:rPr>
        <w:t>000 unemployed persons with disabilities in First Degree Local Authorities (national funding). Moreover, an Integration and re-integration program will be launched by DYPA to create 3</w:t>
      </w:r>
      <w:r w:rsidR="00730320">
        <w:rPr>
          <w:lang w:val="en-US"/>
        </w:rPr>
        <w:t>,</w:t>
      </w:r>
      <w:r w:rsidRPr="00831EE4">
        <w:rPr>
          <w:lang w:val="en-US"/>
        </w:rPr>
        <w:t>041 new full-time jobs in the private sector for unemployed individuals aged 30 and over who belong to vulnerable social groups (NSRF). Also, DYPA is launching an integrated program to support the employment of 370 unemployed young people (aged 18</w:t>
      </w:r>
      <w:r w:rsidR="00846349">
        <w:rPr>
          <w:lang w:val="en-US"/>
        </w:rPr>
        <w:t>-</w:t>
      </w:r>
      <w:r w:rsidRPr="00831EE4">
        <w:rPr>
          <w:lang w:val="en-US"/>
        </w:rPr>
        <w:t xml:space="preserve">29) from vulnerable social groups (NSRF). To boost young people’s </w:t>
      </w:r>
      <w:r w:rsidR="00C91C7B" w:rsidRPr="00BE0B57">
        <w:rPr>
          <w:lang w:val="en-US"/>
        </w:rPr>
        <w:t>integration</w:t>
      </w:r>
      <w:r w:rsidRPr="00831EE4">
        <w:rPr>
          <w:lang w:val="en-US"/>
        </w:rPr>
        <w:t xml:space="preserve"> into the job market, a co-funded professional experience acquisition - pre-employment training program for 25</w:t>
      </w:r>
      <w:r w:rsidR="00730320">
        <w:rPr>
          <w:lang w:val="en-US"/>
        </w:rPr>
        <w:t>,</w:t>
      </w:r>
      <w:r w:rsidRPr="00831EE4">
        <w:rPr>
          <w:lang w:val="en-US"/>
        </w:rPr>
        <w:t>000 unemployed young people aged 18-29 (NSRF) is currently being implemented. Pre-employment training programs are also being implemented for 500 and 200 unemployed young people aged 18-30 in the Regions of Thessaly and Evros respectively (national funding). Furthermore, DYPA is launching an integrated counseling and employment subsidy program aiming to create 5.971 new full-time jobs for unemployed youth aged 18-29, with businesses receiving a 12-month subsidy for new recruits (NSRF). Last, a co-funded program is planned to enhance new entrepreneurship targeting 2</w:t>
      </w:r>
      <w:r w:rsidR="00730320">
        <w:rPr>
          <w:lang w:val="en-US"/>
        </w:rPr>
        <w:t>,</w:t>
      </w:r>
      <w:r w:rsidRPr="00831EE4">
        <w:rPr>
          <w:lang w:val="en-US"/>
        </w:rPr>
        <w:t>114 unemployed individuals aged 18-29. This program will be focused on young women and the digital and green economy (NSRF).</w:t>
      </w:r>
    </w:p>
    <w:p w14:paraId="034E56C5" w14:textId="007FAA62" w:rsidR="00BE0B57" w:rsidRPr="00831EE4" w:rsidRDefault="00BE0B57" w:rsidP="00831EE4">
      <w:pPr>
        <w:rPr>
          <w:lang w:val="en-US"/>
        </w:rPr>
      </w:pPr>
      <w:r w:rsidRPr="00831EE4">
        <w:rPr>
          <w:lang w:val="en-US"/>
        </w:rPr>
        <w:t>With regard to formal early childhood care and education, DYPA Nurseries are expanding their services. Following the operation of 26 facilities in 2024, two opened in Ilion and Haidari in 2025, increasing the total enrollment capacity from 1</w:t>
      </w:r>
      <w:r w:rsidR="00730320">
        <w:rPr>
          <w:lang w:val="en-US"/>
        </w:rPr>
        <w:t>,</w:t>
      </w:r>
      <w:r w:rsidRPr="00831EE4">
        <w:rPr>
          <w:lang w:val="en-US"/>
        </w:rPr>
        <w:t>492 to 1</w:t>
      </w:r>
      <w:r w:rsidR="00730320">
        <w:rPr>
          <w:lang w:val="en-US"/>
        </w:rPr>
        <w:t>,</w:t>
      </w:r>
      <w:r w:rsidRPr="00831EE4">
        <w:rPr>
          <w:lang w:val="en-US"/>
        </w:rPr>
        <w:t>596 children for the 2025-2026 school year. The construction of four new DYPA Nurseries is scheduled for 2026 in Salamina, Vonitsa, Pyrgos and Agrinio.</w:t>
      </w:r>
    </w:p>
    <w:p w14:paraId="6F63704C" w14:textId="7137575B" w:rsidR="00BE0B57" w:rsidRPr="00831EE4" w:rsidRDefault="00BE0B57" w:rsidP="00831EE4">
      <w:pPr>
        <w:rPr>
          <w:lang w:val="en-US"/>
        </w:rPr>
      </w:pPr>
      <w:r w:rsidRPr="00831EE4">
        <w:rPr>
          <w:lang w:val="en-US"/>
        </w:rPr>
        <w:t>In the framework of reinforcing active labour market policies, a co-financed integrated intervention program for former employees of companies in the manufacture of electrical equipment sector in the region of Attica to provide emergency and immediate support to dismissed individuals (206 people) through vocational counselling, training in digital skills, vocational training and contribution to the establishment of a business, has already been completed. Also, a special subsidy program by DYPA to encourage businesses to hire 1</w:t>
      </w:r>
      <w:r w:rsidR="00730320">
        <w:rPr>
          <w:lang w:val="en-US"/>
        </w:rPr>
        <w:t>,</w:t>
      </w:r>
      <w:r w:rsidRPr="00831EE4">
        <w:rPr>
          <w:lang w:val="en-US"/>
        </w:rPr>
        <w:t>700 unemployed individuals who were formerly employed by companies affected by the "de-lignitization" efforts in Western Macedonia and Megalopolis (NSRF) is ongoing. For the period Q4 2025-Q4 2026, an integrated intervention is planned to create a structured pathway for the entry or reintegration into the labour market of 47</w:t>
      </w:r>
      <w:r w:rsidR="00730320">
        <w:rPr>
          <w:lang w:val="en-US"/>
        </w:rPr>
        <w:t>,</w:t>
      </w:r>
      <w:r w:rsidRPr="00831EE4">
        <w:rPr>
          <w:lang w:val="en-US"/>
        </w:rPr>
        <w:t>000 unemployed persons over 30 years of age, through the development and enhancement of their professional skills. Also, DYPA is launching an employment subsidy program targeting unemployed individuals aged 30 and over, with a major focus on women and those aged 50+. The initiative incentivizes private-sector employers across Greece to hire registered unemployed individuals aged 30+. Lastly, DYPA continues the special subsidy program to encourage businesses to hire another 1</w:t>
      </w:r>
      <w:r w:rsidR="00730320">
        <w:rPr>
          <w:lang w:val="en-US"/>
        </w:rPr>
        <w:t>,</w:t>
      </w:r>
      <w:r w:rsidRPr="00831EE4">
        <w:rPr>
          <w:lang w:val="en-US"/>
        </w:rPr>
        <w:t>000 unemployed individuals who were formerly employed by companies affected by the de-lignitization in Western Macedonia and Megalopolis (NSRF).</w:t>
      </w:r>
    </w:p>
    <w:p w14:paraId="54D7FE4F" w14:textId="24EAC892" w:rsidR="00BE0B57" w:rsidRPr="00831EE4" w:rsidRDefault="00BE0B57" w:rsidP="00831EE4">
      <w:pPr>
        <w:rPr>
          <w:lang w:val="en-US"/>
        </w:rPr>
      </w:pPr>
      <w:r w:rsidRPr="00831EE4">
        <w:rPr>
          <w:lang w:val="en-US"/>
        </w:rPr>
        <w:t xml:space="preserve">As regards the efforts to increase women in work, the </w:t>
      </w:r>
      <w:r w:rsidR="00A24466">
        <w:rPr>
          <w:lang w:val="en-US"/>
        </w:rPr>
        <w:t>“</w:t>
      </w:r>
      <w:r w:rsidRPr="00831EE4">
        <w:rPr>
          <w:lang w:val="en-US"/>
        </w:rPr>
        <w:t xml:space="preserve">Nannies of the </w:t>
      </w:r>
      <w:r w:rsidR="00C91C7B" w:rsidRPr="00BE0B57">
        <w:rPr>
          <w:lang w:val="en-US"/>
        </w:rPr>
        <w:t>Neighborhood</w:t>
      </w:r>
      <w:r w:rsidRPr="00831EE4">
        <w:rPr>
          <w:lang w:val="en-US"/>
        </w:rPr>
        <w:t xml:space="preserve">” Programme is a key initiative being implemented by the Ministry of Social Cohesion and Family Affairs, in order to provide accredited childcare and financial vouchers to support mothers and caregivers in reintegrating into the labour market. During </w:t>
      </w:r>
      <w:r w:rsidR="00A24466">
        <w:rPr>
          <w:lang w:val="en-US"/>
        </w:rPr>
        <w:t>Q3 2024-Q3 2025</w:t>
      </w:r>
      <w:r w:rsidRPr="00831EE4">
        <w:rPr>
          <w:lang w:val="en-US"/>
        </w:rPr>
        <w:t>, the programme was piloted in 62 municipalities. The Programme is planned to expand nationwide during the period Q4 2025</w:t>
      </w:r>
      <w:r w:rsidR="00896DC3">
        <w:rPr>
          <w:lang w:val="en-US"/>
        </w:rPr>
        <w:t>-</w:t>
      </w:r>
      <w:r w:rsidRPr="00831EE4">
        <w:rPr>
          <w:lang w:val="en-US"/>
        </w:rPr>
        <w:t xml:space="preserve">Q4 2026. Moreover, the FAIR PAY Project is taking into account the framework set by the EU Directive 2023/970 on pay transparency. Its actions include the development of guidance, analytical tools and checklists for the assessment and comparison of equal pay for equal work or work of equal value within the same employer, including the implementation of gender-neutral job evaluation and classification systems. A bilingual website (in Greek and in English) has been created: </w:t>
      </w:r>
      <w:hyperlink r:id="rId24" w:history="1">
        <w:r w:rsidRPr="00831EE4">
          <w:rPr>
            <w:rStyle w:val="-"/>
            <w:color w:val="0000FF"/>
            <w:lang w:val="en-US"/>
          </w:rPr>
          <w:t>https://fairpay.isotita.gr</w:t>
        </w:r>
      </w:hyperlink>
      <w:r w:rsidRPr="00831EE4">
        <w:rPr>
          <w:lang w:val="en-US"/>
        </w:rPr>
        <w:t>. For the period Q4 2025</w:t>
      </w:r>
      <w:r w:rsidR="00896DC3">
        <w:rPr>
          <w:lang w:val="en-US"/>
        </w:rPr>
        <w:t>-</w:t>
      </w:r>
      <w:r w:rsidRPr="00831EE4">
        <w:rPr>
          <w:lang w:val="en-US"/>
        </w:rPr>
        <w:t>Q4 2026, two workshops on consultation with social partners and competent stakeholders are scheduled to take place in Athens. The project includes a series of activities, such as the exchange of good practices, consultation with stakeholders, the production of educational material for employers and employees, capacity building seminars, as well as publicity, awareness-raising and networking actions among stakeholders. The education material, the seminars and the publicity activities will be implemented in 2026. The Employment Support for Women Victims of GBV is a programme providing subsidized employment and entrepreneurship opportunities covering up to 90% of wages, targeting GBV survivors, trafficking victims, and transgender persons to facilitate labour market integration (in collaboration with the Public Employment Service - DYPA). Since September 2022, the Employment Program of DYPA has been amended to include unemployed women victims of domestic and gender-based violence among the eligible beneficiaries. For the period Q3 2024</w:t>
      </w:r>
      <w:r w:rsidR="00896DC3">
        <w:rPr>
          <w:lang w:val="en-US"/>
        </w:rPr>
        <w:t>-</w:t>
      </w:r>
      <w:r w:rsidRPr="00831EE4">
        <w:rPr>
          <w:lang w:val="en-US"/>
        </w:rPr>
        <w:t>Q3 2025, 37 applications were submitted to the Counseling Centers and 6 applications to the Shelters, with the corresponding certificates issued. The program will continue for the period Q4 2025</w:t>
      </w:r>
      <w:r w:rsidR="00896DC3">
        <w:rPr>
          <w:lang w:val="en-US"/>
        </w:rPr>
        <w:t>-</w:t>
      </w:r>
      <w:r w:rsidRPr="00831EE4">
        <w:rPr>
          <w:lang w:val="en-US"/>
        </w:rPr>
        <w:t>Q4 2026. Lastly, for the period Q4 2025</w:t>
      </w:r>
      <w:r w:rsidR="00896DC3">
        <w:rPr>
          <w:lang w:val="en-US"/>
        </w:rPr>
        <w:t>-</w:t>
      </w:r>
      <w:r w:rsidRPr="00831EE4">
        <w:rPr>
          <w:lang w:val="en-US"/>
        </w:rPr>
        <w:t>Q4 2026, the Equality Label will be implemented, encouraging companies to adopt gender equality measures in pay, training, parental protection, work-life balance, and harassment prevention.</w:t>
      </w:r>
    </w:p>
    <w:p w14:paraId="7D44006D" w14:textId="13B507BA" w:rsidR="00BE0B57" w:rsidRPr="00831EE4" w:rsidRDefault="00BE0B57" w:rsidP="00831EE4">
      <w:pPr>
        <w:rPr>
          <w:lang w:val="en-US"/>
        </w:rPr>
      </w:pPr>
      <w:r w:rsidRPr="00831EE4">
        <w:rPr>
          <w:lang w:val="en-US"/>
        </w:rPr>
        <w:t>To promote and expand long-term care, a National Strategic Framework for Long-Term Care was formulated in July 2024 and was presented in December 2024. The design of a National Action Plan for Long-Term Care is currently in progress. Also, a Technical Support Instrument (TSI) project “Reform of long-term care in Greece” is being implemented by the OECD in cooperation with the Reform and Investment Task Force (SG Reform) of the European Commission. For the period Q4 2025</w:t>
      </w:r>
      <w:r w:rsidR="00896DC3">
        <w:rPr>
          <w:lang w:val="en-US"/>
        </w:rPr>
        <w:t>-</w:t>
      </w:r>
      <w:r w:rsidRPr="00831EE4">
        <w:rPr>
          <w:lang w:val="en-US"/>
        </w:rPr>
        <w:t>Q4 2026 a peer review proposed by Greece will be organized in Athens (January 2026), focusing on regional disparities in access to long-term care in Greece and participatory strategies for equitable service delivery. The forthcoming deliverables of the project include Stakeholder consultation on the new long-term care model, and a Roadmap for the national roll-out for the new person-centred long-term care model.</w:t>
      </w:r>
    </w:p>
    <w:p w14:paraId="34D14CBC" w14:textId="66EDB47D" w:rsidR="00BE0B57" w:rsidRPr="00831EE4" w:rsidRDefault="00BE0B57" w:rsidP="00831EE4">
      <w:pPr>
        <w:rPr>
          <w:lang w:val="en-US"/>
        </w:rPr>
      </w:pPr>
      <w:r w:rsidRPr="00831EE4">
        <w:rPr>
          <w:lang w:val="en-US"/>
        </w:rPr>
        <w:t>With respect to housing policies, during Q3 2024</w:t>
      </w:r>
      <w:r w:rsidR="00896DC3">
        <w:rPr>
          <w:lang w:val="en-US"/>
        </w:rPr>
        <w:t>-</w:t>
      </w:r>
      <w:r w:rsidRPr="00831EE4">
        <w:rPr>
          <w:lang w:val="en-US"/>
        </w:rPr>
        <w:t>Q3 2025, the Housing and Work for the Homeless program was implemented, aiming at individuals and families living in conditions of homelessness or precarious housing. It provides a rent subsidy and coverage of basic needs, a job subsidy and training. The program is implemented every two years. During the reference period, the determination of the terms and conditions for the implementation of the program took place, as well as the issuance of Call for applications for funding. For the period Q4 2025</w:t>
      </w:r>
      <w:r w:rsidR="00896DC3">
        <w:rPr>
          <w:lang w:val="en-US"/>
        </w:rPr>
        <w:t>-</w:t>
      </w:r>
      <w:r w:rsidRPr="00831EE4">
        <w:rPr>
          <w:lang w:val="en-US"/>
        </w:rPr>
        <w:t xml:space="preserve"> Q4 2026, an amendment to the joint ministerial decision is planned, increasing the budget from </w:t>
      </w:r>
      <w:r w:rsidR="00896DC3">
        <w:rPr>
          <w:lang w:val="en-US"/>
        </w:rPr>
        <w:t>€</w:t>
      </w:r>
      <w:r w:rsidRPr="00831EE4">
        <w:rPr>
          <w:lang w:val="en-US"/>
        </w:rPr>
        <w:t xml:space="preserve">20 to </w:t>
      </w:r>
      <w:r w:rsidR="00896DC3">
        <w:rPr>
          <w:lang w:val="en-US"/>
        </w:rPr>
        <w:t>€</w:t>
      </w:r>
      <w:r w:rsidRPr="00831EE4">
        <w:rPr>
          <w:lang w:val="en-US"/>
        </w:rPr>
        <w:t>25 million. Also, the programme “COVER” provides private housing with subsidized rent to young people aged 25-39, beneficiaries of the Guaranteed Minimum Income (GMI) who do not own a primary residence. The beneficiaries of the program amount to 429 people.</w:t>
      </w:r>
    </w:p>
    <w:p w14:paraId="5C799AF1" w14:textId="53E09060" w:rsidR="00BE0B57" w:rsidRPr="00831EE4" w:rsidRDefault="00BE0B57" w:rsidP="00831EE4">
      <w:pPr>
        <w:rPr>
          <w:lang w:val="en-US"/>
        </w:rPr>
      </w:pPr>
      <w:r w:rsidRPr="00831EE4">
        <w:rPr>
          <w:lang w:val="en-US"/>
        </w:rPr>
        <w:t>To strengthen early childhood care and family support, the Ministry implements a comprehensive framework of welfare and childcare programs under the General Secretariat for Demographic and Housing Policy. These include a voucher-based scheme for the next two years (Joint Ministerial Decision 134947/ Government Gazette B’ 4127/29</w:t>
      </w:r>
      <w:r w:rsidR="00846349">
        <w:rPr>
          <w:lang w:val="en-US"/>
        </w:rPr>
        <w:t>.0</w:t>
      </w:r>
      <w:r w:rsidRPr="00831EE4">
        <w:rPr>
          <w:lang w:val="en-US"/>
        </w:rPr>
        <w:t>7</w:t>
      </w:r>
      <w:r w:rsidR="00846349">
        <w:rPr>
          <w:lang w:val="en-US"/>
        </w:rPr>
        <w:t>.</w:t>
      </w:r>
      <w:r w:rsidRPr="00831EE4">
        <w:rPr>
          <w:lang w:val="en-US"/>
        </w:rPr>
        <w:t>2025) providing access to early childhood education and care services for infants and toddlers, and to creative and inclusion services for children, adolescents, and persons with disabilities, based on economic and social criteria. Single-parent families receive additional points in recognition of their specific needs. Complementary benefits, such as the universal child allowance, the birth grant, and annual income support for families in mountainous and disadvantaged areas, further reinforce social protection and demographic resilience. All measures are financed through a mix of national and EU resources and aim to reduce child poverty, promote equal opportunities, and enhance work</w:t>
      </w:r>
      <w:r w:rsidR="00896DC3">
        <w:rPr>
          <w:lang w:val="en-US"/>
        </w:rPr>
        <w:t>-</w:t>
      </w:r>
      <w:r w:rsidRPr="00831EE4">
        <w:rPr>
          <w:lang w:val="en-US"/>
        </w:rPr>
        <w:t>life balance for parents.</w:t>
      </w:r>
    </w:p>
    <w:p w14:paraId="4039F6CD" w14:textId="77777777" w:rsidR="00BE0B57" w:rsidRPr="00831EE4" w:rsidRDefault="00BE0B57" w:rsidP="00BE0B57">
      <w:pPr>
        <w:spacing w:before="240" w:after="240"/>
        <w:rPr>
          <w:color w:val="0000FF"/>
          <w:lang w:val="en-US"/>
        </w:rPr>
      </w:pPr>
    </w:p>
    <w:p w14:paraId="0ABDFBDB" w14:textId="77777777" w:rsidR="00BE0B57" w:rsidRPr="00831EE4" w:rsidRDefault="00BE0B57" w:rsidP="00BE0B57">
      <w:pPr>
        <w:spacing w:before="240" w:after="240"/>
        <w:rPr>
          <w:color w:val="0000FF"/>
          <w:lang w:val="en-US"/>
        </w:rPr>
      </w:pPr>
    </w:p>
    <w:p w14:paraId="3573AAD2" w14:textId="77777777" w:rsidR="00BE0B57" w:rsidRPr="00831EE4" w:rsidRDefault="00BE0B57" w:rsidP="00BE0B57">
      <w:pPr>
        <w:spacing w:before="240" w:after="240"/>
        <w:rPr>
          <w:color w:val="0000FF"/>
          <w:lang w:val="en-US"/>
        </w:rPr>
      </w:pPr>
    </w:p>
    <w:p w14:paraId="0C3BA360" w14:textId="77777777" w:rsidR="00BE0B57" w:rsidRPr="00831EE4" w:rsidRDefault="00BE0B57" w:rsidP="00831EE4">
      <w:pPr>
        <w:rPr>
          <w:lang w:val="en-US"/>
        </w:rPr>
      </w:pPr>
    </w:p>
    <w:p w14:paraId="741FD938" w14:textId="77777777" w:rsidR="00382A83" w:rsidRDefault="00382A83">
      <w:pPr>
        <w:spacing w:after="200" w:line="276" w:lineRule="auto"/>
        <w:jc w:val="left"/>
        <w:rPr>
          <w:rFonts w:ascii="Calibri Light" w:eastAsiaTheme="majorEastAsia" w:hAnsi="Calibri Light" w:cstheme="majorBidi"/>
          <w:b/>
          <w:bCs/>
          <w:color w:val="4F81BD" w:themeColor="accent1"/>
          <w:w w:val="90"/>
          <w:sz w:val="48"/>
          <w:szCs w:val="28"/>
          <w:lang w:val="en-US"/>
        </w:rPr>
      </w:pPr>
      <w:r>
        <w:rPr>
          <w:lang w:val="en-US"/>
        </w:rPr>
        <w:br w:type="page"/>
      </w:r>
    </w:p>
    <w:p w14:paraId="5557FCB0" w14:textId="1947D76B" w:rsidR="0007264A" w:rsidRPr="002F1B83" w:rsidRDefault="0007264A">
      <w:pPr>
        <w:pStyle w:val="1"/>
        <w:spacing w:after="480"/>
        <w:rPr>
          <w:lang w:val="en-US"/>
        </w:rPr>
      </w:pPr>
      <w:bookmarkStart w:id="99" w:name="_Toc211418450"/>
      <w:r w:rsidRPr="002F1B83">
        <w:rPr>
          <w:lang w:val="en-US"/>
        </w:rPr>
        <w:t xml:space="preserve">Annex I: </w:t>
      </w:r>
      <w:r w:rsidR="009B6626" w:rsidRPr="002F1B83">
        <w:rPr>
          <w:lang w:val="en-US"/>
        </w:rPr>
        <w:t>DBP</w:t>
      </w:r>
      <w:r w:rsidR="006D48A4" w:rsidRPr="002F1B83">
        <w:rPr>
          <w:lang w:val="en-US"/>
        </w:rPr>
        <w:t xml:space="preserve"> tables</w:t>
      </w:r>
      <w:bookmarkEnd w:id="99"/>
    </w:p>
    <w:p w14:paraId="2B85C1F5" w14:textId="4270C1DC" w:rsidR="004A62BD" w:rsidRDefault="004528EC" w:rsidP="004528EC">
      <w:pPr>
        <w:pStyle w:val="ae"/>
      </w:pPr>
      <w:bookmarkStart w:id="100" w:name="_Toc211355110"/>
      <w:r>
        <w:t xml:space="preserve">Table </w:t>
      </w:r>
      <w:r w:rsidR="00540C3A">
        <w:fldChar w:fldCharType="begin"/>
      </w:r>
      <w:r>
        <w:instrText xml:space="preserve"> SEQ Table \* ARABIC </w:instrText>
      </w:r>
      <w:r w:rsidR="00540C3A">
        <w:fldChar w:fldCharType="separate"/>
      </w:r>
      <w:r w:rsidR="00AF0E6B">
        <w:rPr>
          <w:noProof/>
        </w:rPr>
        <w:t>16</w:t>
      </w:r>
      <w:r w:rsidR="00540C3A">
        <w:fldChar w:fldCharType="end"/>
      </w:r>
      <w:r>
        <w:t xml:space="preserve"> | </w:t>
      </w:r>
      <w:r w:rsidRPr="004528EC">
        <w:t>Macroeconomic scenario</w:t>
      </w:r>
      <w:bookmarkEnd w:id="100"/>
    </w:p>
    <w:tbl>
      <w:tblPr>
        <w:tblW w:w="8902" w:type="dxa"/>
        <w:jc w:val="center"/>
        <w:tblLook w:val="04A0" w:firstRow="1" w:lastRow="0" w:firstColumn="1" w:lastColumn="0" w:noHBand="0" w:noVBand="1"/>
      </w:tblPr>
      <w:tblGrid>
        <w:gridCol w:w="4516"/>
        <w:gridCol w:w="839"/>
        <w:gridCol w:w="1132"/>
        <w:gridCol w:w="703"/>
        <w:gridCol w:w="918"/>
        <w:gridCol w:w="781"/>
        <w:gridCol w:w="13"/>
      </w:tblGrid>
      <w:tr w:rsidR="00A7313F" w:rsidRPr="00A23EEB" w14:paraId="02553C9A" w14:textId="77777777" w:rsidTr="002C39AD">
        <w:trPr>
          <w:gridAfter w:val="1"/>
          <w:wAfter w:w="13" w:type="dxa"/>
          <w:trHeight w:val="255"/>
          <w:jc w:val="center"/>
        </w:trPr>
        <w:tc>
          <w:tcPr>
            <w:tcW w:w="4516" w:type="dxa"/>
            <w:tcBorders>
              <w:top w:val="nil"/>
              <w:left w:val="nil"/>
              <w:bottom w:val="nil"/>
              <w:right w:val="nil"/>
            </w:tcBorders>
            <w:shd w:val="clear" w:color="000000" w:fill="BFBFBF"/>
            <w:vAlign w:val="center"/>
            <w:hideMark/>
          </w:tcPr>
          <w:p w14:paraId="456E9B8F" w14:textId="77777777" w:rsidR="004B5AAC" w:rsidRPr="00A23EEB" w:rsidRDefault="004B5AAC" w:rsidP="00B857F7">
            <w:pPr>
              <w:pStyle w:val="Tabletext"/>
              <w:rPr>
                <w:b/>
                <w:sz w:val="24"/>
              </w:rPr>
            </w:pPr>
            <w:r w:rsidRPr="00A23EEB">
              <w:rPr>
                <w:b/>
                <w:sz w:val="24"/>
              </w:rPr>
              <w:t> </w:t>
            </w:r>
          </w:p>
        </w:tc>
        <w:tc>
          <w:tcPr>
            <w:tcW w:w="839" w:type="dxa"/>
            <w:tcBorders>
              <w:top w:val="nil"/>
              <w:left w:val="nil"/>
              <w:bottom w:val="nil"/>
              <w:right w:val="nil"/>
            </w:tcBorders>
            <w:shd w:val="clear" w:color="000000" w:fill="BFBFBF"/>
            <w:vAlign w:val="center"/>
            <w:hideMark/>
          </w:tcPr>
          <w:p w14:paraId="3F52A8B2" w14:textId="77777777" w:rsidR="004B5AAC" w:rsidRPr="00A23EEB" w:rsidRDefault="004B5AAC" w:rsidP="00B857F7">
            <w:pPr>
              <w:pStyle w:val="Tabletext"/>
              <w:rPr>
                <w:b/>
                <w:sz w:val="24"/>
              </w:rPr>
            </w:pPr>
            <w:r w:rsidRPr="00A23EEB">
              <w:rPr>
                <w:b/>
                <w:sz w:val="24"/>
              </w:rPr>
              <w:t>ESA Code</w:t>
            </w:r>
          </w:p>
        </w:tc>
        <w:tc>
          <w:tcPr>
            <w:tcW w:w="1132" w:type="dxa"/>
            <w:tcBorders>
              <w:top w:val="nil"/>
              <w:left w:val="single" w:sz="4" w:space="0" w:color="FFFFFF"/>
              <w:right w:val="single" w:sz="4" w:space="0" w:color="FFFFFF"/>
            </w:tcBorders>
            <w:shd w:val="clear" w:color="000000" w:fill="BFBFBF"/>
            <w:vAlign w:val="center"/>
            <w:hideMark/>
          </w:tcPr>
          <w:p w14:paraId="611E9625" w14:textId="77777777" w:rsidR="004B5AAC" w:rsidRPr="00A23EEB" w:rsidRDefault="004B5AAC" w:rsidP="00B857F7">
            <w:pPr>
              <w:pStyle w:val="Tabletext"/>
              <w:jc w:val="center"/>
              <w:rPr>
                <w:b/>
                <w:sz w:val="24"/>
              </w:rPr>
            </w:pPr>
            <w:r w:rsidRPr="00A23EEB">
              <w:rPr>
                <w:b/>
                <w:sz w:val="24"/>
              </w:rPr>
              <w:t>2024 (Levels)</w:t>
            </w:r>
          </w:p>
        </w:tc>
        <w:tc>
          <w:tcPr>
            <w:tcW w:w="703" w:type="dxa"/>
            <w:tcBorders>
              <w:top w:val="nil"/>
              <w:left w:val="nil"/>
              <w:bottom w:val="nil"/>
              <w:right w:val="nil"/>
            </w:tcBorders>
            <w:shd w:val="clear" w:color="000000" w:fill="BFBFBF"/>
            <w:vAlign w:val="center"/>
            <w:hideMark/>
          </w:tcPr>
          <w:p w14:paraId="6D72EF57" w14:textId="77777777" w:rsidR="004B5AAC" w:rsidRPr="00A23EEB" w:rsidRDefault="004B5AAC" w:rsidP="00B857F7">
            <w:pPr>
              <w:pStyle w:val="Tabletext"/>
              <w:jc w:val="center"/>
              <w:rPr>
                <w:b/>
                <w:sz w:val="24"/>
              </w:rPr>
            </w:pPr>
            <w:r w:rsidRPr="00A23EEB">
              <w:rPr>
                <w:b/>
                <w:sz w:val="24"/>
              </w:rPr>
              <w:t>2024</w:t>
            </w:r>
          </w:p>
        </w:tc>
        <w:tc>
          <w:tcPr>
            <w:tcW w:w="918" w:type="dxa"/>
            <w:tcBorders>
              <w:top w:val="nil"/>
              <w:left w:val="nil"/>
              <w:bottom w:val="nil"/>
              <w:right w:val="nil"/>
            </w:tcBorders>
            <w:shd w:val="clear" w:color="000000" w:fill="BFBFBF"/>
            <w:vAlign w:val="center"/>
            <w:hideMark/>
          </w:tcPr>
          <w:p w14:paraId="6D54DE01" w14:textId="77777777" w:rsidR="004B5AAC" w:rsidRPr="00A23EEB" w:rsidRDefault="004B5AAC" w:rsidP="00B857F7">
            <w:pPr>
              <w:pStyle w:val="Tabletext"/>
              <w:jc w:val="center"/>
              <w:rPr>
                <w:b/>
                <w:sz w:val="24"/>
              </w:rPr>
            </w:pPr>
            <w:r w:rsidRPr="00A23EEB">
              <w:rPr>
                <w:b/>
                <w:sz w:val="24"/>
              </w:rPr>
              <w:t>2025</w:t>
            </w:r>
          </w:p>
        </w:tc>
        <w:tc>
          <w:tcPr>
            <w:tcW w:w="781" w:type="dxa"/>
            <w:tcBorders>
              <w:top w:val="nil"/>
              <w:left w:val="nil"/>
              <w:bottom w:val="nil"/>
              <w:right w:val="single" w:sz="2" w:space="0" w:color="FFFFFF" w:themeColor="background1"/>
            </w:tcBorders>
            <w:shd w:val="clear" w:color="000000" w:fill="BFBFBF"/>
            <w:vAlign w:val="center"/>
            <w:hideMark/>
          </w:tcPr>
          <w:p w14:paraId="6BD5C0E0" w14:textId="77777777" w:rsidR="004B5AAC" w:rsidRPr="00A23EEB" w:rsidRDefault="004B5AAC" w:rsidP="00B857F7">
            <w:pPr>
              <w:pStyle w:val="Tabletext"/>
              <w:jc w:val="center"/>
              <w:rPr>
                <w:b/>
                <w:sz w:val="24"/>
              </w:rPr>
            </w:pPr>
            <w:r w:rsidRPr="00A23EEB">
              <w:rPr>
                <w:b/>
                <w:sz w:val="24"/>
              </w:rPr>
              <w:t>2026</w:t>
            </w:r>
          </w:p>
        </w:tc>
      </w:tr>
      <w:tr w:rsidR="00A7313F" w:rsidRPr="004B5AAC" w14:paraId="4A11D105" w14:textId="77777777" w:rsidTr="002C39AD">
        <w:trPr>
          <w:trHeight w:val="519"/>
          <w:jc w:val="center"/>
        </w:trPr>
        <w:tc>
          <w:tcPr>
            <w:tcW w:w="4516" w:type="dxa"/>
            <w:tcBorders>
              <w:top w:val="nil"/>
              <w:left w:val="nil"/>
              <w:bottom w:val="nil"/>
            </w:tcBorders>
            <w:shd w:val="clear" w:color="000000" w:fill="C0C0C0"/>
            <w:vAlign w:val="center"/>
            <w:hideMark/>
          </w:tcPr>
          <w:p w14:paraId="1B0290BA" w14:textId="77777777" w:rsidR="004B5AAC" w:rsidRPr="004B5AAC" w:rsidRDefault="004B5AAC" w:rsidP="00B857F7">
            <w:pPr>
              <w:pStyle w:val="Tabletext"/>
            </w:pPr>
            <w:r w:rsidRPr="004B5AAC">
              <w:t> </w:t>
            </w:r>
          </w:p>
        </w:tc>
        <w:tc>
          <w:tcPr>
            <w:tcW w:w="839" w:type="dxa"/>
            <w:tcBorders>
              <w:top w:val="nil"/>
              <w:bottom w:val="nil"/>
              <w:right w:val="single" w:sz="2" w:space="0" w:color="FFFFFF" w:themeColor="background1"/>
            </w:tcBorders>
            <w:shd w:val="clear" w:color="000000" w:fill="C0C0C0"/>
            <w:vAlign w:val="center"/>
            <w:hideMark/>
          </w:tcPr>
          <w:p w14:paraId="4C76EC90" w14:textId="77777777" w:rsidR="004B5AAC" w:rsidRPr="004B5AAC" w:rsidRDefault="004B5AAC" w:rsidP="00B857F7">
            <w:pPr>
              <w:pStyle w:val="Tabletext"/>
            </w:pPr>
            <w:r w:rsidRPr="004B5AAC">
              <w:t> </w:t>
            </w:r>
          </w:p>
        </w:tc>
        <w:tc>
          <w:tcPr>
            <w:tcW w:w="1132" w:type="dxa"/>
            <w:tcBorders>
              <w:top w:val="nil"/>
              <w:left w:val="single" w:sz="2" w:space="0" w:color="FFFFFF" w:themeColor="background1"/>
              <w:bottom w:val="nil"/>
              <w:right w:val="single" w:sz="2" w:space="0" w:color="FFFFFF" w:themeColor="background1"/>
            </w:tcBorders>
            <w:shd w:val="clear" w:color="000000" w:fill="BFBFBF"/>
            <w:vAlign w:val="center"/>
            <w:hideMark/>
          </w:tcPr>
          <w:p w14:paraId="095E3B9D" w14:textId="77777777" w:rsidR="004B5AAC" w:rsidRPr="004B5AAC" w:rsidRDefault="004B5AAC" w:rsidP="00B857F7">
            <w:pPr>
              <w:pStyle w:val="Tabletext"/>
              <w:jc w:val="center"/>
            </w:pPr>
            <w:r w:rsidRPr="004B5AAC">
              <w:t>bn EUR</w:t>
            </w:r>
          </w:p>
        </w:tc>
        <w:tc>
          <w:tcPr>
            <w:tcW w:w="2415" w:type="dxa"/>
            <w:gridSpan w:val="4"/>
            <w:tcBorders>
              <w:top w:val="nil"/>
              <w:left w:val="single" w:sz="2" w:space="0" w:color="FFFFFF" w:themeColor="background1"/>
              <w:bottom w:val="nil"/>
              <w:right w:val="single" w:sz="2" w:space="0" w:color="FFFFFF" w:themeColor="background1"/>
            </w:tcBorders>
            <w:shd w:val="clear" w:color="000000" w:fill="BFBFBF"/>
            <w:vAlign w:val="center"/>
            <w:hideMark/>
          </w:tcPr>
          <w:p w14:paraId="7F21ADB4" w14:textId="77777777" w:rsidR="004B5AAC" w:rsidRPr="004B5AAC" w:rsidRDefault="004B5AAC" w:rsidP="00B857F7">
            <w:pPr>
              <w:pStyle w:val="Tabletext"/>
              <w:jc w:val="center"/>
            </w:pPr>
            <w:r w:rsidRPr="004B5AAC">
              <w:t>growth rate</w:t>
            </w:r>
          </w:p>
        </w:tc>
      </w:tr>
      <w:tr w:rsidR="00A7313F" w:rsidRPr="00A23EEB" w14:paraId="5F43ACCC" w14:textId="77777777" w:rsidTr="002C39AD">
        <w:trPr>
          <w:gridAfter w:val="1"/>
          <w:wAfter w:w="13" w:type="dxa"/>
          <w:trHeight w:val="255"/>
          <w:jc w:val="center"/>
        </w:trPr>
        <w:tc>
          <w:tcPr>
            <w:tcW w:w="4516" w:type="dxa"/>
            <w:tcBorders>
              <w:top w:val="nil"/>
              <w:left w:val="nil"/>
              <w:bottom w:val="nil"/>
            </w:tcBorders>
            <w:shd w:val="clear" w:color="000000" w:fill="BFBFBF"/>
            <w:vAlign w:val="center"/>
            <w:hideMark/>
          </w:tcPr>
          <w:p w14:paraId="288C85C2" w14:textId="77777777" w:rsidR="004B5AAC" w:rsidRPr="00A23EEB" w:rsidRDefault="004B5AAC" w:rsidP="00B857F7">
            <w:pPr>
              <w:pStyle w:val="Tabletext"/>
              <w:rPr>
                <w:b/>
                <w:sz w:val="24"/>
              </w:rPr>
            </w:pPr>
            <w:r w:rsidRPr="00A23EEB">
              <w:rPr>
                <w:b/>
                <w:sz w:val="24"/>
              </w:rPr>
              <w:t>GDP</w:t>
            </w:r>
          </w:p>
        </w:tc>
        <w:tc>
          <w:tcPr>
            <w:tcW w:w="839" w:type="dxa"/>
            <w:tcBorders>
              <w:top w:val="nil"/>
              <w:bottom w:val="nil"/>
            </w:tcBorders>
            <w:shd w:val="clear" w:color="000000" w:fill="BFBFBF"/>
            <w:vAlign w:val="center"/>
            <w:hideMark/>
          </w:tcPr>
          <w:p w14:paraId="31F42E42" w14:textId="77777777" w:rsidR="004B5AAC" w:rsidRPr="00A23EEB" w:rsidRDefault="004B5AAC" w:rsidP="00B857F7">
            <w:pPr>
              <w:pStyle w:val="Tabletext"/>
              <w:rPr>
                <w:b/>
                <w:sz w:val="24"/>
              </w:rPr>
            </w:pPr>
            <w:r w:rsidRPr="00A23EEB">
              <w:rPr>
                <w:b/>
                <w:sz w:val="24"/>
              </w:rPr>
              <w:t> </w:t>
            </w:r>
          </w:p>
        </w:tc>
        <w:tc>
          <w:tcPr>
            <w:tcW w:w="1132" w:type="dxa"/>
            <w:tcBorders>
              <w:top w:val="nil"/>
              <w:bottom w:val="nil"/>
            </w:tcBorders>
            <w:shd w:val="clear" w:color="000000" w:fill="BFBFBF"/>
            <w:vAlign w:val="center"/>
            <w:hideMark/>
          </w:tcPr>
          <w:p w14:paraId="7F9F5817" w14:textId="77777777" w:rsidR="004B5AAC" w:rsidRPr="00A23EEB" w:rsidRDefault="004B5AAC" w:rsidP="00B857F7">
            <w:pPr>
              <w:pStyle w:val="Tabletext"/>
              <w:jc w:val="center"/>
              <w:rPr>
                <w:b/>
                <w:sz w:val="24"/>
              </w:rPr>
            </w:pPr>
          </w:p>
        </w:tc>
        <w:tc>
          <w:tcPr>
            <w:tcW w:w="703" w:type="dxa"/>
            <w:tcBorders>
              <w:top w:val="nil"/>
              <w:bottom w:val="nil"/>
            </w:tcBorders>
            <w:shd w:val="clear" w:color="000000" w:fill="BFBFBF"/>
            <w:vAlign w:val="center"/>
            <w:hideMark/>
          </w:tcPr>
          <w:p w14:paraId="1F035A73" w14:textId="77777777" w:rsidR="004B5AAC" w:rsidRPr="00A23EEB" w:rsidRDefault="004B5AAC" w:rsidP="00B857F7">
            <w:pPr>
              <w:pStyle w:val="Tabletext"/>
              <w:jc w:val="center"/>
              <w:rPr>
                <w:b/>
                <w:sz w:val="24"/>
              </w:rPr>
            </w:pPr>
          </w:p>
        </w:tc>
        <w:tc>
          <w:tcPr>
            <w:tcW w:w="918" w:type="dxa"/>
            <w:tcBorders>
              <w:top w:val="nil"/>
              <w:bottom w:val="nil"/>
            </w:tcBorders>
            <w:shd w:val="clear" w:color="000000" w:fill="BFBFBF"/>
            <w:vAlign w:val="center"/>
            <w:hideMark/>
          </w:tcPr>
          <w:p w14:paraId="5EB1BD6D" w14:textId="77777777" w:rsidR="004B5AAC" w:rsidRPr="00A23EEB" w:rsidRDefault="004B5AAC" w:rsidP="00B857F7">
            <w:pPr>
              <w:pStyle w:val="Tabletext"/>
              <w:jc w:val="center"/>
              <w:rPr>
                <w:b/>
                <w:sz w:val="24"/>
              </w:rPr>
            </w:pPr>
          </w:p>
        </w:tc>
        <w:tc>
          <w:tcPr>
            <w:tcW w:w="781" w:type="dxa"/>
            <w:tcBorders>
              <w:top w:val="nil"/>
              <w:bottom w:val="nil"/>
            </w:tcBorders>
            <w:shd w:val="clear" w:color="000000" w:fill="BFBFBF"/>
            <w:vAlign w:val="center"/>
            <w:hideMark/>
          </w:tcPr>
          <w:p w14:paraId="63BCDBA8" w14:textId="77777777" w:rsidR="004B5AAC" w:rsidRPr="00A23EEB" w:rsidRDefault="004B5AAC" w:rsidP="00B857F7">
            <w:pPr>
              <w:pStyle w:val="Tabletext"/>
              <w:jc w:val="center"/>
              <w:rPr>
                <w:b/>
                <w:sz w:val="24"/>
              </w:rPr>
            </w:pPr>
          </w:p>
        </w:tc>
      </w:tr>
      <w:tr w:rsidR="006F2033" w:rsidRPr="004B5AAC" w14:paraId="1BDE2C03"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4248F61C" w14:textId="77777777" w:rsidR="006F2033" w:rsidRPr="004B5AAC" w:rsidRDefault="006F2033" w:rsidP="00B857F7">
            <w:pPr>
              <w:pStyle w:val="Tabletext"/>
            </w:pPr>
            <w:r w:rsidRPr="004B5AAC">
              <w:t>1. Real GDP</w:t>
            </w:r>
          </w:p>
        </w:tc>
        <w:tc>
          <w:tcPr>
            <w:tcW w:w="839" w:type="dxa"/>
            <w:tcBorders>
              <w:top w:val="nil"/>
              <w:left w:val="nil"/>
              <w:bottom w:val="single" w:sz="4" w:space="0" w:color="FFFFFF"/>
              <w:right w:val="nil"/>
            </w:tcBorders>
            <w:shd w:val="clear" w:color="000000" w:fill="F2F2F2"/>
            <w:vAlign w:val="center"/>
            <w:hideMark/>
          </w:tcPr>
          <w:p w14:paraId="04166E83" w14:textId="77777777" w:rsidR="006F2033" w:rsidRPr="004B5AAC" w:rsidRDefault="006F2033" w:rsidP="00B857F7">
            <w:pPr>
              <w:pStyle w:val="Tabletext"/>
            </w:pPr>
            <w:r w:rsidRPr="004B5AAC">
              <w:t>B.1*g</w:t>
            </w:r>
          </w:p>
        </w:tc>
        <w:tc>
          <w:tcPr>
            <w:tcW w:w="1132" w:type="dxa"/>
            <w:vMerge w:val="restart"/>
            <w:tcBorders>
              <w:top w:val="nil"/>
              <w:left w:val="single" w:sz="4" w:space="0" w:color="FFFFFF"/>
              <w:right w:val="single" w:sz="4" w:space="0" w:color="FFFFFF"/>
            </w:tcBorders>
            <w:shd w:val="clear" w:color="auto" w:fill="A6A6A6" w:themeFill="background1" w:themeFillShade="A6"/>
            <w:vAlign w:val="center"/>
            <w:hideMark/>
          </w:tcPr>
          <w:p w14:paraId="6B9A3F00" w14:textId="77777777" w:rsidR="006F2033" w:rsidRPr="004B5AAC" w:rsidRDefault="006F2033" w:rsidP="00B857F7">
            <w:pPr>
              <w:pStyle w:val="Tabletext"/>
              <w:jc w:val="center"/>
            </w:pPr>
          </w:p>
          <w:p w14:paraId="176FD1AC"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37CB71E7" w14:textId="77777777" w:rsidR="006F2033" w:rsidRPr="004B5AAC" w:rsidRDefault="006F2033" w:rsidP="00B857F7">
            <w:pPr>
              <w:pStyle w:val="Tabletext"/>
              <w:jc w:val="center"/>
            </w:pPr>
            <w:r w:rsidRPr="004B5AAC">
              <w:t>2.3</w:t>
            </w:r>
          </w:p>
        </w:tc>
        <w:tc>
          <w:tcPr>
            <w:tcW w:w="918" w:type="dxa"/>
            <w:tcBorders>
              <w:top w:val="nil"/>
              <w:left w:val="nil"/>
              <w:bottom w:val="single" w:sz="4" w:space="0" w:color="FFFFFF"/>
              <w:right w:val="nil"/>
            </w:tcBorders>
            <w:shd w:val="clear" w:color="000000" w:fill="F2F2F2"/>
            <w:vAlign w:val="center"/>
            <w:hideMark/>
          </w:tcPr>
          <w:p w14:paraId="12DD6A29" w14:textId="77777777" w:rsidR="006F2033" w:rsidRPr="004B5AAC" w:rsidRDefault="006F2033" w:rsidP="00B857F7">
            <w:pPr>
              <w:pStyle w:val="Tabletext"/>
              <w:jc w:val="center"/>
            </w:pPr>
            <w:r w:rsidRPr="004B5AAC">
              <w:t>2.2</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533E660F" w14:textId="77777777" w:rsidR="006F2033" w:rsidRPr="004B5AAC" w:rsidRDefault="006F2033" w:rsidP="00B857F7">
            <w:pPr>
              <w:pStyle w:val="Tabletext"/>
              <w:jc w:val="center"/>
            </w:pPr>
            <w:r w:rsidRPr="004B5AAC">
              <w:t>2.4</w:t>
            </w:r>
          </w:p>
        </w:tc>
      </w:tr>
      <w:tr w:rsidR="006F2033" w:rsidRPr="004B5AAC" w14:paraId="2924CAA2"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354B2B68" w14:textId="77777777" w:rsidR="006F2033" w:rsidRPr="004B5AAC" w:rsidRDefault="006F2033" w:rsidP="00B857F7">
            <w:pPr>
              <w:pStyle w:val="Tabletext"/>
            </w:pPr>
            <w:r w:rsidRPr="004B5AAC">
              <w:t>2. GDP deflator</w:t>
            </w:r>
          </w:p>
        </w:tc>
        <w:tc>
          <w:tcPr>
            <w:tcW w:w="839" w:type="dxa"/>
            <w:tcBorders>
              <w:top w:val="nil"/>
              <w:left w:val="nil"/>
              <w:bottom w:val="single" w:sz="4" w:space="0" w:color="FFFFFF"/>
              <w:right w:val="nil"/>
            </w:tcBorders>
            <w:shd w:val="clear" w:color="000000" w:fill="D9D9D9"/>
            <w:vAlign w:val="center"/>
            <w:hideMark/>
          </w:tcPr>
          <w:p w14:paraId="1FCD1717" w14:textId="77777777" w:rsidR="006F2033" w:rsidRPr="004B5AAC" w:rsidRDefault="006F2033" w:rsidP="00B857F7">
            <w:pPr>
              <w:pStyle w:val="Tabletext"/>
            </w:pPr>
            <w:r w:rsidRPr="004B5AAC">
              <w:t> </w:t>
            </w:r>
          </w:p>
        </w:tc>
        <w:tc>
          <w:tcPr>
            <w:tcW w:w="1132" w:type="dxa"/>
            <w:vMerge/>
            <w:tcBorders>
              <w:left w:val="single" w:sz="4" w:space="0" w:color="FFFFFF"/>
              <w:bottom w:val="single" w:sz="4" w:space="0" w:color="FFFFFF"/>
              <w:right w:val="single" w:sz="4" w:space="0" w:color="FFFFFF"/>
            </w:tcBorders>
            <w:shd w:val="clear" w:color="auto" w:fill="A6A6A6" w:themeFill="background1" w:themeFillShade="A6"/>
            <w:vAlign w:val="center"/>
            <w:hideMark/>
          </w:tcPr>
          <w:p w14:paraId="19FB8CD3"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D9D9D9"/>
            <w:vAlign w:val="center"/>
            <w:hideMark/>
          </w:tcPr>
          <w:p w14:paraId="6256285B" w14:textId="77777777" w:rsidR="006F2033" w:rsidRPr="004B5AAC" w:rsidRDefault="006F2033" w:rsidP="00B857F7">
            <w:pPr>
              <w:pStyle w:val="Tabletext"/>
              <w:jc w:val="center"/>
            </w:pPr>
            <w:r w:rsidRPr="004B5AAC">
              <w:t>3.2</w:t>
            </w:r>
          </w:p>
        </w:tc>
        <w:tc>
          <w:tcPr>
            <w:tcW w:w="918" w:type="dxa"/>
            <w:tcBorders>
              <w:top w:val="nil"/>
              <w:left w:val="nil"/>
              <w:bottom w:val="single" w:sz="4" w:space="0" w:color="FFFFFF"/>
              <w:right w:val="nil"/>
            </w:tcBorders>
            <w:shd w:val="clear" w:color="000000" w:fill="D9D9D9"/>
            <w:vAlign w:val="center"/>
            <w:hideMark/>
          </w:tcPr>
          <w:p w14:paraId="1E57239F" w14:textId="77777777" w:rsidR="006F2033" w:rsidRPr="004B5AAC" w:rsidRDefault="006F2033" w:rsidP="00B857F7">
            <w:pPr>
              <w:pStyle w:val="Tabletext"/>
              <w:jc w:val="center"/>
            </w:pPr>
            <w:r w:rsidRPr="004B5AAC">
              <w:t>2.8</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0FFE4835" w14:textId="77777777" w:rsidR="006F2033" w:rsidRPr="004B5AAC" w:rsidRDefault="006F2033" w:rsidP="00B857F7">
            <w:pPr>
              <w:pStyle w:val="Tabletext"/>
              <w:jc w:val="center"/>
            </w:pPr>
            <w:r w:rsidRPr="004B5AAC">
              <w:t>2.1</w:t>
            </w:r>
          </w:p>
        </w:tc>
      </w:tr>
      <w:tr w:rsidR="00A7313F" w:rsidRPr="004B5AAC" w14:paraId="2FEBC3E6" w14:textId="77777777" w:rsidTr="002C39AD">
        <w:trPr>
          <w:gridAfter w:val="1"/>
          <w:wAfter w:w="13" w:type="dxa"/>
          <w:trHeight w:val="255"/>
          <w:jc w:val="center"/>
        </w:trPr>
        <w:tc>
          <w:tcPr>
            <w:tcW w:w="4516" w:type="dxa"/>
            <w:tcBorders>
              <w:top w:val="nil"/>
              <w:left w:val="nil"/>
              <w:right w:val="nil"/>
            </w:tcBorders>
            <w:shd w:val="clear" w:color="auto" w:fill="F2F2F2" w:themeFill="background1" w:themeFillShade="F2"/>
            <w:vAlign w:val="center"/>
            <w:hideMark/>
          </w:tcPr>
          <w:p w14:paraId="037E773B" w14:textId="77777777" w:rsidR="004B5AAC" w:rsidRPr="004B5AAC" w:rsidRDefault="004B5AAC" w:rsidP="00B857F7">
            <w:pPr>
              <w:pStyle w:val="Tabletext"/>
            </w:pPr>
            <w:r w:rsidRPr="004B5AAC">
              <w:t>3. Nominal GDP</w:t>
            </w:r>
          </w:p>
        </w:tc>
        <w:tc>
          <w:tcPr>
            <w:tcW w:w="839" w:type="dxa"/>
            <w:tcBorders>
              <w:top w:val="nil"/>
              <w:left w:val="nil"/>
              <w:right w:val="nil"/>
            </w:tcBorders>
            <w:shd w:val="clear" w:color="auto" w:fill="F2F2F2" w:themeFill="background1" w:themeFillShade="F2"/>
            <w:vAlign w:val="center"/>
            <w:hideMark/>
          </w:tcPr>
          <w:p w14:paraId="25B0C5C3" w14:textId="77777777" w:rsidR="004B5AAC" w:rsidRPr="004B5AAC" w:rsidRDefault="004B5AAC" w:rsidP="00B857F7">
            <w:pPr>
              <w:pStyle w:val="Tabletext"/>
            </w:pPr>
            <w:r w:rsidRPr="004B5AAC">
              <w:t>B.1*g</w:t>
            </w:r>
          </w:p>
        </w:tc>
        <w:tc>
          <w:tcPr>
            <w:tcW w:w="1132" w:type="dxa"/>
            <w:tcBorders>
              <w:top w:val="nil"/>
              <w:left w:val="single" w:sz="4" w:space="0" w:color="FFFFFF"/>
              <w:right w:val="single" w:sz="4" w:space="0" w:color="FFFFFF"/>
            </w:tcBorders>
            <w:shd w:val="clear" w:color="auto" w:fill="F2F2F2" w:themeFill="background1" w:themeFillShade="F2"/>
            <w:vAlign w:val="center"/>
            <w:hideMark/>
          </w:tcPr>
          <w:p w14:paraId="099F8D94" w14:textId="77777777" w:rsidR="004B5AAC" w:rsidRPr="004B5AAC" w:rsidRDefault="004B5AAC" w:rsidP="00B857F7">
            <w:pPr>
              <w:pStyle w:val="Tabletext"/>
              <w:jc w:val="center"/>
            </w:pPr>
            <w:r w:rsidRPr="004B5AAC">
              <w:t>237</w:t>
            </w:r>
            <w:r w:rsidR="004D6E50">
              <w:t>.</w:t>
            </w:r>
            <w:r w:rsidRPr="004B5AAC">
              <w:t>573</w:t>
            </w:r>
          </w:p>
        </w:tc>
        <w:tc>
          <w:tcPr>
            <w:tcW w:w="703" w:type="dxa"/>
            <w:tcBorders>
              <w:top w:val="nil"/>
              <w:left w:val="nil"/>
              <w:right w:val="nil"/>
            </w:tcBorders>
            <w:shd w:val="clear" w:color="auto" w:fill="F2F2F2" w:themeFill="background1" w:themeFillShade="F2"/>
            <w:vAlign w:val="center"/>
            <w:hideMark/>
          </w:tcPr>
          <w:p w14:paraId="49072209" w14:textId="77777777" w:rsidR="004B5AAC" w:rsidRPr="004B5AAC" w:rsidRDefault="004B5AAC" w:rsidP="00B857F7">
            <w:pPr>
              <w:pStyle w:val="Tabletext"/>
              <w:jc w:val="center"/>
            </w:pPr>
            <w:r w:rsidRPr="004B5AAC">
              <w:t>5.5</w:t>
            </w:r>
          </w:p>
        </w:tc>
        <w:tc>
          <w:tcPr>
            <w:tcW w:w="918" w:type="dxa"/>
            <w:tcBorders>
              <w:top w:val="nil"/>
              <w:left w:val="nil"/>
              <w:right w:val="nil"/>
            </w:tcBorders>
            <w:shd w:val="clear" w:color="auto" w:fill="F2F2F2" w:themeFill="background1" w:themeFillShade="F2"/>
            <w:vAlign w:val="center"/>
            <w:hideMark/>
          </w:tcPr>
          <w:p w14:paraId="31B180BF" w14:textId="77777777" w:rsidR="004B5AAC" w:rsidRPr="004B5AAC" w:rsidRDefault="004B5AAC" w:rsidP="00B857F7">
            <w:pPr>
              <w:pStyle w:val="Tabletext"/>
              <w:jc w:val="center"/>
            </w:pPr>
            <w:r w:rsidRPr="004B5AAC">
              <w:t>5.1</w:t>
            </w:r>
          </w:p>
        </w:tc>
        <w:tc>
          <w:tcPr>
            <w:tcW w:w="781" w:type="dxa"/>
            <w:tcBorders>
              <w:top w:val="nil"/>
              <w:left w:val="nil"/>
              <w:right w:val="single" w:sz="2" w:space="0" w:color="FFFFFF" w:themeColor="background1"/>
            </w:tcBorders>
            <w:shd w:val="clear" w:color="auto" w:fill="F2F2F2" w:themeFill="background1" w:themeFillShade="F2"/>
            <w:vAlign w:val="center"/>
            <w:hideMark/>
          </w:tcPr>
          <w:p w14:paraId="01A4F230" w14:textId="77777777" w:rsidR="004B5AAC" w:rsidRPr="004B5AAC" w:rsidRDefault="004B5AAC" w:rsidP="00B857F7">
            <w:pPr>
              <w:pStyle w:val="Tabletext"/>
              <w:jc w:val="center"/>
            </w:pPr>
            <w:r w:rsidRPr="004B5AAC">
              <w:t>4.6</w:t>
            </w:r>
          </w:p>
        </w:tc>
      </w:tr>
      <w:tr w:rsidR="00A7313F" w:rsidRPr="00A23EEB" w14:paraId="3FF75D4B" w14:textId="77777777" w:rsidTr="002C39AD">
        <w:trPr>
          <w:gridAfter w:val="1"/>
          <w:wAfter w:w="13" w:type="dxa"/>
          <w:trHeight w:val="255"/>
          <w:jc w:val="center"/>
        </w:trPr>
        <w:tc>
          <w:tcPr>
            <w:tcW w:w="4516" w:type="dxa"/>
            <w:tcBorders>
              <w:top w:val="nil"/>
              <w:left w:val="nil"/>
              <w:bottom w:val="nil"/>
            </w:tcBorders>
            <w:shd w:val="clear" w:color="000000" w:fill="BFBFBF"/>
            <w:vAlign w:val="center"/>
            <w:hideMark/>
          </w:tcPr>
          <w:p w14:paraId="02C72BB2" w14:textId="77777777" w:rsidR="004B5AAC" w:rsidRPr="00A23EEB" w:rsidRDefault="004B5AAC" w:rsidP="00B857F7">
            <w:pPr>
              <w:pStyle w:val="Tabletext"/>
              <w:rPr>
                <w:b/>
                <w:sz w:val="24"/>
              </w:rPr>
            </w:pPr>
            <w:r w:rsidRPr="00A23EEB">
              <w:rPr>
                <w:b/>
                <w:sz w:val="24"/>
              </w:rPr>
              <w:t>Components of real GDP</w:t>
            </w:r>
          </w:p>
        </w:tc>
        <w:tc>
          <w:tcPr>
            <w:tcW w:w="839" w:type="dxa"/>
            <w:tcBorders>
              <w:top w:val="nil"/>
              <w:bottom w:val="nil"/>
            </w:tcBorders>
            <w:shd w:val="clear" w:color="000000" w:fill="BFBFBF"/>
            <w:vAlign w:val="center"/>
            <w:hideMark/>
          </w:tcPr>
          <w:p w14:paraId="2DE4022D" w14:textId="77777777" w:rsidR="004B5AAC" w:rsidRPr="00A23EEB" w:rsidRDefault="004B5AAC" w:rsidP="00B857F7">
            <w:pPr>
              <w:pStyle w:val="Tabletext"/>
              <w:rPr>
                <w:b/>
                <w:sz w:val="24"/>
              </w:rPr>
            </w:pPr>
            <w:r w:rsidRPr="00A23EEB">
              <w:rPr>
                <w:b/>
                <w:sz w:val="24"/>
              </w:rPr>
              <w:t> </w:t>
            </w:r>
          </w:p>
        </w:tc>
        <w:tc>
          <w:tcPr>
            <w:tcW w:w="1132" w:type="dxa"/>
            <w:tcBorders>
              <w:top w:val="nil"/>
              <w:bottom w:val="nil"/>
            </w:tcBorders>
            <w:shd w:val="clear" w:color="000000" w:fill="BFBFBF"/>
            <w:vAlign w:val="center"/>
            <w:hideMark/>
          </w:tcPr>
          <w:p w14:paraId="1F344484" w14:textId="77777777" w:rsidR="004B5AAC" w:rsidRPr="00A23EEB" w:rsidRDefault="004B5AAC" w:rsidP="00B857F7">
            <w:pPr>
              <w:pStyle w:val="Tabletext"/>
              <w:jc w:val="center"/>
              <w:rPr>
                <w:b/>
                <w:sz w:val="24"/>
              </w:rPr>
            </w:pPr>
          </w:p>
        </w:tc>
        <w:tc>
          <w:tcPr>
            <w:tcW w:w="703" w:type="dxa"/>
            <w:tcBorders>
              <w:top w:val="nil"/>
              <w:bottom w:val="nil"/>
            </w:tcBorders>
            <w:shd w:val="clear" w:color="000000" w:fill="BFBFBF"/>
            <w:vAlign w:val="center"/>
            <w:hideMark/>
          </w:tcPr>
          <w:p w14:paraId="33354BB7" w14:textId="77777777" w:rsidR="004B5AAC" w:rsidRPr="00A23EEB" w:rsidRDefault="004B5AAC" w:rsidP="00B857F7">
            <w:pPr>
              <w:pStyle w:val="Tabletext"/>
              <w:jc w:val="center"/>
              <w:rPr>
                <w:b/>
                <w:sz w:val="24"/>
              </w:rPr>
            </w:pPr>
          </w:p>
        </w:tc>
        <w:tc>
          <w:tcPr>
            <w:tcW w:w="918" w:type="dxa"/>
            <w:tcBorders>
              <w:top w:val="nil"/>
              <w:bottom w:val="nil"/>
            </w:tcBorders>
            <w:shd w:val="clear" w:color="000000" w:fill="BFBFBF"/>
            <w:vAlign w:val="center"/>
            <w:hideMark/>
          </w:tcPr>
          <w:p w14:paraId="1EA67FD1" w14:textId="77777777" w:rsidR="004B5AAC" w:rsidRPr="00A23EEB" w:rsidRDefault="004B5AAC" w:rsidP="00B857F7">
            <w:pPr>
              <w:pStyle w:val="Tabletext"/>
              <w:jc w:val="center"/>
              <w:rPr>
                <w:b/>
                <w:sz w:val="24"/>
              </w:rPr>
            </w:pPr>
          </w:p>
        </w:tc>
        <w:tc>
          <w:tcPr>
            <w:tcW w:w="781" w:type="dxa"/>
            <w:tcBorders>
              <w:top w:val="nil"/>
              <w:bottom w:val="nil"/>
            </w:tcBorders>
            <w:shd w:val="clear" w:color="000000" w:fill="BFBFBF"/>
            <w:vAlign w:val="center"/>
            <w:hideMark/>
          </w:tcPr>
          <w:p w14:paraId="748225F7" w14:textId="77777777" w:rsidR="004B5AAC" w:rsidRPr="00A23EEB" w:rsidRDefault="004B5AAC" w:rsidP="00B857F7">
            <w:pPr>
              <w:pStyle w:val="Tabletext"/>
              <w:jc w:val="center"/>
              <w:rPr>
                <w:b/>
                <w:sz w:val="24"/>
              </w:rPr>
            </w:pPr>
          </w:p>
        </w:tc>
      </w:tr>
      <w:tr w:rsidR="006F2033" w:rsidRPr="004B5AAC" w14:paraId="7CFE8B82"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0FC2DF57" w14:textId="77777777" w:rsidR="006F2033" w:rsidRPr="004B5AAC" w:rsidRDefault="006F2033" w:rsidP="00B857F7">
            <w:pPr>
              <w:pStyle w:val="Tabletext"/>
            </w:pPr>
            <w:r w:rsidRPr="004B5AAC">
              <w:t>4. Private consumption expenditure</w:t>
            </w:r>
          </w:p>
        </w:tc>
        <w:tc>
          <w:tcPr>
            <w:tcW w:w="839" w:type="dxa"/>
            <w:tcBorders>
              <w:top w:val="nil"/>
              <w:left w:val="nil"/>
              <w:bottom w:val="single" w:sz="4" w:space="0" w:color="FFFFFF"/>
              <w:right w:val="nil"/>
            </w:tcBorders>
            <w:shd w:val="clear" w:color="000000" w:fill="F2F2F2"/>
            <w:vAlign w:val="center"/>
            <w:hideMark/>
          </w:tcPr>
          <w:p w14:paraId="41FEBEF5" w14:textId="77777777" w:rsidR="006F2033" w:rsidRPr="004B5AAC" w:rsidRDefault="006F2033" w:rsidP="00B857F7">
            <w:pPr>
              <w:pStyle w:val="Tabletext"/>
            </w:pPr>
            <w:r w:rsidRPr="004B5AAC">
              <w:t>P.3</w:t>
            </w:r>
          </w:p>
        </w:tc>
        <w:tc>
          <w:tcPr>
            <w:tcW w:w="1132" w:type="dxa"/>
            <w:vMerge w:val="restart"/>
            <w:tcBorders>
              <w:top w:val="nil"/>
              <w:left w:val="single" w:sz="4" w:space="0" w:color="FFFFFF"/>
              <w:right w:val="single" w:sz="4" w:space="0" w:color="FFFFFF"/>
            </w:tcBorders>
            <w:shd w:val="clear" w:color="auto" w:fill="A6A6A6" w:themeFill="background1" w:themeFillShade="A6"/>
            <w:vAlign w:val="center"/>
            <w:hideMark/>
          </w:tcPr>
          <w:p w14:paraId="64F0993D" w14:textId="77777777" w:rsidR="006F2033" w:rsidRPr="004B5AAC" w:rsidRDefault="006F2033" w:rsidP="00B857F7">
            <w:pPr>
              <w:pStyle w:val="Tabletext"/>
              <w:jc w:val="center"/>
            </w:pPr>
          </w:p>
          <w:p w14:paraId="7D33AA00" w14:textId="77777777" w:rsidR="006F2033" w:rsidRPr="004B5AAC" w:rsidRDefault="006F2033" w:rsidP="00B857F7">
            <w:pPr>
              <w:pStyle w:val="Tabletext"/>
              <w:jc w:val="center"/>
            </w:pPr>
          </w:p>
          <w:p w14:paraId="420DB0F8" w14:textId="77777777" w:rsidR="006F2033" w:rsidRPr="004B5AAC" w:rsidRDefault="006F2033" w:rsidP="00B857F7">
            <w:pPr>
              <w:pStyle w:val="Tabletext"/>
              <w:jc w:val="center"/>
            </w:pPr>
          </w:p>
          <w:p w14:paraId="224AF462" w14:textId="77777777" w:rsidR="006F2033" w:rsidRPr="004B5AAC" w:rsidRDefault="006F2033" w:rsidP="00B857F7">
            <w:pPr>
              <w:pStyle w:val="Tabletext"/>
              <w:jc w:val="center"/>
            </w:pPr>
          </w:p>
          <w:p w14:paraId="308E28B9" w14:textId="77777777" w:rsidR="006F2033" w:rsidRPr="004B5AAC" w:rsidRDefault="006F2033" w:rsidP="00B857F7">
            <w:pPr>
              <w:pStyle w:val="Tabletext"/>
              <w:jc w:val="center"/>
            </w:pPr>
          </w:p>
          <w:p w14:paraId="58BD01DE"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65FD987C" w14:textId="77777777" w:rsidR="006F2033" w:rsidRPr="004B5AAC" w:rsidRDefault="006F2033" w:rsidP="00B857F7">
            <w:pPr>
              <w:pStyle w:val="Tabletext"/>
              <w:jc w:val="center"/>
            </w:pPr>
            <w:r w:rsidRPr="004B5AAC">
              <w:t>2.1</w:t>
            </w:r>
          </w:p>
        </w:tc>
        <w:tc>
          <w:tcPr>
            <w:tcW w:w="918" w:type="dxa"/>
            <w:tcBorders>
              <w:top w:val="nil"/>
              <w:left w:val="nil"/>
              <w:bottom w:val="single" w:sz="4" w:space="0" w:color="FFFFFF"/>
              <w:right w:val="nil"/>
            </w:tcBorders>
            <w:shd w:val="clear" w:color="000000" w:fill="F2F2F2"/>
            <w:vAlign w:val="center"/>
            <w:hideMark/>
          </w:tcPr>
          <w:p w14:paraId="4CCFAA08" w14:textId="77777777" w:rsidR="006F2033" w:rsidRPr="004B5AAC" w:rsidRDefault="006F2033" w:rsidP="00B857F7">
            <w:pPr>
              <w:pStyle w:val="Tabletext"/>
              <w:jc w:val="center"/>
            </w:pPr>
            <w:r w:rsidRPr="004B5AAC">
              <w:t>1.9</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55BADEB4" w14:textId="77777777" w:rsidR="006F2033" w:rsidRPr="004B5AAC" w:rsidRDefault="006F2033" w:rsidP="00B857F7">
            <w:pPr>
              <w:pStyle w:val="Tabletext"/>
              <w:jc w:val="center"/>
            </w:pPr>
            <w:r w:rsidRPr="004B5AAC">
              <w:t>1.7</w:t>
            </w:r>
          </w:p>
        </w:tc>
      </w:tr>
      <w:tr w:rsidR="006F2033" w:rsidRPr="004B5AAC" w14:paraId="4E76AB4C"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4C3AFE8D" w14:textId="77777777" w:rsidR="006F2033" w:rsidRPr="004B5AAC" w:rsidRDefault="006F2033" w:rsidP="00B857F7">
            <w:pPr>
              <w:pStyle w:val="Tabletext"/>
            </w:pPr>
            <w:r w:rsidRPr="004B5AAC">
              <w:t>5. Government consumption expenditure</w:t>
            </w:r>
          </w:p>
        </w:tc>
        <w:tc>
          <w:tcPr>
            <w:tcW w:w="839" w:type="dxa"/>
            <w:tcBorders>
              <w:top w:val="nil"/>
              <w:left w:val="nil"/>
              <w:bottom w:val="single" w:sz="4" w:space="0" w:color="FFFFFF"/>
              <w:right w:val="nil"/>
            </w:tcBorders>
            <w:shd w:val="clear" w:color="000000" w:fill="D9D9D9"/>
            <w:vAlign w:val="center"/>
            <w:hideMark/>
          </w:tcPr>
          <w:p w14:paraId="0E4438AC" w14:textId="77777777" w:rsidR="006F2033" w:rsidRPr="004B5AAC" w:rsidRDefault="006F2033" w:rsidP="00B857F7">
            <w:pPr>
              <w:pStyle w:val="Tabletext"/>
            </w:pPr>
            <w:r w:rsidRPr="004B5AAC">
              <w:t>P.3</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6A3EE2F7"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D9D9D9"/>
            <w:vAlign w:val="center"/>
            <w:hideMark/>
          </w:tcPr>
          <w:p w14:paraId="09961EB0" w14:textId="77777777" w:rsidR="006F2033" w:rsidRPr="004B5AAC" w:rsidRDefault="006F2033" w:rsidP="00B857F7">
            <w:pPr>
              <w:pStyle w:val="Tabletext"/>
              <w:jc w:val="center"/>
            </w:pPr>
            <w:r w:rsidRPr="004B5AAC">
              <w:t>-4.1</w:t>
            </w:r>
          </w:p>
        </w:tc>
        <w:tc>
          <w:tcPr>
            <w:tcW w:w="918" w:type="dxa"/>
            <w:tcBorders>
              <w:top w:val="nil"/>
              <w:left w:val="nil"/>
              <w:bottom w:val="single" w:sz="4" w:space="0" w:color="FFFFFF"/>
              <w:right w:val="nil"/>
            </w:tcBorders>
            <w:shd w:val="clear" w:color="000000" w:fill="D9D9D9"/>
            <w:vAlign w:val="center"/>
            <w:hideMark/>
          </w:tcPr>
          <w:p w14:paraId="5F23EA34" w14:textId="77777777" w:rsidR="006F2033" w:rsidRPr="004B5AAC" w:rsidRDefault="006F2033" w:rsidP="00B857F7">
            <w:pPr>
              <w:pStyle w:val="Tabletext"/>
              <w:jc w:val="center"/>
            </w:pPr>
            <w:r w:rsidRPr="004B5AAC">
              <w:t>1.4</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7FDCA36E" w14:textId="77777777" w:rsidR="006F2033" w:rsidRPr="004B5AAC" w:rsidRDefault="006F2033" w:rsidP="00B857F7">
            <w:pPr>
              <w:pStyle w:val="Tabletext"/>
              <w:jc w:val="center"/>
            </w:pPr>
            <w:r w:rsidRPr="004B5AAC">
              <w:t>0.7</w:t>
            </w:r>
          </w:p>
        </w:tc>
      </w:tr>
      <w:tr w:rsidR="006F2033" w:rsidRPr="004B5AAC" w14:paraId="66B26962"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399651A9" w14:textId="77777777" w:rsidR="006F2033" w:rsidRPr="004B5AAC" w:rsidRDefault="006F2033" w:rsidP="00385F38">
            <w:pPr>
              <w:pStyle w:val="Tabletext"/>
              <w:ind w:left="321" w:hanging="284"/>
            </w:pPr>
            <w:r w:rsidRPr="004B5AAC">
              <w:t>6. Gross fixed capital formation</w:t>
            </w:r>
          </w:p>
        </w:tc>
        <w:tc>
          <w:tcPr>
            <w:tcW w:w="839" w:type="dxa"/>
            <w:tcBorders>
              <w:top w:val="nil"/>
              <w:left w:val="nil"/>
              <w:bottom w:val="single" w:sz="4" w:space="0" w:color="FFFFFF"/>
              <w:right w:val="nil"/>
            </w:tcBorders>
            <w:shd w:val="clear" w:color="000000" w:fill="F2F2F2"/>
            <w:vAlign w:val="center"/>
            <w:hideMark/>
          </w:tcPr>
          <w:p w14:paraId="56C78C12" w14:textId="77777777" w:rsidR="006F2033" w:rsidRPr="004B5AAC" w:rsidRDefault="006F2033" w:rsidP="00B857F7">
            <w:pPr>
              <w:pStyle w:val="Tabletext"/>
            </w:pPr>
            <w:r w:rsidRPr="004B5AAC">
              <w:t>P.51</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405579E9"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2A32C4A6" w14:textId="77777777" w:rsidR="006F2033" w:rsidRPr="004B5AAC" w:rsidRDefault="006F2033" w:rsidP="00B857F7">
            <w:pPr>
              <w:pStyle w:val="Tabletext"/>
              <w:jc w:val="center"/>
            </w:pPr>
            <w:r w:rsidRPr="004B5AAC">
              <w:t>4.5</w:t>
            </w:r>
          </w:p>
        </w:tc>
        <w:tc>
          <w:tcPr>
            <w:tcW w:w="918" w:type="dxa"/>
            <w:tcBorders>
              <w:top w:val="nil"/>
              <w:left w:val="nil"/>
              <w:bottom w:val="single" w:sz="4" w:space="0" w:color="FFFFFF"/>
              <w:right w:val="nil"/>
            </w:tcBorders>
            <w:shd w:val="clear" w:color="000000" w:fill="F2F2F2"/>
            <w:vAlign w:val="center"/>
            <w:hideMark/>
          </w:tcPr>
          <w:p w14:paraId="78AEE872" w14:textId="77777777" w:rsidR="006F2033" w:rsidRPr="004B5AAC" w:rsidRDefault="006F2033" w:rsidP="00B857F7">
            <w:pPr>
              <w:pStyle w:val="Tabletext"/>
              <w:jc w:val="center"/>
            </w:pPr>
            <w:r w:rsidRPr="004B5AAC">
              <w:t>5.7</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69185CF1" w14:textId="77777777" w:rsidR="006F2033" w:rsidRPr="004B5AAC" w:rsidRDefault="006F2033" w:rsidP="00B857F7">
            <w:pPr>
              <w:pStyle w:val="Tabletext"/>
              <w:jc w:val="center"/>
            </w:pPr>
            <w:r w:rsidRPr="004B5AAC">
              <w:t>10.2</w:t>
            </w:r>
          </w:p>
        </w:tc>
      </w:tr>
      <w:tr w:rsidR="006F2033" w:rsidRPr="004B5AAC" w14:paraId="0738229E"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6581BAA7" w14:textId="77777777" w:rsidR="006F2033" w:rsidRDefault="006F2033" w:rsidP="00385F38">
            <w:pPr>
              <w:pStyle w:val="Tabletext"/>
              <w:ind w:left="321" w:hanging="284"/>
            </w:pPr>
            <w:r w:rsidRPr="004B5AAC">
              <w:t xml:space="preserve">7. Changes in inventories and net acquisition </w:t>
            </w:r>
          </w:p>
          <w:p w14:paraId="3CE281A5" w14:textId="77777777" w:rsidR="006F2033" w:rsidRPr="004B5AAC" w:rsidRDefault="006F2033" w:rsidP="00385F38">
            <w:pPr>
              <w:pStyle w:val="Tabletext"/>
              <w:ind w:left="321"/>
            </w:pPr>
            <w:r w:rsidRPr="004B5AAC">
              <w:t>of valuables (% of GDP)</w:t>
            </w:r>
          </w:p>
        </w:tc>
        <w:tc>
          <w:tcPr>
            <w:tcW w:w="839" w:type="dxa"/>
            <w:tcBorders>
              <w:top w:val="nil"/>
              <w:left w:val="nil"/>
              <w:bottom w:val="single" w:sz="4" w:space="0" w:color="FFFFFF"/>
              <w:right w:val="nil"/>
            </w:tcBorders>
            <w:shd w:val="clear" w:color="000000" w:fill="D9D9D9"/>
            <w:vAlign w:val="center"/>
            <w:hideMark/>
          </w:tcPr>
          <w:p w14:paraId="58945CC6" w14:textId="77777777" w:rsidR="006F2033" w:rsidRDefault="006F2033" w:rsidP="00B857F7">
            <w:pPr>
              <w:pStyle w:val="Tabletext"/>
            </w:pPr>
            <w:r w:rsidRPr="004B5AAC">
              <w:t xml:space="preserve">P.52 </w:t>
            </w:r>
          </w:p>
          <w:p w14:paraId="4EB7FCDC" w14:textId="77777777" w:rsidR="006F2033" w:rsidRPr="004B5AAC" w:rsidRDefault="006F2033" w:rsidP="00B857F7">
            <w:pPr>
              <w:pStyle w:val="Tabletext"/>
            </w:pPr>
            <w:r w:rsidRPr="004B5AAC">
              <w:t>+ P.53</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036C511A"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D9D9D9"/>
            <w:vAlign w:val="center"/>
            <w:hideMark/>
          </w:tcPr>
          <w:p w14:paraId="6D70095E" w14:textId="77777777" w:rsidR="006F2033" w:rsidRPr="004B5AAC" w:rsidRDefault="006F2033" w:rsidP="00B857F7">
            <w:pPr>
              <w:pStyle w:val="Tabletext"/>
              <w:jc w:val="center"/>
            </w:pPr>
            <w:r w:rsidRPr="004B5AAC">
              <w:t>3.9</w:t>
            </w:r>
          </w:p>
        </w:tc>
        <w:tc>
          <w:tcPr>
            <w:tcW w:w="918" w:type="dxa"/>
            <w:tcBorders>
              <w:top w:val="nil"/>
              <w:left w:val="nil"/>
              <w:bottom w:val="single" w:sz="4" w:space="0" w:color="FFFFFF"/>
              <w:right w:val="nil"/>
            </w:tcBorders>
            <w:shd w:val="clear" w:color="000000" w:fill="D9D9D9"/>
            <w:vAlign w:val="center"/>
            <w:hideMark/>
          </w:tcPr>
          <w:p w14:paraId="7E243A74" w14:textId="77777777" w:rsidR="006F2033" w:rsidRPr="004B5AAC" w:rsidRDefault="006F2033" w:rsidP="00B857F7">
            <w:pPr>
              <w:pStyle w:val="Tabletext"/>
              <w:jc w:val="center"/>
            </w:pPr>
            <w:r w:rsidRPr="004B5AAC">
              <w:t>3.1</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4EE37624" w14:textId="77777777" w:rsidR="006F2033" w:rsidRPr="004B5AAC" w:rsidRDefault="006F2033" w:rsidP="00B857F7">
            <w:pPr>
              <w:pStyle w:val="Tabletext"/>
              <w:jc w:val="center"/>
            </w:pPr>
            <w:r w:rsidRPr="004B5AAC">
              <w:t>2.8</w:t>
            </w:r>
          </w:p>
        </w:tc>
      </w:tr>
      <w:tr w:rsidR="006F2033" w:rsidRPr="004B5AAC" w14:paraId="239E67D7"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0F94AB38" w14:textId="77777777" w:rsidR="006F2033" w:rsidRPr="004B5AAC" w:rsidRDefault="006F2033" w:rsidP="00385F38">
            <w:pPr>
              <w:pStyle w:val="Tabletext"/>
              <w:ind w:left="321" w:hanging="284"/>
            </w:pPr>
            <w:r w:rsidRPr="004B5AAC">
              <w:t>8. Exports of goods and services</w:t>
            </w:r>
          </w:p>
        </w:tc>
        <w:tc>
          <w:tcPr>
            <w:tcW w:w="839" w:type="dxa"/>
            <w:tcBorders>
              <w:top w:val="nil"/>
              <w:left w:val="nil"/>
              <w:bottom w:val="single" w:sz="4" w:space="0" w:color="FFFFFF"/>
              <w:right w:val="nil"/>
            </w:tcBorders>
            <w:shd w:val="clear" w:color="000000" w:fill="F2F2F2"/>
            <w:vAlign w:val="center"/>
            <w:hideMark/>
          </w:tcPr>
          <w:p w14:paraId="55793013" w14:textId="77777777" w:rsidR="006F2033" w:rsidRPr="004B5AAC" w:rsidRDefault="006F2033" w:rsidP="00B857F7">
            <w:pPr>
              <w:pStyle w:val="Tabletext"/>
            </w:pPr>
            <w:r w:rsidRPr="004B5AAC">
              <w:t>P.6</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2536339A"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2B666799" w14:textId="77777777" w:rsidR="006F2033" w:rsidRPr="004B5AAC" w:rsidRDefault="006F2033" w:rsidP="00B857F7">
            <w:pPr>
              <w:pStyle w:val="Tabletext"/>
              <w:jc w:val="center"/>
            </w:pPr>
            <w:r w:rsidRPr="004B5AAC">
              <w:t>1.0</w:t>
            </w:r>
          </w:p>
        </w:tc>
        <w:tc>
          <w:tcPr>
            <w:tcW w:w="918" w:type="dxa"/>
            <w:tcBorders>
              <w:top w:val="nil"/>
              <w:left w:val="nil"/>
              <w:bottom w:val="single" w:sz="4" w:space="0" w:color="FFFFFF"/>
              <w:right w:val="nil"/>
            </w:tcBorders>
            <w:shd w:val="clear" w:color="000000" w:fill="F2F2F2"/>
            <w:vAlign w:val="center"/>
            <w:hideMark/>
          </w:tcPr>
          <w:p w14:paraId="12A12B75" w14:textId="77777777" w:rsidR="006F2033" w:rsidRPr="004B5AAC" w:rsidRDefault="006F2033" w:rsidP="00B857F7">
            <w:pPr>
              <w:pStyle w:val="Tabletext"/>
              <w:jc w:val="center"/>
            </w:pPr>
            <w:r w:rsidRPr="004B5AAC">
              <w:t>2.2</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4C0CD6EF" w14:textId="77777777" w:rsidR="006F2033" w:rsidRPr="004B5AAC" w:rsidRDefault="006F2033" w:rsidP="00B857F7">
            <w:pPr>
              <w:pStyle w:val="Tabletext"/>
              <w:jc w:val="center"/>
            </w:pPr>
            <w:r w:rsidRPr="004B5AAC">
              <w:t>4.5</w:t>
            </w:r>
          </w:p>
        </w:tc>
      </w:tr>
      <w:tr w:rsidR="006F2033" w:rsidRPr="004B5AAC" w14:paraId="00DB3268" w14:textId="77777777" w:rsidTr="002C39AD">
        <w:trPr>
          <w:gridAfter w:val="1"/>
          <w:wAfter w:w="13" w:type="dxa"/>
          <w:trHeight w:val="255"/>
          <w:jc w:val="center"/>
        </w:trPr>
        <w:tc>
          <w:tcPr>
            <w:tcW w:w="4516" w:type="dxa"/>
            <w:tcBorders>
              <w:top w:val="nil"/>
              <w:left w:val="nil"/>
              <w:right w:val="nil"/>
            </w:tcBorders>
            <w:shd w:val="clear" w:color="000000" w:fill="D9D9D9"/>
            <w:vAlign w:val="center"/>
            <w:hideMark/>
          </w:tcPr>
          <w:p w14:paraId="0F0274DB" w14:textId="77777777" w:rsidR="006F2033" w:rsidRPr="004B5AAC" w:rsidRDefault="006F2033" w:rsidP="00385F38">
            <w:pPr>
              <w:pStyle w:val="Tabletext"/>
              <w:ind w:left="321" w:hanging="284"/>
            </w:pPr>
            <w:r w:rsidRPr="004B5AAC">
              <w:t>9. Imports of goods and services</w:t>
            </w:r>
          </w:p>
        </w:tc>
        <w:tc>
          <w:tcPr>
            <w:tcW w:w="839" w:type="dxa"/>
            <w:tcBorders>
              <w:top w:val="nil"/>
              <w:left w:val="nil"/>
              <w:right w:val="nil"/>
            </w:tcBorders>
            <w:shd w:val="clear" w:color="000000" w:fill="D9D9D9"/>
            <w:vAlign w:val="center"/>
            <w:hideMark/>
          </w:tcPr>
          <w:p w14:paraId="6C49AF8D" w14:textId="77777777" w:rsidR="006F2033" w:rsidRPr="004B5AAC" w:rsidRDefault="006F2033" w:rsidP="00B857F7">
            <w:pPr>
              <w:pStyle w:val="Tabletext"/>
            </w:pPr>
            <w:r w:rsidRPr="004B5AAC">
              <w:t>P.7</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61E0A4B0" w14:textId="77777777" w:rsidR="006F2033" w:rsidRPr="004B5AAC" w:rsidRDefault="006F2033" w:rsidP="00B857F7">
            <w:pPr>
              <w:pStyle w:val="Tabletext"/>
              <w:jc w:val="center"/>
            </w:pPr>
          </w:p>
        </w:tc>
        <w:tc>
          <w:tcPr>
            <w:tcW w:w="703" w:type="dxa"/>
            <w:tcBorders>
              <w:top w:val="nil"/>
              <w:left w:val="nil"/>
              <w:right w:val="nil"/>
            </w:tcBorders>
            <w:shd w:val="clear" w:color="000000" w:fill="D9D9D9"/>
            <w:vAlign w:val="center"/>
            <w:hideMark/>
          </w:tcPr>
          <w:p w14:paraId="021AE682" w14:textId="77777777" w:rsidR="006F2033" w:rsidRPr="004B5AAC" w:rsidRDefault="006F2033" w:rsidP="00B857F7">
            <w:pPr>
              <w:pStyle w:val="Tabletext"/>
              <w:jc w:val="center"/>
            </w:pPr>
            <w:r w:rsidRPr="004B5AAC">
              <w:t>5.5</w:t>
            </w:r>
          </w:p>
        </w:tc>
        <w:tc>
          <w:tcPr>
            <w:tcW w:w="918" w:type="dxa"/>
            <w:tcBorders>
              <w:top w:val="nil"/>
              <w:left w:val="nil"/>
              <w:right w:val="nil"/>
            </w:tcBorders>
            <w:shd w:val="clear" w:color="000000" w:fill="D9D9D9"/>
            <w:vAlign w:val="center"/>
            <w:hideMark/>
          </w:tcPr>
          <w:p w14:paraId="5D09B249" w14:textId="77777777" w:rsidR="006F2033" w:rsidRPr="004B5AAC" w:rsidRDefault="006F2033" w:rsidP="00B857F7">
            <w:pPr>
              <w:pStyle w:val="Tabletext"/>
              <w:jc w:val="center"/>
            </w:pPr>
            <w:r w:rsidRPr="004B5AAC">
              <w:t>0.9</w:t>
            </w:r>
          </w:p>
        </w:tc>
        <w:tc>
          <w:tcPr>
            <w:tcW w:w="781" w:type="dxa"/>
            <w:tcBorders>
              <w:top w:val="nil"/>
              <w:left w:val="nil"/>
              <w:right w:val="single" w:sz="2" w:space="0" w:color="FFFFFF" w:themeColor="background1"/>
            </w:tcBorders>
            <w:shd w:val="clear" w:color="000000" w:fill="D9D9D9"/>
            <w:vAlign w:val="center"/>
            <w:hideMark/>
          </w:tcPr>
          <w:p w14:paraId="5809890A" w14:textId="77777777" w:rsidR="006F2033" w:rsidRPr="004B5AAC" w:rsidRDefault="006F2033" w:rsidP="00B857F7">
            <w:pPr>
              <w:pStyle w:val="Tabletext"/>
              <w:jc w:val="center"/>
            </w:pPr>
            <w:r w:rsidRPr="004B5AAC">
              <w:t>4.6</w:t>
            </w:r>
          </w:p>
        </w:tc>
      </w:tr>
      <w:tr w:rsidR="00A7313F" w:rsidRPr="00C14AE5" w14:paraId="2CC96847" w14:textId="77777777" w:rsidTr="002C39AD">
        <w:trPr>
          <w:gridAfter w:val="1"/>
          <w:wAfter w:w="13" w:type="dxa"/>
          <w:trHeight w:val="255"/>
          <w:jc w:val="center"/>
        </w:trPr>
        <w:tc>
          <w:tcPr>
            <w:tcW w:w="4516" w:type="dxa"/>
            <w:tcBorders>
              <w:top w:val="nil"/>
              <w:left w:val="nil"/>
              <w:bottom w:val="nil"/>
            </w:tcBorders>
            <w:shd w:val="clear" w:color="000000" w:fill="BFBFBF"/>
            <w:vAlign w:val="center"/>
            <w:hideMark/>
          </w:tcPr>
          <w:p w14:paraId="7429773A" w14:textId="77777777" w:rsidR="004B5AAC" w:rsidRPr="00A23EEB" w:rsidRDefault="004B5AAC" w:rsidP="00385F38">
            <w:pPr>
              <w:pStyle w:val="Tabletext"/>
              <w:ind w:left="321" w:hanging="284"/>
              <w:rPr>
                <w:b/>
                <w:sz w:val="24"/>
              </w:rPr>
            </w:pPr>
            <w:r w:rsidRPr="00A23EEB">
              <w:rPr>
                <w:b/>
                <w:sz w:val="24"/>
              </w:rPr>
              <w:t>Contribution to real GDP growth</w:t>
            </w:r>
          </w:p>
        </w:tc>
        <w:tc>
          <w:tcPr>
            <w:tcW w:w="839" w:type="dxa"/>
            <w:tcBorders>
              <w:top w:val="nil"/>
              <w:bottom w:val="nil"/>
            </w:tcBorders>
            <w:shd w:val="clear" w:color="000000" w:fill="BFBFBF"/>
            <w:vAlign w:val="center"/>
            <w:hideMark/>
          </w:tcPr>
          <w:p w14:paraId="75CFD5CB" w14:textId="77777777" w:rsidR="004B5AAC" w:rsidRPr="00A23EEB" w:rsidRDefault="004B5AAC" w:rsidP="00B857F7">
            <w:pPr>
              <w:pStyle w:val="Tabletext"/>
              <w:rPr>
                <w:b/>
                <w:sz w:val="24"/>
              </w:rPr>
            </w:pPr>
            <w:r w:rsidRPr="00A23EEB">
              <w:rPr>
                <w:b/>
                <w:sz w:val="24"/>
              </w:rPr>
              <w:t> </w:t>
            </w:r>
          </w:p>
        </w:tc>
        <w:tc>
          <w:tcPr>
            <w:tcW w:w="1132" w:type="dxa"/>
            <w:tcBorders>
              <w:top w:val="nil"/>
              <w:bottom w:val="nil"/>
            </w:tcBorders>
            <w:shd w:val="clear" w:color="000000" w:fill="BFBFBF"/>
            <w:vAlign w:val="center"/>
            <w:hideMark/>
          </w:tcPr>
          <w:p w14:paraId="4149BD83" w14:textId="77777777" w:rsidR="004B5AAC" w:rsidRPr="00A23EEB" w:rsidRDefault="004B5AAC" w:rsidP="00B857F7">
            <w:pPr>
              <w:pStyle w:val="Tabletext"/>
              <w:jc w:val="center"/>
              <w:rPr>
                <w:b/>
                <w:sz w:val="24"/>
              </w:rPr>
            </w:pPr>
          </w:p>
        </w:tc>
        <w:tc>
          <w:tcPr>
            <w:tcW w:w="703" w:type="dxa"/>
            <w:tcBorders>
              <w:top w:val="nil"/>
              <w:bottom w:val="nil"/>
            </w:tcBorders>
            <w:shd w:val="clear" w:color="000000" w:fill="BFBFBF"/>
            <w:vAlign w:val="center"/>
            <w:hideMark/>
          </w:tcPr>
          <w:p w14:paraId="44F832AA" w14:textId="77777777" w:rsidR="004B5AAC" w:rsidRPr="00A23EEB" w:rsidRDefault="004B5AAC" w:rsidP="00B857F7">
            <w:pPr>
              <w:pStyle w:val="Tabletext"/>
              <w:jc w:val="center"/>
              <w:rPr>
                <w:b/>
                <w:sz w:val="24"/>
              </w:rPr>
            </w:pPr>
          </w:p>
        </w:tc>
        <w:tc>
          <w:tcPr>
            <w:tcW w:w="918" w:type="dxa"/>
            <w:tcBorders>
              <w:top w:val="nil"/>
              <w:bottom w:val="nil"/>
            </w:tcBorders>
            <w:shd w:val="clear" w:color="000000" w:fill="BFBFBF"/>
            <w:vAlign w:val="center"/>
            <w:hideMark/>
          </w:tcPr>
          <w:p w14:paraId="00BC8911" w14:textId="77777777" w:rsidR="004B5AAC" w:rsidRPr="00A23EEB" w:rsidRDefault="004B5AAC" w:rsidP="00B857F7">
            <w:pPr>
              <w:pStyle w:val="Tabletext"/>
              <w:jc w:val="center"/>
              <w:rPr>
                <w:b/>
                <w:sz w:val="24"/>
              </w:rPr>
            </w:pPr>
          </w:p>
        </w:tc>
        <w:tc>
          <w:tcPr>
            <w:tcW w:w="781" w:type="dxa"/>
            <w:tcBorders>
              <w:top w:val="nil"/>
              <w:bottom w:val="nil"/>
            </w:tcBorders>
            <w:shd w:val="clear" w:color="000000" w:fill="BFBFBF"/>
            <w:vAlign w:val="center"/>
            <w:hideMark/>
          </w:tcPr>
          <w:p w14:paraId="5BE2F477" w14:textId="77777777" w:rsidR="004B5AAC" w:rsidRPr="00A23EEB" w:rsidRDefault="004B5AAC" w:rsidP="00B857F7">
            <w:pPr>
              <w:pStyle w:val="Tabletext"/>
              <w:jc w:val="center"/>
              <w:rPr>
                <w:b/>
                <w:sz w:val="24"/>
              </w:rPr>
            </w:pPr>
          </w:p>
        </w:tc>
      </w:tr>
      <w:tr w:rsidR="006F2033" w:rsidRPr="004B5AAC" w14:paraId="2A84F613"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45B23213" w14:textId="77777777" w:rsidR="006F2033" w:rsidRPr="004B5AAC" w:rsidRDefault="006F2033" w:rsidP="00385F38">
            <w:pPr>
              <w:pStyle w:val="Tabletext"/>
              <w:ind w:left="321" w:hanging="284"/>
            </w:pPr>
            <w:r w:rsidRPr="004B5AAC">
              <w:t>10. Final domestic demand</w:t>
            </w:r>
          </w:p>
        </w:tc>
        <w:tc>
          <w:tcPr>
            <w:tcW w:w="839" w:type="dxa"/>
            <w:tcBorders>
              <w:top w:val="nil"/>
              <w:left w:val="nil"/>
              <w:bottom w:val="single" w:sz="4" w:space="0" w:color="FFFFFF"/>
              <w:right w:val="nil"/>
            </w:tcBorders>
            <w:shd w:val="clear" w:color="000000" w:fill="F2F2F2"/>
            <w:vAlign w:val="center"/>
            <w:hideMark/>
          </w:tcPr>
          <w:p w14:paraId="6037EB47" w14:textId="77777777" w:rsidR="006F2033" w:rsidRPr="004B5AAC" w:rsidRDefault="006F2033" w:rsidP="00B857F7">
            <w:pPr>
              <w:pStyle w:val="Tabletext"/>
            </w:pPr>
            <w:r w:rsidRPr="004B5AAC">
              <w:t> </w:t>
            </w:r>
          </w:p>
        </w:tc>
        <w:tc>
          <w:tcPr>
            <w:tcW w:w="1132" w:type="dxa"/>
            <w:vMerge w:val="restart"/>
            <w:tcBorders>
              <w:top w:val="nil"/>
              <w:left w:val="single" w:sz="4" w:space="0" w:color="FFFFFF"/>
              <w:right w:val="single" w:sz="4" w:space="0" w:color="FFFFFF"/>
            </w:tcBorders>
            <w:shd w:val="clear" w:color="auto" w:fill="A6A6A6" w:themeFill="background1" w:themeFillShade="A6"/>
            <w:vAlign w:val="center"/>
            <w:hideMark/>
          </w:tcPr>
          <w:p w14:paraId="5C49DD9B" w14:textId="77777777" w:rsidR="006F2033" w:rsidRPr="004B5AAC" w:rsidRDefault="006F2033" w:rsidP="00B857F7">
            <w:pPr>
              <w:pStyle w:val="Tabletext"/>
              <w:jc w:val="center"/>
            </w:pPr>
          </w:p>
          <w:p w14:paraId="18C762D8" w14:textId="77777777" w:rsidR="006F2033" w:rsidRPr="004B5AAC" w:rsidRDefault="006F2033" w:rsidP="00B857F7">
            <w:pPr>
              <w:pStyle w:val="Tabletext"/>
              <w:jc w:val="center"/>
            </w:pPr>
          </w:p>
          <w:p w14:paraId="3427C2A6"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74632D66" w14:textId="77777777" w:rsidR="006F2033" w:rsidRPr="004B5AAC" w:rsidRDefault="006F2033" w:rsidP="00B857F7">
            <w:pPr>
              <w:pStyle w:val="Tabletext"/>
              <w:jc w:val="center"/>
            </w:pPr>
            <w:r w:rsidRPr="004B5AAC">
              <w:t>1.3</w:t>
            </w:r>
          </w:p>
        </w:tc>
        <w:tc>
          <w:tcPr>
            <w:tcW w:w="918" w:type="dxa"/>
            <w:tcBorders>
              <w:top w:val="nil"/>
              <w:left w:val="nil"/>
              <w:bottom w:val="single" w:sz="4" w:space="0" w:color="FFFFFF"/>
              <w:right w:val="nil"/>
            </w:tcBorders>
            <w:shd w:val="clear" w:color="000000" w:fill="F2F2F2"/>
            <w:vAlign w:val="center"/>
            <w:hideMark/>
          </w:tcPr>
          <w:p w14:paraId="1BD18CC1" w14:textId="77777777" w:rsidR="006F2033" w:rsidRPr="004B5AAC" w:rsidRDefault="006F2033" w:rsidP="00B857F7">
            <w:pPr>
              <w:pStyle w:val="Tabletext"/>
              <w:jc w:val="center"/>
            </w:pPr>
            <w:r w:rsidRPr="004B5AAC">
              <w:t>2.5</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511194C4" w14:textId="77777777" w:rsidR="006F2033" w:rsidRPr="004B5AAC" w:rsidRDefault="006F2033" w:rsidP="00B857F7">
            <w:pPr>
              <w:pStyle w:val="Tabletext"/>
              <w:jc w:val="center"/>
            </w:pPr>
            <w:r w:rsidRPr="004B5AAC">
              <w:t>3.1</w:t>
            </w:r>
          </w:p>
        </w:tc>
      </w:tr>
      <w:tr w:rsidR="006F2033" w:rsidRPr="004B5AAC" w14:paraId="086DD193"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49E10CB2" w14:textId="77777777" w:rsidR="006F2033" w:rsidRDefault="006F2033" w:rsidP="00385F38">
            <w:pPr>
              <w:pStyle w:val="Tabletext"/>
              <w:ind w:left="321" w:hanging="284"/>
            </w:pPr>
            <w:r w:rsidRPr="004B5AAC">
              <w:t xml:space="preserve">11. Changes in inventories </w:t>
            </w:r>
          </w:p>
          <w:p w14:paraId="59B0E1AD" w14:textId="77777777" w:rsidR="006F2033" w:rsidRPr="004B5AAC" w:rsidRDefault="006F2033" w:rsidP="00385F38">
            <w:pPr>
              <w:pStyle w:val="Tabletext"/>
              <w:ind w:left="321"/>
            </w:pPr>
            <w:r w:rsidRPr="004B5AAC">
              <w:t>and net acquisition of value</w:t>
            </w:r>
          </w:p>
        </w:tc>
        <w:tc>
          <w:tcPr>
            <w:tcW w:w="839" w:type="dxa"/>
            <w:tcBorders>
              <w:top w:val="nil"/>
              <w:left w:val="nil"/>
              <w:bottom w:val="single" w:sz="4" w:space="0" w:color="FFFFFF"/>
              <w:right w:val="nil"/>
            </w:tcBorders>
            <w:shd w:val="clear" w:color="000000" w:fill="D9D9D9"/>
            <w:vAlign w:val="center"/>
            <w:hideMark/>
          </w:tcPr>
          <w:p w14:paraId="71CEA1F4" w14:textId="77777777" w:rsidR="006F2033" w:rsidRDefault="006F2033" w:rsidP="00B857F7">
            <w:pPr>
              <w:pStyle w:val="Tabletext"/>
            </w:pPr>
            <w:r w:rsidRPr="004B5AAC">
              <w:t xml:space="preserve">P.52 </w:t>
            </w:r>
          </w:p>
          <w:p w14:paraId="1F28145D" w14:textId="77777777" w:rsidR="006F2033" w:rsidRPr="004B5AAC" w:rsidRDefault="006F2033" w:rsidP="00B857F7">
            <w:pPr>
              <w:pStyle w:val="Tabletext"/>
            </w:pPr>
            <w:r w:rsidRPr="004B5AAC">
              <w:t>+ P.53</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5FA1FE0A"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D9D9D9"/>
            <w:vAlign w:val="center"/>
            <w:hideMark/>
          </w:tcPr>
          <w:p w14:paraId="649B9FB2" w14:textId="77777777" w:rsidR="006F2033" w:rsidRPr="004B5AAC" w:rsidRDefault="006F2033" w:rsidP="00B857F7">
            <w:pPr>
              <w:pStyle w:val="Tabletext"/>
              <w:jc w:val="center"/>
            </w:pPr>
            <w:r w:rsidRPr="004B5AAC">
              <w:t>3.0</w:t>
            </w:r>
          </w:p>
        </w:tc>
        <w:tc>
          <w:tcPr>
            <w:tcW w:w="918" w:type="dxa"/>
            <w:tcBorders>
              <w:top w:val="nil"/>
              <w:left w:val="nil"/>
              <w:bottom w:val="single" w:sz="4" w:space="0" w:color="FFFFFF"/>
              <w:right w:val="nil"/>
            </w:tcBorders>
            <w:shd w:val="clear" w:color="000000" w:fill="D9D9D9"/>
            <w:vAlign w:val="center"/>
            <w:hideMark/>
          </w:tcPr>
          <w:p w14:paraId="414A563E" w14:textId="77777777" w:rsidR="006F2033" w:rsidRPr="004B5AAC" w:rsidRDefault="006F2033" w:rsidP="00B857F7">
            <w:pPr>
              <w:pStyle w:val="Tabletext"/>
              <w:jc w:val="center"/>
            </w:pPr>
            <w:r w:rsidRPr="004B5AAC">
              <w:t>-0.7</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5BDB558C" w14:textId="77777777" w:rsidR="006F2033" w:rsidRPr="004B5AAC" w:rsidRDefault="006F2033" w:rsidP="00B857F7">
            <w:pPr>
              <w:pStyle w:val="Tabletext"/>
              <w:jc w:val="center"/>
            </w:pPr>
            <w:r w:rsidRPr="004B5AAC">
              <w:t>-0.2</w:t>
            </w:r>
          </w:p>
        </w:tc>
      </w:tr>
      <w:tr w:rsidR="006F2033" w:rsidRPr="004B5AAC" w14:paraId="03EA70DB" w14:textId="77777777" w:rsidTr="002C39AD">
        <w:trPr>
          <w:gridAfter w:val="1"/>
          <w:wAfter w:w="13" w:type="dxa"/>
          <w:trHeight w:val="255"/>
          <w:jc w:val="center"/>
        </w:trPr>
        <w:tc>
          <w:tcPr>
            <w:tcW w:w="4516" w:type="dxa"/>
            <w:tcBorders>
              <w:top w:val="nil"/>
              <w:left w:val="nil"/>
              <w:right w:val="nil"/>
            </w:tcBorders>
            <w:shd w:val="clear" w:color="000000" w:fill="F2F2F2"/>
            <w:vAlign w:val="center"/>
            <w:hideMark/>
          </w:tcPr>
          <w:p w14:paraId="780DB596" w14:textId="77777777" w:rsidR="006F2033" w:rsidRPr="004B5AAC" w:rsidRDefault="006F2033" w:rsidP="00385F38">
            <w:pPr>
              <w:pStyle w:val="Tabletext"/>
              <w:ind w:left="321" w:hanging="284"/>
            </w:pPr>
            <w:r w:rsidRPr="004B5AAC">
              <w:t>12. External balance of goods and services</w:t>
            </w:r>
          </w:p>
        </w:tc>
        <w:tc>
          <w:tcPr>
            <w:tcW w:w="839" w:type="dxa"/>
            <w:tcBorders>
              <w:top w:val="nil"/>
              <w:left w:val="nil"/>
              <w:right w:val="nil"/>
            </w:tcBorders>
            <w:shd w:val="clear" w:color="000000" w:fill="F2F2F2"/>
            <w:vAlign w:val="center"/>
            <w:hideMark/>
          </w:tcPr>
          <w:p w14:paraId="40FC3CBE" w14:textId="77777777" w:rsidR="006F2033" w:rsidRPr="004B5AAC" w:rsidRDefault="006F2033" w:rsidP="00B857F7">
            <w:pPr>
              <w:pStyle w:val="Tabletext"/>
            </w:pPr>
            <w:r w:rsidRPr="004B5AAC">
              <w:t>B.11</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27B32B9A" w14:textId="77777777" w:rsidR="006F2033" w:rsidRPr="004B5AAC" w:rsidRDefault="006F2033" w:rsidP="00B857F7">
            <w:pPr>
              <w:pStyle w:val="Tabletext"/>
              <w:jc w:val="center"/>
            </w:pPr>
          </w:p>
        </w:tc>
        <w:tc>
          <w:tcPr>
            <w:tcW w:w="703" w:type="dxa"/>
            <w:tcBorders>
              <w:top w:val="nil"/>
              <w:left w:val="nil"/>
              <w:right w:val="nil"/>
            </w:tcBorders>
            <w:shd w:val="clear" w:color="000000" w:fill="F2F2F2"/>
            <w:vAlign w:val="center"/>
            <w:hideMark/>
          </w:tcPr>
          <w:p w14:paraId="1F9C7FF9" w14:textId="77777777" w:rsidR="006F2033" w:rsidRPr="004B5AAC" w:rsidRDefault="006F2033" w:rsidP="00B857F7">
            <w:pPr>
              <w:pStyle w:val="Tabletext"/>
              <w:jc w:val="center"/>
            </w:pPr>
            <w:r w:rsidRPr="004B5AAC">
              <w:t>-2.0</w:t>
            </w:r>
          </w:p>
        </w:tc>
        <w:tc>
          <w:tcPr>
            <w:tcW w:w="918" w:type="dxa"/>
            <w:tcBorders>
              <w:top w:val="nil"/>
              <w:left w:val="nil"/>
              <w:right w:val="nil"/>
            </w:tcBorders>
            <w:shd w:val="clear" w:color="000000" w:fill="F2F2F2"/>
            <w:vAlign w:val="center"/>
            <w:hideMark/>
          </w:tcPr>
          <w:p w14:paraId="51E642CE" w14:textId="77777777" w:rsidR="006F2033" w:rsidRPr="004B5AAC" w:rsidRDefault="006F2033" w:rsidP="00B857F7">
            <w:pPr>
              <w:pStyle w:val="Tabletext"/>
              <w:jc w:val="center"/>
            </w:pPr>
            <w:r w:rsidRPr="004B5AAC">
              <w:t>0.4</w:t>
            </w:r>
          </w:p>
        </w:tc>
        <w:tc>
          <w:tcPr>
            <w:tcW w:w="781" w:type="dxa"/>
            <w:tcBorders>
              <w:top w:val="nil"/>
              <w:left w:val="nil"/>
              <w:right w:val="single" w:sz="2" w:space="0" w:color="FFFFFF" w:themeColor="background1"/>
            </w:tcBorders>
            <w:shd w:val="clear" w:color="000000" w:fill="F2F2F2"/>
            <w:vAlign w:val="center"/>
            <w:hideMark/>
          </w:tcPr>
          <w:p w14:paraId="099DC064" w14:textId="77777777" w:rsidR="006F2033" w:rsidRPr="004B5AAC" w:rsidRDefault="006F2033" w:rsidP="00B857F7">
            <w:pPr>
              <w:pStyle w:val="Tabletext"/>
              <w:jc w:val="center"/>
            </w:pPr>
            <w:r w:rsidRPr="004B5AAC">
              <w:t>-0.5</w:t>
            </w:r>
          </w:p>
        </w:tc>
      </w:tr>
      <w:tr w:rsidR="00A7313F" w:rsidRPr="00A23EEB" w14:paraId="0B2000A3" w14:textId="77777777" w:rsidTr="002C39AD">
        <w:trPr>
          <w:gridAfter w:val="1"/>
          <w:wAfter w:w="13" w:type="dxa"/>
          <w:trHeight w:val="255"/>
          <w:jc w:val="center"/>
        </w:trPr>
        <w:tc>
          <w:tcPr>
            <w:tcW w:w="4516" w:type="dxa"/>
            <w:tcBorders>
              <w:top w:val="nil"/>
              <w:left w:val="nil"/>
              <w:bottom w:val="nil"/>
            </w:tcBorders>
            <w:shd w:val="clear" w:color="000000" w:fill="BFBFBF"/>
            <w:vAlign w:val="center"/>
            <w:hideMark/>
          </w:tcPr>
          <w:p w14:paraId="53F841B2" w14:textId="77777777" w:rsidR="004B5AAC" w:rsidRPr="00A23EEB" w:rsidRDefault="004B5AAC" w:rsidP="00385F38">
            <w:pPr>
              <w:pStyle w:val="Tabletext"/>
              <w:ind w:left="321" w:hanging="284"/>
              <w:rPr>
                <w:b/>
                <w:sz w:val="24"/>
              </w:rPr>
            </w:pPr>
            <w:r w:rsidRPr="00A23EEB">
              <w:rPr>
                <w:b/>
                <w:sz w:val="24"/>
              </w:rPr>
              <w:t>Deflators and HICP</w:t>
            </w:r>
          </w:p>
        </w:tc>
        <w:tc>
          <w:tcPr>
            <w:tcW w:w="839" w:type="dxa"/>
            <w:tcBorders>
              <w:top w:val="nil"/>
              <w:bottom w:val="nil"/>
            </w:tcBorders>
            <w:shd w:val="clear" w:color="000000" w:fill="BFBFBF"/>
            <w:vAlign w:val="center"/>
            <w:hideMark/>
          </w:tcPr>
          <w:p w14:paraId="75FD3615" w14:textId="77777777" w:rsidR="004B5AAC" w:rsidRPr="00A23EEB" w:rsidRDefault="004B5AAC" w:rsidP="00B857F7">
            <w:pPr>
              <w:pStyle w:val="Tabletext"/>
              <w:rPr>
                <w:b/>
                <w:sz w:val="24"/>
              </w:rPr>
            </w:pPr>
            <w:r w:rsidRPr="00A23EEB">
              <w:rPr>
                <w:b/>
                <w:sz w:val="24"/>
              </w:rPr>
              <w:t> </w:t>
            </w:r>
          </w:p>
        </w:tc>
        <w:tc>
          <w:tcPr>
            <w:tcW w:w="1132" w:type="dxa"/>
            <w:tcBorders>
              <w:top w:val="nil"/>
              <w:bottom w:val="nil"/>
            </w:tcBorders>
            <w:shd w:val="clear" w:color="000000" w:fill="BFBFBF"/>
            <w:vAlign w:val="center"/>
            <w:hideMark/>
          </w:tcPr>
          <w:p w14:paraId="0E10BD77" w14:textId="77777777" w:rsidR="004B5AAC" w:rsidRPr="00A23EEB" w:rsidRDefault="004B5AAC" w:rsidP="00B857F7">
            <w:pPr>
              <w:pStyle w:val="Tabletext"/>
              <w:jc w:val="center"/>
              <w:rPr>
                <w:b/>
                <w:sz w:val="24"/>
              </w:rPr>
            </w:pPr>
          </w:p>
        </w:tc>
        <w:tc>
          <w:tcPr>
            <w:tcW w:w="703" w:type="dxa"/>
            <w:tcBorders>
              <w:top w:val="nil"/>
              <w:bottom w:val="nil"/>
            </w:tcBorders>
            <w:shd w:val="clear" w:color="000000" w:fill="BFBFBF"/>
            <w:vAlign w:val="center"/>
            <w:hideMark/>
          </w:tcPr>
          <w:p w14:paraId="33413F32" w14:textId="77777777" w:rsidR="004B5AAC" w:rsidRPr="00A23EEB" w:rsidRDefault="004B5AAC" w:rsidP="00B857F7">
            <w:pPr>
              <w:pStyle w:val="Tabletext"/>
              <w:jc w:val="center"/>
              <w:rPr>
                <w:b/>
                <w:sz w:val="24"/>
              </w:rPr>
            </w:pPr>
          </w:p>
        </w:tc>
        <w:tc>
          <w:tcPr>
            <w:tcW w:w="918" w:type="dxa"/>
            <w:tcBorders>
              <w:top w:val="nil"/>
              <w:bottom w:val="nil"/>
            </w:tcBorders>
            <w:shd w:val="clear" w:color="000000" w:fill="BFBFBF"/>
            <w:vAlign w:val="center"/>
            <w:hideMark/>
          </w:tcPr>
          <w:p w14:paraId="69222725" w14:textId="77777777" w:rsidR="004B5AAC" w:rsidRPr="00A23EEB" w:rsidRDefault="004B5AAC" w:rsidP="00B857F7">
            <w:pPr>
              <w:pStyle w:val="Tabletext"/>
              <w:jc w:val="center"/>
              <w:rPr>
                <w:b/>
                <w:sz w:val="24"/>
              </w:rPr>
            </w:pPr>
          </w:p>
        </w:tc>
        <w:tc>
          <w:tcPr>
            <w:tcW w:w="781" w:type="dxa"/>
            <w:tcBorders>
              <w:top w:val="nil"/>
              <w:bottom w:val="nil"/>
            </w:tcBorders>
            <w:shd w:val="clear" w:color="000000" w:fill="BFBFBF"/>
            <w:vAlign w:val="center"/>
            <w:hideMark/>
          </w:tcPr>
          <w:p w14:paraId="5E44A94E" w14:textId="77777777" w:rsidR="004B5AAC" w:rsidRPr="00A23EEB" w:rsidRDefault="004B5AAC" w:rsidP="00B857F7">
            <w:pPr>
              <w:pStyle w:val="Tabletext"/>
              <w:jc w:val="center"/>
              <w:rPr>
                <w:b/>
                <w:sz w:val="24"/>
              </w:rPr>
            </w:pPr>
          </w:p>
        </w:tc>
      </w:tr>
      <w:tr w:rsidR="006F2033" w:rsidRPr="004B5AAC" w14:paraId="0E85F08D"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65C524E2" w14:textId="77777777" w:rsidR="006F2033" w:rsidRPr="004B5AAC" w:rsidRDefault="006F2033" w:rsidP="00385F38">
            <w:pPr>
              <w:pStyle w:val="Tabletext"/>
              <w:ind w:left="321" w:hanging="284"/>
            </w:pPr>
            <w:r w:rsidRPr="004B5AAC">
              <w:t>13. Private consumption deflator</w:t>
            </w:r>
          </w:p>
        </w:tc>
        <w:tc>
          <w:tcPr>
            <w:tcW w:w="839" w:type="dxa"/>
            <w:tcBorders>
              <w:top w:val="nil"/>
              <w:left w:val="nil"/>
              <w:bottom w:val="single" w:sz="4" w:space="0" w:color="FFFFFF"/>
              <w:right w:val="nil"/>
            </w:tcBorders>
            <w:shd w:val="clear" w:color="000000" w:fill="F2F2F2"/>
            <w:vAlign w:val="center"/>
            <w:hideMark/>
          </w:tcPr>
          <w:p w14:paraId="5724F0BB" w14:textId="77777777" w:rsidR="006F2033" w:rsidRPr="004B5AAC" w:rsidRDefault="006F2033" w:rsidP="00B857F7">
            <w:pPr>
              <w:pStyle w:val="Tabletext"/>
            </w:pPr>
            <w:r w:rsidRPr="004B5AAC">
              <w:t> </w:t>
            </w:r>
          </w:p>
        </w:tc>
        <w:tc>
          <w:tcPr>
            <w:tcW w:w="1132" w:type="dxa"/>
            <w:vMerge w:val="restart"/>
            <w:tcBorders>
              <w:top w:val="nil"/>
              <w:left w:val="single" w:sz="4" w:space="0" w:color="FFFFFF"/>
              <w:right w:val="single" w:sz="4" w:space="0" w:color="FFFFFF"/>
            </w:tcBorders>
            <w:shd w:val="clear" w:color="auto" w:fill="A6A6A6" w:themeFill="background1" w:themeFillShade="A6"/>
            <w:vAlign w:val="center"/>
            <w:hideMark/>
          </w:tcPr>
          <w:p w14:paraId="3F340EB9" w14:textId="77777777" w:rsidR="006F2033" w:rsidRPr="004B5AAC" w:rsidRDefault="006F2033" w:rsidP="00B857F7">
            <w:pPr>
              <w:pStyle w:val="Tabletext"/>
              <w:jc w:val="center"/>
            </w:pPr>
          </w:p>
          <w:p w14:paraId="4B25B269" w14:textId="77777777" w:rsidR="006F2033" w:rsidRPr="004B5AAC" w:rsidRDefault="006F2033" w:rsidP="00B857F7">
            <w:pPr>
              <w:pStyle w:val="Tabletext"/>
              <w:jc w:val="center"/>
            </w:pPr>
          </w:p>
          <w:p w14:paraId="003A52DF" w14:textId="77777777" w:rsidR="006F2033" w:rsidRPr="004B5AAC" w:rsidRDefault="006F2033" w:rsidP="00B857F7">
            <w:pPr>
              <w:pStyle w:val="Tabletext"/>
              <w:jc w:val="center"/>
            </w:pPr>
          </w:p>
          <w:p w14:paraId="5889D7A1" w14:textId="77777777" w:rsidR="006F2033" w:rsidRPr="004B5AAC" w:rsidRDefault="006F2033" w:rsidP="00B857F7">
            <w:pPr>
              <w:pStyle w:val="Tabletext"/>
              <w:jc w:val="center"/>
            </w:pPr>
          </w:p>
          <w:p w14:paraId="3B22122F" w14:textId="77777777" w:rsidR="006F2033" w:rsidRPr="004B5AAC" w:rsidRDefault="006F2033" w:rsidP="00B857F7">
            <w:pPr>
              <w:pStyle w:val="Tabletext"/>
              <w:jc w:val="center"/>
            </w:pPr>
          </w:p>
          <w:p w14:paraId="25205D02"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659CD796" w14:textId="77777777" w:rsidR="006F2033" w:rsidRPr="004B5AAC" w:rsidRDefault="006F2033" w:rsidP="00B857F7">
            <w:pPr>
              <w:pStyle w:val="Tabletext"/>
              <w:jc w:val="center"/>
            </w:pPr>
            <w:r w:rsidRPr="004B5AAC">
              <w:t>3.6</w:t>
            </w:r>
          </w:p>
        </w:tc>
        <w:tc>
          <w:tcPr>
            <w:tcW w:w="918" w:type="dxa"/>
            <w:tcBorders>
              <w:top w:val="nil"/>
              <w:left w:val="nil"/>
              <w:bottom w:val="single" w:sz="4" w:space="0" w:color="FFFFFF"/>
              <w:right w:val="nil"/>
            </w:tcBorders>
            <w:shd w:val="clear" w:color="000000" w:fill="F2F2F2"/>
            <w:vAlign w:val="center"/>
            <w:hideMark/>
          </w:tcPr>
          <w:p w14:paraId="4D0788BB" w14:textId="77777777" w:rsidR="006F2033" w:rsidRPr="004B5AAC" w:rsidRDefault="006F2033" w:rsidP="00B857F7">
            <w:pPr>
              <w:pStyle w:val="Tabletext"/>
              <w:jc w:val="center"/>
            </w:pPr>
            <w:r w:rsidRPr="004B5AAC">
              <w:t>3.2</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351555B6" w14:textId="77777777" w:rsidR="006F2033" w:rsidRPr="004B5AAC" w:rsidRDefault="006F2033" w:rsidP="00B857F7">
            <w:pPr>
              <w:pStyle w:val="Tabletext"/>
              <w:jc w:val="center"/>
            </w:pPr>
            <w:r w:rsidRPr="004B5AAC">
              <w:t>2.2</w:t>
            </w:r>
          </w:p>
        </w:tc>
      </w:tr>
      <w:tr w:rsidR="006F2033" w:rsidRPr="004B5AAC" w14:paraId="6650EE58"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436A0500" w14:textId="77777777" w:rsidR="006F2033" w:rsidRPr="004B5AAC" w:rsidRDefault="006F2033" w:rsidP="00385F38">
            <w:pPr>
              <w:pStyle w:val="Tabletext"/>
              <w:ind w:left="321" w:hanging="284"/>
            </w:pPr>
            <w:r w:rsidRPr="004B5AAC">
              <w:t>14.  p.m. HICP</w:t>
            </w:r>
          </w:p>
        </w:tc>
        <w:tc>
          <w:tcPr>
            <w:tcW w:w="839" w:type="dxa"/>
            <w:tcBorders>
              <w:top w:val="nil"/>
              <w:left w:val="nil"/>
              <w:bottom w:val="single" w:sz="4" w:space="0" w:color="FFFFFF"/>
              <w:right w:val="nil"/>
            </w:tcBorders>
            <w:shd w:val="clear" w:color="000000" w:fill="D9D9D9"/>
            <w:vAlign w:val="center"/>
            <w:hideMark/>
          </w:tcPr>
          <w:p w14:paraId="554E982E" w14:textId="77777777" w:rsidR="006F2033" w:rsidRPr="004B5AAC" w:rsidRDefault="006F2033" w:rsidP="00B857F7">
            <w:pPr>
              <w:pStyle w:val="Tabletext"/>
            </w:pPr>
            <w:r w:rsidRPr="004B5AAC">
              <w:t> </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43310BFB"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D9D9D9"/>
            <w:vAlign w:val="center"/>
            <w:hideMark/>
          </w:tcPr>
          <w:p w14:paraId="4BA56BE8" w14:textId="77777777" w:rsidR="006F2033" w:rsidRPr="004B5AAC" w:rsidRDefault="006F2033" w:rsidP="00B857F7">
            <w:pPr>
              <w:pStyle w:val="Tabletext"/>
              <w:jc w:val="center"/>
            </w:pPr>
            <w:r w:rsidRPr="004B5AAC">
              <w:t>3.0</w:t>
            </w:r>
          </w:p>
        </w:tc>
        <w:tc>
          <w:tcPr>
            <w:tcW w:w="918" w:type="dxa"/>
            <w:tcBorders>
              <w:top w:val="nil"/>
              <w:left w:val="nil"/>
              <w:bottom w:val="single" w:sz="4" w:space="0" w:color="FFFFFF"/>
              <w:right w:val="nil"/>
            </w:tcBorders>
            <w:shd w:val="clear" w:color="000000" w:fill="D9D9D9"/>
            <w:vAlign w:val="center"/>
            <w:hideMark/>
          </w:tcPr>
          <w:p w14:paraId="24298750" w14:textId="77777777" w:rsidR="006F2033" w:rsidRPr="004B5AAC" w:rsidRDefault="006F2033" w:rsidP="00B857F7">
            <w:pPr>
              <w:pStyle w:val="Tabletext"/>
              <w:jc w:val="center"/>
            </w:pPr>
            <w:r w:rsidRPr="004B5AAC">
              <w:t>3.0</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6838CE58" w14:textId="77777777" w:rsidR="006F2033" w:rsidRPr="004B5AAC" w:rsidRDefault="006F2033" w:rsidP="00B857F7">
            <w:pPr>
              <w:pStyle w:val="Tabletext"/>
              <w:jc w:val="center"/>
            </w:pPr>
            <w:r w:rsidRPr="004B5AAC">
              <w:t>2.2</w:t>
            </w:r>
          </w:p>
        </w:tc>
      </w:tr>
      <w:tr w:rsidR="006F2033" w:rsidRPr="004B5AAC" w14:paraId="2A9D2CDE"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49D480C8" w14:textId="77777777" w:rsidR="006F2033" w:rsidRPr="004B5AAC" w:rsidRDefault="006F2033" w:rsidP="00385F38">
            <w:pPr>
              <w:pStyle w:val="Tabletext"/>
              <w:ind w:left="321" w:hanging="284"/>
            </w:pPr>
            <w:r w:rsidRPr="004B5AAC">
              <w:t>15. Government consumption deflator</w:t>
            </w:r>
          </w:p>
        </w:tc>
        <w:tc>
          <w:tcPr>
            <w:tcW w:w="839" w:type="dxa"/>
            <w:tcBorders>
              <w:top w:val="nil"/>
              <w:left w:val="nil"/>
              <w:bottom w:val="single" w:sz="4" w:space="0" w:color="FFFFFF"/>
              <w:right w:val="nil"/>
            </w:tcBorders>
            <w:shd w:val="clear" w:color="000000" w:fill="F2F2F2"/>
            <w:vAlign w:val="center"/>
            <w:hideMark/>
          </w:tcPr>
          <w:p w14:paraId="785D5830" w14:textId="77777777" w:rsidR="006F2033" w:rsidRPr="004B5AAC" w:rsidRDefault="006F2033" w:rsidP="00B857F7">
            <w:pPr>
              <w:pStyle w:val="Tabletext"/>
            </w:pPr>
            <w:r w:rsidRPr="004B5AAC">
              <w:t> </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300D19FB"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01AA856F" w14:textId="77777777" w:rsidR="006F2033" w:rsidRPr="004B5AAC" w:rsidRDefault="006F2033" w:rsidP="00B857F7">
            <w:pPr>
              <w:pStyle w:val="Tabletext"/>
              <w:jc w:val="center"/>
            </w:pPr>
            <w:r w:rsidRPr="004B5AAC">
              <w:t>4.3</w:t>
            </w:r>
          </w:p>
        </w:tc>
        <w:tc>
          <w:tcPr>
            <w:tcW w:w="918" w:type="dxa"/>
            <w:tcBorders>
              <w:top w:val="nil"/>
              <w:left w:val="nil"/>
              <w:bottom w:val="single" w:sz="4" w:space="0" w:color="FFFFFF"/>
              <w:right w:val="nil"/>
            </w:tcBorders>
            <w:shd w:val="clear" w:color="000000" w:fill="F2F2F2"/>
            <w:vAlign w:val="center"/>
            <w:hideMark/>
          </w:tcPr>
          <w:p w14:paraId="05CD9F3C" w14:textId="77777777" w:rsidR="006F2033" w:rsidRPr="004B5AAC" w:rsidRDefault="006F2033" w:rsidP="00B857F7">
            <w:pPr>
              <w:pStyle w:val="Tabletext"/>
              <w:jc w:val="center"/>
            </w:pPr>
            <w:r w:rsidRPr="004B5AAC">
              <w:t>3.0</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3C628536" w14:textId="77777777" w:rsidR="006F2033" w:rsidRPr="004B5AAC" w:rsidRDefault="006F2033" w:rsidP="00B857F7">
            <w:pPr>
              <w:pStyle w:val="Tabletext"/>
              <w:jc w:val="center"/>
            </w:pPr>
            <w:r w:rsidRPr="004B5AAC">
              <w:t>2.3</w:t>
            </w:r>
          </w:p>
        </w:tc>
      </w:tr>
      <w:tr w:rsidR="006F2033" w:rsidRPr="004B5AAC" w14:paraId="054D4BD9"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6ACF1D68" w14:textId="77777777" w:rsidR="006F2033" w:rsidRPr="004B5AAC" w:rsidRDefault="006F2033" w:rsidP="00385F38">
            <w:pPr>
              <w:pStyle w:val="Tabletext"/>
              <w:ind w:left="321" w:hanging="284"/>
            </w:pPr>
            <w:r w:rsidRPr="004B5AAC">
              <w:t>16. Investment deflator</w:t>
            </w:r>
          </w:p>
        </w:tc>
        <w:tc>
          <w:tcPr>
            <w:tcW w:w="839" w:type="dxa"/>
            <w:tcBorders>
              <w:top w:val="nil"/>
              <w:left w:val="nil"/>
              <w:bottom w:val="single" w:sz="4" w:space="0" w:color="FFFFFF"/>
              <w:right w:val="nil"/>
            </w:tcBorders>
            <w:shd w:val="clear" w:color="000000" w:fill="D9D9D9"/>
            <w:vAlign w:val="center"/>
            <w:hideMark/>
          </w:tcPr>
          <w:p w14:paraId="26A81A0A" w14:textId="77777777" w:rsidR="006F2033" w:rsidRPr="004B5AAC" w:rsidRDefault="006F2033" w:rsidP="00B857F7">
            <w:pPr>
              <w:pStyle w:val="Tabletext"/>
            </w:pPr>
            <w:r w:rsidRPr="004B5AAC">
              <w:t> </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19FBC3D5"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D9D9D9"/>
            <w:vAlign w:val="center"/>
            <w:hideMark/>
          </w:tcPr>
          <w:p w14:paraId="6A947FD1" w14:textId="77777777" w:rsidR="006F2033" w:rsidRPr="004B5AAC" w:rsidRDefault="006F2033" w:rsidP="00B857F7">
            <w:pPr>
              <w:pStyle w:val="Tabletext"/>
              <w:jc w:val="center"/>
            </w:pPr>
            <w:r w:rsidRPr="004B5AAC">
              <w:t>1.7</w:t>
            </w:r>
          </w:p>
        </w:tc>
        <w:tc>
          <w:tcPr>
            <w:tcW w:w="918" w:type="dxa"/>
            <w:tcBorders>
              <w:top w:val="nil"/>
              <w:left w:val="nil"/>
              <w:bottom w:val="single" w:sz="4" w:space="0" w:color="FFFFFF"/>
              <w:right w:val="nil"/>
            </w:tcBorders>
            <w:shd w:val="clear" w:color="000000" w:fill="D9D9D9"/>
            <w:vAlign w:val="center"/>
            <w:hideMark/>
          </w:tcPr>
          <w:p w14:paraId="5DF87307" w14:textId="77777777" w:rsidR="006F2033" w:rsidRPr="004B5AAC" w:rsidRDefault="006F2033" w:rsidP="00B857F7">
            <w:pPr>
              <w:pStyle w:val="Tabletext"/>
              <w:jc w:val="center"/>
            </w:pPr>
            <w:r w:rsidRPr="004B5AAC">
              <w:t>1.8</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1F61C849" w14:textId="77777777" w:rsidR="006F2033" w:rsidRPr="004B5AAC" w:rsidRDefault="006F2033" w:rsidP="00B857F7">
            <w:pPr>
              <w:pStyle w:val="Tabletext"/>
              <w:jc w:val="center"/>
            </w:pPr>
            <w:r w:rsidRPr="004B5AAC">
              <w:t>2.1</w:t>
            </w:r>
          </w:p>
        </w:tc>
      </w:tr>
      <w:tr w:rsidR="006F2033" w:rsidRPr="004B5AAC" w14:paraId="5CB7AF80"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01638792" w14:textId="77777777" w:rsidR="006F2033" w:rsidRPr="004B5AAC" w:rsidRDefault="006F2033" w:rsidP="00385F38">
            <w:pPr>
              <w:pStyle w:val="Tabletext"/>
              <w:ind w:left="321" w:hanging="284"/>
            </w:pPr>
            <w:r w:rsidRPr="004B5AAC">
              <w:t>17. Export price deflator (goods and services)</w:t>
            </w:r>
          </w:p>
        </w:tc>
        <w:tc>
          <w:tcPr>
            <w:tcW w:w="839" w:type="dxa"/>
            <w:tcBorders>
              <w:top w:val="nil"/>
              <w:left w:val="nil"/>
              <w:bottom w:val="single" w:sz="4" w:space="0" w:color="FFFFFF"/>
              <w:right w:val="nil"/>
            </w:tcBorders>
            <w:shd w:val="clear" w:color="000000" w:fill="F2F2F2"/>
            <w:vAlign w:val="center"/>
            <w:hideMark/>
          </w:tcPr>
          <w:p w14:paraId="6254A74E" w14:textId="77777777" w:rsidR="006F2033" w:rsidRPr="004B5AAC" w:rsidRDefault="006F2033" w:rsidP="00B857F7">
            <w:pPr>
              <w:pStyle w:val="Tabletext"/>
            </w:pPr>
            <w:r w:rsidRPr="004B5AAC">
              <w:t> </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64A34F2D" w14:textId="77777777" w:rsidR="006F2033" w:rsidRPr="004B5AAC" w:rsidRDefault="006F2033" w:rsidP="00B857F7">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68214F9B" w14:textId="77777777" w:rsidR="006F2033" w:rsidRPr="004B5AAC" w:rsidRDefault="006F2033" w:rsidP="00B857F7">
            <w:pPr>
              <w:pStyle w:val="Tabletext"/>
              <w:jc w:val="center"/>
            </w:pPr>
            <w:r w:rsidRPr="004B5AAC">
              <w:t>0.3</w:t>
            </w:r>
          </w:p>
        </w:tc>
        <w:tc>
          <w:tcPr>
            <w:tcW w:w="918" w:type="dxa"/>
            <w:tcBorders>
              <w:top w:val="nil"/>
              <w:left w:val="nil"/>
              <w:bottom w:val="single" w:sz="4" w:space="0" w:color="FFFFFF"/>
              <w:right w:val="nil"/>
            </w:tcBorders>
            <w:shd w:val="clear" w:color="000000" w:fill="F2F2F2"/>
            <w:vAlign w:val="center"/>
            <w:hideMark/>
          </w:tcPr>
          <w:p w14:paraId="60F7DA7A" w14:textId="77777777" w:rsidR="006F2033" w:rsidRPr="004B5AAC" w:rsidRDefault="006F2033" w:rsidP="00B857F7">
            <w:pPr>
              <w:pStyle w:val="Tabletext"/>
              <w:jc w:val="center"/>
            </w:pPr>
            <w:r w:rsidRPr="004B5AAC">
              <w:t>-1.4</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1F856D1D" w14:textId="77777777" w:rsidR="006F2033" w:rsidRPr="004B5AAC" w:rsidRDefault="006F2033" w:rsidP="00B857F7">
            <w:pPr>
              <w:pStyle w:val="Tabletext"/>
              <w:jc w:val="center"/>
            </w:pPr>
            <w:r w:rsidRPr="004B5AAC">
              <w:t>1.6</w:t>
            </w:r>
          </w:p>
        </w:tc>
      </w:tr>
      <w:tr w:rsidR="006F2033" w:rsidRPr="004B5AAC" w14:paraId="29FF34E3" w14:textId="77777777" w:rsidTr="002C39AD">
        <w:trPr>
          <w:gridAfter w:val="1"/>
          <w:wAfter w:w="13" w:type="dxa"/>
          <w:trHeight w:val="255"/>
          <w:jc w:val="center"/>
        </w:trPr>
        <w:tc>
          <w:tcPr>
            <w:tcW w:w="4516" w:type="dxa"/>
            <w:tcBorders>
              <w:top w:val="nil"/>
              <w:left w:val="nil"/>
              <w:right w:val="nil"/>
            </w:tcBorders>
            <w:shd w:val="clear" w:color="000000" w:fill="D9D9D9"/>
            <w:vAlign w:val="center"/>
            <w:hideMark/>
          </w:tcPr>
          <w:p w14:paraId="0DD4A3A9" w14:textId="77777777" w:rsidR="006F2033" w:rsidRPr="004B5AAC" w:rsidRDefault="006F2033" w:rsidP="00385F38">
            <w:pPr>
              <w:pStyle w:val="Tabletext"/>
              <w:ind w:left="321" w:hanging="284"/>
            </w:pPr>
            <w:r w:rsidRPr="004B5AAC">
              <w:t>18. Import price deflator (goods and services)</w:t>
            </w:r>
          </w:p>
        </w:tc>
        <w:tc>
          <w:tcPr>
            <w:tcW w:w="839" w:type="dxa"/>
            <w:tcBorders>
              <w:top w:val="nil"/>
              <w:left w:val="nil"/>
              <w:right w:val="nil"/>
            </w:tcBorders>
            <w:shd w:val="clear" w:color="000000" w:fill="D9D9D9"/>
            <w:vAlign w:val="center"/>
            <w:hideMark/>
          </w:tcPr>
          <w:p w14:paraId="31973BEC" w14:textId="77777777" w:rsidR="006F2033" w:rsidRPr="004B5AAC" w:rsidRDefault="006F2033" w:rsidP="00B857F7">
            <w:pPr>
              <w:pStyle w:val="Tabletext"/>
            </w:pPr>
            <w:r w:rsidRPr="004B5AAC">
              <w:t> </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11E2A90D" w14:textId="77777777" w:rsidR="006F2033" w:rsidRPr="004B5AAC" w:rsidRDefault="006F2033" w:rsidP="00B857F7">
            <w:pPr>
              <w:pStyle w:val="Tabletext"/>
              <w:jc w:val="center"/>
            </w:pPr>
          </w:p>
        </w:tc>
        <w:tc>
          <w:tcPr>
            <w:tcW w:w="703" w:type="dxa"/>
            <w:tcBorders>
              <w:top w:val="nil"/>
              <w:left w:val="nil"/>
              <w:right w:val="nil"/>
            </w:tcBorders>
            <w:shd w:val="clear" w:color="000000" w:fill="D9D9D9"/>
            <w:vAlign w:val="center"/>
            <w:hideMark/>
          </w:tcPr>
          <w:p w14:paraId="3F7C02CF" w14:textId="77777777" w:rsidR="006F2033" w:rsidRPr="004B5AAC" w:rsidRDefault="006F2033" w:rsidP="00B857F7">
            <w:pPr>
              <w:pStyle w:val="Tabletext"/>
              <w:jc w:val="center"/>
            </w:pPr>
            <w:r w:rsidRPr="004B5AAC">
              <w:t>-2.3</w:t>
            </w:r>
          </w:p>
        </w:tc>
        <w:tc>
          <w:tcPr>
            <w:tcW w:w="918" w:type="dxa"/>
            <w:tcBorders>
              <w:top w:val="nil"/>
              <w:left w:val="nil"/>
              <w:right w:val="nil"/>
            </w:tcBorders>
            <w:shd w:val="clear" w:color="000000" w:fill="D9D9D9"/>
            <w:vAlign w:val="center"/>
            <w:hideMark/>
          </w:tcPr>
          <w:p w14:paraId="138483B0" w14:textId="77777777" w:rsidR="006F2033" w:rsidRPr="004B5AAC" w:rsidRDefault="006F2033" w:rsidP="00B857F7">
            <w:pPr>
              <w:pStyle w:val="Tabletext"/>
              <w:jc w:val="center"/>
            </w:pPr>
            <w:r w:rsidRPr="004B5AAC">
              <w:t>-0.2</w:t>
            </w:r>
          </w:p>
        </w:tc>
        <w:tc>
          <w:tcPr>
            <w:tcW w:w="781" w:type="dxa"/>
            <w:tcBorders>
              <w:top w:val="nil"/>
              <w:left w:val="nil"/>
              <w:right w:val="single" w:sz="2" w:space="0" w:color="FFFFFF" w:themeColor="background1"/>
            </w:tcBorders>
            <w:shd w:val="clear" w:color="000000" w:fill="D9D9D9"/>
            <w:vAlign w:val="center"/>
            <w:hideMark/>
          </w:tcPr>
          <w:p w14:paraId="5DBCAB29" w14:textId="77777777" w:rsidR="006F2033" w:rsidRPr="004B5AAC" w:rsidRDefault="006F2033" w:rsidP="00B857F7">
            <w:pPr>
              <w:pStyle w:val="Tabletext"/>
              <w:jc w:val="center"/>
            </w:pPr>
            <w:r w:rsidRPr="004B5AAC">
              <w:t>2.0</w:t>
            </w:r>
          </w:p>
        </w:tc>
      </w:tr>
      <w:tr w:rsidR="002C39AD" w:rsidRPr="00A23EEB" w14:paraId="19F65B38" w14:textId="77777777" w:rsidTr="002C39AD">
        <w:trPr>
          <w:gridAfter w:val="1"/>
          <w:wAfter w:w="13" w:type="dxa"/>
          <w:trHeight w:val="255"/>
          <w:jc w:val="center"/>
        </w:trPr>
        <w:tc>
          <w:tcPr>
            <w:tcW w:w="4516" w:type="dxa"/>
            <w:tcBorders>
              <w:top w:val="nil"/>
              <w:left w:val="nil"/>
              <w:bottom w:val="nil"/>
            </w:tcBorders>
            <w:shd w:val="clear" w:color="000000" w:fill="BFBFBF"/>
            <w:vAlign w:val="center"/>
            <w:hideMark/>
          </w:tcPr>
          <w:p w14:paraId="3E9CBF02" w14:textId="77777777" w:rsidR="002C39AD" w:rsidRPr="00A23EEB" w:rsidRDefault="002C39AD" w:rsidP="00385F38">
            <w:pPr>
              <w:pStyle w:val="Tabletext"/>
              <w:ind w:left="321" w:hanging="284"/>
              <w:rPr>
                <w:b/>
                <w:sz w:val="24"/>
              </w:rPr>
            </w:pPr>
            <w:r w:rsidRPr="00A23EEB">
              <w:rPr>
                <w:b/>
                <w:sz w:val="24"/>
              </w:rPr>
              <w:t>Labour market</w:t>
            </w:r>
          </w:p>
        </w:tc>
        <w:tc>
          <w:tcPr>
            <w:tcW w:w="839" w:type="dxa"/>
            <w:tcBorders>
              <w:top w:val="nil"/>
              <w:bottom w:val="nil"/>
            </w:tcBorders>
            <w:shd w:val="clear" w:color="000000" w:fill="BFBFBF"/>
            <w:vAlign w:val="center"/>
            <w:hideMark/>
          </w:tcPr>
          <w:p w14:paraId="1E5881B3" w14:textId="77777777" w:rsidR="002C39AD" w:rsidRPr="00A23EEB" w:rsidRDefault="002C39AD" w:rsidP="002C39AD">
            <w:pPr>
              <w:pStyle w:val="Tabletext"/>
              <w:rPr>
                <w:b/>
                <w:sz w:val="24"/>
              </w:rPr>
            </w:pPr>
            <w:r w:rsidRPr="00A23EEB">
              <w:rPr>
                <w:b/>
                <w:sz w:val="24"/>
              </w:rPr>
              <w:t> </w:t>
            </w:r>
          </w:p>
        </w:tc>
        <w:tc>
          <w:tcPr>
            <w:tcW w:w="1132" w:type="dxa"/>
            <w:tcBorders>
              <w:top w:val="nil"/>
              <w:bottom w:val="nil"/>
            </w:tcBorders>
            <w:shd w:val="clear" w:color="000000" w:fill="BFBFBF"/>
            <w:vAlign w:val="center"/>
            <w:hideMark/>
          </w:tcPr>
          <w:p w14:paraId="44747EED" w14:textId="77777777" w:rsidR="002C39AD" w:rsidRPr="00385F38" w:rsidRDefault="002C39AD" w:rsidP="002C39AD">
            <w:pPr>
              <w:pStyle w:val="Tabletext"/>
              <w:jc w:val="center"/>
              <w:rPr>
                <w:sz w:val="24"/>
              </w:rPr>
            </w:pPr>
            <w:r w:rsidRPr="00385F38">
              <w:rPr>
                <w:sz w:val="24"/>
              </w:rPr>
              <w:t>level</w:t>
            </w:r>
          </w:p>
        </w:tc>
        <w:tc>
          <w:tcPr>
            <w:tcW w:w="2402" w:type="dxa"/>
            <w:gridSpan w:val="3"/>
            <w:tcBorders>
              <w:top w:val="nil"/>
              <w:bottom w:val="nil"/>
            </w:tcBorders>
            <w:shd w:val="clear" w:color="000000" w:fill="BFBFBF"/>
            <w:vAlign w:val="center"/>
            <w:hideMark/>
          </w:tcPr>
          <w:p w14:paraId="609D9F55" w14:textId="7145B268" w:rsidR="002C39AD" w:rsidRPr="00A23EEB" w:rsidRDefault="002C39AD" w:rsidP="002C39AD">
            <w:pPr>
              <w:pStyle w:val="Tabletext"/>
              <w:jc w:val="center"/>
              <w:rPr>
                <w:b/>
                <w:sz w:val="24"/>
              </w:rPr>
            </w:pPr>
            <w:r w:rsidRPr="007D31C4">
              <w:rPr>
                <w:sz w:val="24"/>
              </w:rPr>
              <w:t>growth rate</w:t>
            </w:r>
          </w:p>
        </w:tc>
      </w:tr>
      <w:tr w:rsidR="002C39AD" w:rsidRPr="004B5AAC" w14:paraId="320ED3F6"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1B1636EF" w14:textId="77777777" w:rsidR="002C39AD" w:rsidRPr="004B5AAC" w:rsidRDefault="002C39AD" w:rsidP="00385F38">
            <w:pPr>
              <w:pStyle w:val="Tabletext"/>
              <w:ind w:left="321" w:hanging="284"/>
            </w:pPr>
            <w:r w:rsidRPr="004B5AAC">
              <w:t xml:space="preserve">19. Domestic employment </w:t>
            </w:r>
            <w:r>
              <w:br/>
            </w:r>
            <w:r w:rsidRPr="004B5AAC">
              <w:t>(1</w:t>
            </w:r>
            <w:r>
              <w:t>,</w:t>
            </w:r>
            <w:r w:rsidRPr="004B5AAC">
              <w:t>000 persons, national accounts)</w:t>
            </w:r>
          </w:p>
        </w:tc>
        <w:tc>
          <w:tcPr>
            <w:tcW w:w="839" w:type="dxa"/>
            <w:tcBorders>
              <w:top w:val="nil"/>
              <w:left w:val="nil"/>
              <w:bottom w:val="single" w:sz="4" w:space="0" w:color="FFFFFF"/>
              <w:right w:val="nil"/>
            </w:tcBorders>
            <w:shd w:val="clear" w:color="000000" w:fill="F2F2F2"/>
            <w:vAlign w:val="center"/>
            <w:hideMark/>
          </w:tcPr>
          <w:p w14:paraId="3E461C28" w14:textId="77777777" w:rsidR="002C39AD" w:rsidRPr="004B5AAC" w:rsidRDefault="002C39AD" w:rsidP="002C39AD">
            <w:pPr>
              <w:pStyle w:val="Tabletext"/>
            </w:pPr>
            <w:r w:rsidRPr="004B5AAC">
              <w:t> </w:t>
            </w:r>
          </w:p>
        </w:tc>
        <w:tc>
          <w:tcPr>
            <w:tcW w:w="1132" w:type="dxa"/>
            <w:tcBorders>
              <w:top w:val="nil"/>
              <w:left w:val="single" w:sz="4" w:space="0" w:color="FFFFFF"/>
              <w:bottom w:val="single" w:sz="4" w:space="0" w:color="FFFFFF"/>
              <w:right w:val="single" w:sz="4" w:space="0" w:color="FFFFFF"/>
            </w:tcBorders>
            <w:shd w:val="clear" w:color="000000" w:fill="F2F2F2"/>
            <w:vAlign w:val="center"/>
            <w:hideMark/>
          </w:tcPr>
          <w:p w14:paraId="22B30040" w14:textId="77777777" w:rsidR="002C39AD" w:rsidRPr="004B5AAC" w:rsidRDefault="002C39AD" w:rsidP="002C39AD">
            <w:pPr>
              <w:pStyle w:val="Tabletext"/>
              <w:jc w:val="center"/>
            </w:pPr>
            <w:r w:rsidRPr="004B5AAC">
              <w:t>3</w:t>
            </w:r>
            <w:r>
              <w:t>,</w:t>
            </w:r>
            <w:r w:rsidRPr="004B5AAC">
              <w:t>752.5</w:t>
            </w:r>
          </w:p>
        </w:tc>
        <w:tc>
          <w:tcPr>
            <w:tcW w:w="703" w:type="dxa"/>
            <w:tcBorders>
              <w:top w:val="nil"/>
              <w:left w:val="nil"/>
              <w:bottom w:val="single" w:sz="4" w:space="0" w:color="FFFFFF"/>
              <w:right w:val="nil"/>
            </w:tcBorders>
            <w:shd w:val="clear" w:color="000000" w:fill="F2F2F2"/>
            <w:vAlign w:val="center"/>
            <w:hideMark/>
          </w:tcPr>
          <w:p w14:paraId="481D694C" w14:textId="77777777" w:rsidR="002C39AD" w:rsidRPr="004B5AAC" w:rsidRDefault="002C39AD" w:rsidP="002C39AD">
            <w:pPr>
              <w:pStyle w:val="Tabletext"/>
              <w:jc w:val="center"/>
            </w:pPr>
            <w:r w:rsidRPr="004B5AAC">
              <w:t>1.4</w:t>
            </w:r>
          </w:p>
        </w:tc>
        <w:tc>
          <w:tcPr>
            <w:tcW w:w="918" w:type="dxa"/>
            <w:tcBorders>
              <w:top w:val="nil"/>
              <w:left w:val="nil"/>
              <w:bottom w:val="single" w:sz="4" w:space="0" w:color="FFFFFF"/>
              <w:right w:val="nil"/>
            </w:tcBorders>
            <w:shd w:val="clear" w:color="000000" w:fill="F2F2F2"/>
            <w:vAlign w:val="center"/>
            <w:hideMark/>
          </w:tcPr>
          <w:p w14:paraId="2B5D5E7B" w14:textId="77777777" w:rsidR="002C39AD" w:rsidRPr="004B5AAC" w:rsidRDefault="002C39AD" w:rsidP="002C39AD">
            <w:pPr>
              <w:pStyle w:val="Tabletext"/>
              <w:jc w:val="center"/>
            </w:pPr>
            <w:r w:rsidRPr="004B5AAC">
              <w:t>2.5</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37FE4E4E" w14:textId="77777777" w:rsidR="002C39AD" w:rsidRPr="004B5AAC" w:rsidRDefault="002C39AD" w:rsidP="002C39AD">
            <w:pPr>
              <w:pStyle w:val="Tabletext"/>
              <w:jc w:val="center"/>
            </w:pPr>
            <w:r w:rsidRPr="004B5AAC">
              <w:t>0.6</w:t>
            </w:r>
          </w:p>
        </w:tc>
      </w:tr>
      <w:tr w:rsidR="002C39AD" w:rsidRPr="004B5AAC" w14:paraId="1A1D085F"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7DE66519" w14:textId="77777777" w:rsidR="002C39AD" w:rsidRPr="004B5AAC" w:rsidRDefault="002C39AD" w:rsidP="00385F38">
            <w:pPr>
              <w:pStyle w:val="Tabletext"/>
              <w:ind w:left="321" w:hanging="284"/>
            </w:pPr>
            <w:r w:rsidRPr="004B5AAC">
              <w:t xml:space="preserve">20. Average annual hours worked </w:t>
            </w:r>
            <w:r>
              <w:br/>
            </w:r>
            <w:r w:rsidRPr="004B5AAC">
              <w:t>per person employed</w:t>
            </w:r>
          </w:p>
        </w:tc>
        <w:tc>
          <w:tcPr>
            <w:tcW w:w="839" w:type="dxa"/>
            <w:tcBorders>
              <w:top w:val="nil"/>
              <w:left w:val="nil"/>
              <w:bottom w:val="single" w:sz="4" w:space="0" w:color="FFFFFF"/>
              <w:right w:val="nil"/>
            </w:tcBorders>
            <w:shd w:val="clear" w:color="000000" w:fill="D9D9D9"/>
            <w:vAlign w:val="center"/>
            <w:hideMark/>
          </w:tcPr>
          <w:p w14:paraId="0AC15D08" w14:textId="77777777" w:rsidR="002C39AD" w:rsidRPr="004B5AAC" w:rsidRDefault="002C39AD" w:rsidP="002C39AD">
            <w:pPr>
              <w:pStyle w:val="Tabletext"/>
            </w:pPr>
            <w:r w:rsidRPr="004B5AAC">
              <w:t> </w:t>
            </w:r>
          </w:p>
        </w:tc>
        <w:tc>
          <w:tcPr>
            <w:tcW w:w="1132" w:type="dxa"/>
            <w:tcBorders>
              <w:top w:val="nil"/>
              <w:left w:val="single" w:sz="4" w:space="0" w:color="FFFFFF"/>
              <w:bottom w:val="single" w:sz="4" w:space="0" w:color="FFFFFF"/>
              <w:right w:val="single" w:sz="4" w:space="0" w:color="FFFFFF"/>
            </w:tcBorders>
            <w:shd w:val="clear" w:color="000000" w:fill="D9D9D9"/>
            <w:vAlign w:val="center"/>
            <w:hideMark/>
          </w:tcPr>
          <w:p w14:paraId="371AB394" w14:textId="77777777" w:rsidR="002C39AD" w:rsidRPr="004B5AAC" w:rsidRDefault="002C39AD" w:rsidP="002C39AD">
            <w:pPr>
              <w:pStyle w:val="Tabletext"/>
              <w:jc w:val="center"/>
            </w:pPr>
            <w:r w:rsidRPr="004B5AAC">
              <w:t>1</w:t>
            </w:r>
            <w:r>
              <w:t>,</w:t>
            </w:r>
            <w:r w:rsidRPr="004B5AAC">
              <w:t>911.4</w:t>
            </w:r>
          </w:p>
        </w:tc>
        <w:tc>
          <w:tcPr>
            <w:tcW w:w="703" w:type="dxa"/>
            <w:tcBorders>
              <w:top w:val="nil"/>
              <w:left w:val="nil"/>
              <w:bottom w:val="single" w:sz="4" w:space="0" w:color="FFFFFF"/>
              <w:right w:val="nil"/>
            </w:tcBorders>
            <w:shd w:val="clear" w:color="000000" w:fill="D9D9D9"/>
            <w:vAlign w:val="center"/>
            <w:hideMark/>
          </w:tcPr>
          <w:p w14:paraId="16680D09" w14:textId="77777777" w:rsidR="002C39AD" w:rsidRPr="004B5AAC" w:rsidRDefault="002C39AD" w:rsidP="002C39AD">
            <w:pPr>
              <w:pStyle w:val="Tabletext"/>
              <w:jc w:val="center"/>
            </w:pPr>
            <w:r w:rsidRPr="004B5AAC">
              <w:t>0.2</w:t>
            </w:r>
          </w:p>
        </w:tc>
        <w:tc>
          <w:tcPr>
            <w:tcW w:w="918" w:type="dxa"/>
            <w:tcBorders>
              <w:top w:val="nil"/>
              <w:left w:val="nil"/>
              <w:bottom w:val="single" w:sz="4" w:space="0" w:color="FFFFFF"/>
              <w:right w:val="nil"/>
            </w:tcBorders>
            <w:shd w:val="clear" w:color="000000" w:fill="D9D9D9"/>
            <w:vAlign w:val="center"/>
            <w:hideMark/>
          </w:tcPr>
          <w:p w14:paraId="30C8C4B3" w14:textId="77777777" w:rsidR="002C39AD" w:rsidRPr="004B5AAC" w:rsidRDefault="002C39AD" w:rsidP="002C39AD">
            <w:pPr>
              <w:pStyle w:val="Tabletext"/>
              <w:jc w:val="center"/>
            </w:pPr>
            <w:r w:rsidRPr="004B5AAC">
              <w:t>0.4</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212EC3DF" w14:textId="77777777" w:rsidR="002C39AD" w:rsidRPr="004B5AAC" w:rsidRDefault="002C39AD" w:rsidP="002C39AD">
            <w:pPr>
              <w:pStyle w:val="Tabletext"/>
              <w:jc w:val="center"/>
            </w:pPr>
            <w:r w:rsidRPr="004B5AAC">
              <w:t>0.1</w:t>
            </w:r>
          </w:p>
        </w:tc>
      </w:tr>
      <w:tr w:rsidR="002C39AD" w:rsidRPr="004B5AAC" w14:paraId="4049D517"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66D6ED7D" w14:textId="77777777" w:rsidR="002C39AD" w:rsidRPr="004B5AAC" w:rsidRDefault="002C39AD" w:rsidP="00385F38">
            <w:pPr>
              <w:pStyle w:val="Tabletext"/>
              <w:ind w:left="321" w:hanging="284"/>
            </w:pPr>
            <w:r w:rsidRPr="004B5AAC">
              <w:t>21. Real GDP per person employed</w:t>
            </w:r>
          </w:p>
        </w:tc>
        <w:tc>
          <w:tcPr>
            <w:tcW w:w="839" w:type="dxa"/>
            <w:tcBorders>
              <w:top w:val="nil"/>
              <w:left w:val="nil"/>
              <w:bottom w:val="single" w:sz="4" w:space="0" w:color="FFFFFF"/>
              <w:right w:val="nil"/>
            </w:tcBorders>
            <w:shd w:val="clear" w:color="000000" w:fill="F2F2F2"/>
            <w:vAlign w:val="center"/>
            <w:hideMark/>
          </w:tcPr>
          <w:p w14:paraId="5E61D177" w14:textId="77777777" w:rsidR="002C39AD" w:rsidRPr="004B5AAC" w:rsidRDefault="002C39AD" w:rsidP="002C39AD">
            <w:pPr>
              <w:pStyle w:val="Tabletext"/>
            </w:pPr>
            <w:r w:rsidRPr="004B5AAC">
              <w:t> </w:t>
            </w:r>
          </w:p>
        </w:tc>
        <w:tc>
          <w:tcPr>
            <w:tcW w:w="1132" w:type="dxa"/>
            <w:vMerge w:val="restart"/>
            <w:tcBorders>
              <w:top w:val="nil"/>
              <w:left w:val="single" w:sz="4" w:space="0" w:color="FFFFFF"/>
              <w:right w:val="single" w:sz="4" w:space="0" w:color="FFFFFF"/>
            </w:tcBorders>
            <w:shd w:val="clear" w:color="auto" w:fill="A6A6A6" w:themeFill="background1" w:themeFillShade="A6"/>
            <w:vAlign w:val="center"/>
            <w:hideMark/>
          </w:tcPr>
          <w:p w14:paraId="69ADA223" w14:textId="77777777" w:rsidR="002C39AD" w:rsidRPr="004B5AAC" w:rsidRDefault="002C39AD" w:rsidP="002C39AD">
            <w:pPr>
              <w:pStyle w:val="Tabletext"/>
              <w:jc w:val="center"/>
            </w:pPr>
          </w:p>
          <w:p w14:paraId="453205BC" w14:textId="77777777" w:rsidR="002C39AD" w:rsidRPr="004B5AAC" w:rsidRDefault="002C39AD" w:rsidP="002C39AD">
            <w:pPr>
              <w:pStyle w:val="Tabletext"/>
              <w:jc w:val="center"/>
            </w:pPr>
          </w:p>
        </w:tc>
        <w:tc>
          <w:tcPr>
            <w:tcW w:w="703" w:type="dxa"/>
            <w:tcBorders>
              <w:top w:val="nil"/>
              <w:left w:val="nil"/>
              <w:bottom w:val="single" w:sz="4" w:space="0" w:color="FFFFFF"/>
              <w:right w:val="nil"/>
            </w:tcBorders>
            <w:shd w:val="clear" w:color="auto" w:fill="F2F2F2" w:themeFill="background1" w:themeFillShade="F2"/>
            <w:vAlign w:val="center"/>
            <w:hideMark/>
          </w:tcPr>
          <w:p w14:paraId="2B12E227" w14:textId="77777777" w:rsidR="002C39AD" w:rsidRPr="004B5AAC" w:rsidRDefault="002C39AD" w:rsidP="002C39AD">
            <w:pPr>
              <w:pStyle w:val="Tabletext"/>
              <w:jc w:val="center"/>
            </w:pPr>
            <w:r w:rsidRPr="004B5AAC">
              <w:t>0.9</w:t>
            </w:r>
          </w:p>
        </w:tc>
        <w:tc>
          <w:tcPr>
            <w:tcW w:w="918" w:type="dxa"/>
            <w:tcBorders>
              <w:top w:val="nil"/>
              <w:left w:val="nil"/>
              <w:bottom w:val="single" w:sz="4" w:space="0" w:color="FFFFFF"/>
              <w:right w:val="nil"/>
            </w:tcBorders>
            <w:shd w:val="clear" w:color="auto" w:fill="F2F2F2" w:themeFill="background1" w:themeFillShade="F2"/>
            <w:vAlign w:val="center"/>
            <w:hideMark/>
          </w:tcPr>
          <w:p w14:paraId="0E7AB861" w14:textId="77777777" w:rsidR="002C39AD" w:rsidRPr="004B5AAC" w:rsidRDefault="002C39AD" w:rsidP="002C39AD">
            <w:pPr>
              <w:pStyle w:val="Tabletext"/>
              <w:jc w:val="center"/>
            </w:pPr>
            <w:r w:rsidRPr="004B5AAC">
              <w:t>-0.3</w:t>
            </w:r>
          </w:p>
        </w:tc>
        <w:tc>
          <w:tcPr>
            <w:tcW w:w="781" w:type="dxa"/>
            <w:tcBorders>
              <w:top w:val="nil"/>
              <w:left w:val="nil"/>
              <w:bottom w:val="single" w:sz="4" w:space="0" w:color="FFFFFF"/>
              <w:right w:val="single" w:sz="2" w:space="0" w:color="FFFFFF" w:themeColor="background1"/>
            </w:tcBorders>
            <w:shd w:val="clear" w:color="auto" w:fill="F2F2F2" w:themeFill="background1" w:themeFillShade="F2"/>
            <w:vAlign w:val="center"/>
            <w:hideMark/>
          </w:tcPr>
          <w:p w14:paraId="15001C49" w14:textId="77777777" w:rsidR="002C39AD" w:rsidRPr="004B5AAC" w:rsidRDefault="002C39AD" w:rsidP="002C39AD">
            <w:pPr>
              <w:pStyle w:val="Tabletext"/>
              <w:jc w:val="center"/>
            </w:pPr>
            <w:r w:rsidRPr="004B5AAC">
              <w:t>1.8</w:t>
            </w:r>
          </w:p>
        </w:tc>
      </w:tr>
      <w:tr w:rsidR="002C39AD" w:rsidRPr="004B5AAC" w14:paraId="347B9456"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6B80B283" w14:textId="77777777" w:rsidR="002C39AD" w:rsidRPr="004B5AAC" w:rsidRDefault="002C39AD" w:rsidP="00385F38">
            <w:pPr>
              <w:pStyle w:val="Tabletext"/>
              <w:ind w:left="321" w:hanging="284"/>
            </w:pPr>
            <w:r w:rsidRPr="004B5AAC">
              <w:t>22. Real GDP per hour worked</w:t>
            </w:r>
          </w:p>
        </w:tc>
        <w:tc>
          <w:tcPr>
            <w:tcW w:w="839" w:type="dxa"/>
            <w:tcBorders>
              <w:top w:val="nil"/>
              <w:left w:val="nil"/>
              <w:bottom w:val="single" w:sz="4" w:space="0" w:color="FFFFFF"/>
              <w:right w:val="nil"/>
            </w:tcBorders>
            <w:shd w:val="clear" w:color="000000" w:fill="D9D9D9"/>
            <w:vAlign w:val="center"/>
            <w:hideMark/>
          </w:tcPr>
          <w:p w14:paraId="434D3FA7" w14:textId="77777777" w:rsidR="002C39AD" w:rsidRPr="004B5AAC" w:rsidRDefault="002C39AD" w:rsidP="002C39AD">
            <w:pPr>
              <w:pStyle w:val="Tabletext"/>
            </w:pPr>
            <w:r w:rsidRPr="004B5AAC">
              <w:t> </w:t>
            </w:r>
          </w:p>
        </w:tc>
        <w:tc>
          <w:tcPr>
            <w:tcW w:w="1132" w:type="dxa"/>
            <w:vMerge/>
            <w:tcBorders>
              <w:left w:val="single" w:sz="4" w:space="0" w:color="FFFFFF"/>
              <w:bottom w:val="single" w:sz="4" w:space="0" w:color="FFFFFF"/>
              <w:right w:val="single" w:sz="4" w:space="0" w:color="FFFFFF"/>
            </w:tcBorders>
            <w:shd w:val="clear" w:color="auto" w:fill="A6A6A6" w:themeFill="background1" w:themeFillShade="A6"/>
            <w:vAlign w:val="center"/>
            <w:hideMark/>
          </w:tcPr>
          <w:p w14:paraId="058FD173" w14:textId="77777777" w:rsidR="002C39AD" w:rsidRPr="004B5AAC" w:rsidRDefault="002C39AD" w:rsidP="002C39AD">
            <w:pPr>
              <w:pStyle w:val="Tabletext"/>
              <w:jc w:val="center"/>
            </w:pPr>
          </w:p>
        </w:tc>
        <w:tc>
          <w:tcPr>
            <w:tcW w:w="703" w:type="dxa"/>
            <w:tcBorders>
              <w:top w:val="nil"/>
              <w:left w:val="nil"/>
              <w:bottom w:val="single" w:sz="4" w:space="0" w:color="FFFFFF"/>
              <w:right w:val="nil"/>
            </w:tcBorders>
            <w:shd w:val="clear" w:color="auto" w:fill="D9D9D9" w:themeFill="background1" w:themeFillShade="D9"/>
            <w:vAlign w:val="center"/>
            <w:hideMark/>
          </w:tcPr>
          <w:p w14:paraId="7962CBD7" w14:textId="77777777" w:rsidR="002C39AD" w:rsidRPr="004B5AAC" w:rsidRDefault="002C39AD" w:rsidP="002C39AD">
            <w:pPr>
              <w:pStyle w:val="Tabletext"/>
              <w:jc w:val="center"/>
            </w:pPr>
            <w:r w:rsidRPr="004B5AAC">
              <w:t>0.7</w:t>
            </w:r>
          </w:p>
        </w:tc>
        <w:tc>
          <w:tcPr>
            <w:tcW w:w="918" w:type="dxa"/>
            <w:tcBorders>
              <w:top w:val="nil"/>
              <w:left w:val="nil"/>
              <w:bottom w:val="single" w:sz="4" w:space="0" w:color="FFFFFF"/>
              <w:right w:val="nil"/>
            </w:tcBorders>
            <w:shd w:val="clear" w:color="auto" w:fill="D9D9D9" w:themeFill="background1" w:themeFillShade="D9"/>
            <w:vAlign w:val="center"/>
            <w:hideMark/>
          </w:tcPr>
          <w:p w14:paraId="5E32F79B" w14:textId="77777777" w:rsidR="002C39AD" w:rsidRPr="004B5AAC" w:rsidRDefault="002C39AD" w:rsidP="002C39AD">
            <w:pPr>
              <w:pStyle w:val="Tabletext"/>
              <w:jc w:val="center"/>
            </w:pPr>
            <w:r w:rsidRPr="004B5AAC">
              <w:t>-0.7</w:t>
            </w:r>
          </w:p>
        </w:tc>
        <w:tc>
          <w:tcPr>
            <w:tcW w:w="781" w:type="dxa"/>
            <w:tcBorders>
              <w:top w:val="nil"/>
              <w:left w:val="nil"/>
              <w:bottom w:val="single" w:sz="4" w:space="0" w:color="FFFFFF"/>
              <w:right w:val="single" w:sz="2" w:space="0" w:color="FFFFFF" w:themeColor="background1"/>
            </w:tcBorders>
            <w:shd w:val="clear" w:color="auto" w:fill="D9D9D9" w:themeFill="background1" w:themeFillShade="D9"/>
            <w:vAlign w:val="center"/>
            <w:hideMark/>
          </w:tcPr>
          <w:p w14:paraId="6451E2ED" w14:textId="77777777" w:rsidR="002C39AD" w:rsidRPr="004B5AAC" w:rsidRDefault="002C39AD" w:rsidP="002C39AD">
            <w:pPr>
              <w:pStyle w:val="Tabletext"/>
              <w:jc w:val="center"/>
            </w:pPr>
            <w:r w:rsidRPr="004B5AAC">
              <w:t>1.7</w:t>
            </w:r>
          </w:p>
        </w:tc>
      </w:tr>
      <w:tr w:rsidR="002C39AD" w:rsidRPr="004B5AAC" w14:paraId="4A4BF5D2"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03F672D9" w14:textId="77777777" w:rsidR="002C39AD" w:rsidRPr="004B5AAC" w:rsidRDefault="002C39AD" w:rsidP="00385F38">
            <w:pPr>
              <w:pStyle w:val="Tabletext"/>
              <w:ind w:left="321" w:hanging="284"/>
            </w:pPr>
            <w:r w:rsidRPr="004B5AAC">
              <w:t>23. Compensation of employees (bn NAC)</w:t>
            </w:r>
          </w:p>
        </w:tc>
        <w:tc>
          <w:tcPr>
            <w:tcW w:w="839" w:type="dxa"/>
            <w:tcBorders>
              <w:top w:val="nil"/>
              <w:left w:val="nil"/>
              <w:bottom w:val="single" w:sz="4" w:space="0" w:color="FFFFFF"/>
              <w:right w:val="nil"/>
            </w:tcBorders>
            <w:shd w:val="clear" w:color="000000" w:fill="F2F2F2"/>
            <w:vAlign w:val="center"/>
            <w:hideMark/>
          </w:tcPr>
          <w:p w14:paraId="20A0ACE0" w14:textId="77777777" w:rsidR="002C39AD" w:rsidRPr="004B5AAC" w:rsidRDefault="002C39AD" w:rsidP="002C39AD">
            <w:pPr>
              <w:pStyle w:val="Tabletext"/>
            </w:pPr>
            <w:r w:rsidRPr="004B5AAC">
              <w:t>D.1</w:t>
            </w:r>
          </w:p>
        </w:tc>
        <w:tc>
          <w:tcPr>
            <w:tcW w:w="1132" w:type="dxa"/>
            <w:tcBorders>
              <w:top w:val="nil"/>
              <w:left w:val="single" w:sz="4" w:space="0" w:color="FFFFFF"/>
              <w:bottom w:val="single" w:sz="4" w:space="0" w:color="FFFFFF"/>
              <w:right w:val="single" w:sz="4" w:space="0" w:color="FFFFFF"/>
            </w:tcBorders>
            <w:shd w:val="clear" w:color="000000" w:fill="F2F2F2"/>
            <w:vAlign w:val="center"/>
            <w:hideMark/>
          </w:tcPr>
          <w:p w14:paraId="4F14D023" w14:textId="77777777" w:rsidR="002C39AD" w:rsidRPr="004B5AAC" w:rsidRDefault="002C39AD" w:rsidP="002C39AD">
            <w:pPr>
              <w:pStyle w:val="Tabletext"/>
              <w:jc w:val="center"/>
            </w:pPr>
            <w:r w:rsidRPr="004B5AAC">
              <w:t>83.2</w:t>
            </w:r>
          </w:p>
        </w:tc>
        <w:tc>
          <w:tcPr>
            <w:tcW w:w="703" w:type="dxa"/>
            <w:tcBorders>
              <w:top w:val="nil"/>
              <w:left w:val="nil"/>
              <w:bottom w:val="single" w:sz="4" w:space="0" w:color="FFFFFF"/>
              <w:right w:val="nil"/>
            </w:tcBorders>
            <w:shd w:val="clear" w:color="000000" w:fill="F2F2F2"/>
            <w:vAlign w:val="center"/>
            <w:hideMark/>
          </w:tcPr>
          <w:p w14:paraId="6C81A27B" w14:textId="77777777" w:rsidR="002C39AD" w:rsidRPr="004B5AAC" w:rsidRDefault="002C39AD" w:rsidP="002C39AD">
            <w:pPr>
              <w:pStyle w:val="Tabletext"/>
              <w:jc w:val="center"/>
            </w:pPr>
            <w:r w:rsidRPr="004B5AAC">
              <w:t>7.4</w:t>
            </w:r>
          </w:p>
        </w:tc>
        <w:tc>
          <w:tcPr>
            <w:tcW w:w="918" w:type="dxa"/>
            <w:tcBorders>
              <w:top w:val="nil"/>
              <w:left w:val="nil"/>
              <w:bottom w:val="single" w:sz="4" w:space="0" w:color="FFFFFF"/>
              <w:right w:val="nil"/>
            </w:tcBorders>
            <w:shd w:val="clear" w:color="000000" w:fill="F2F2F2"/>
            <w:vAlign w:val="center"/>
            <w:hideMark/>
          </w:tcPr>
          <w:p w14:paraId="44434BBC" w14:textId="77777777" w:rsidR="002C39AD" w:rsidRPr="004B5AAC" w:rsidRDefault="002C39AD" w:rsidP="002C39AD">
            <w:pPr>
              <w:pStyle w:val="Tabletext"/>
              <w:jc w:val="center"/>
            </w:pPr>
            <w:r w:rsidRPr="004B5AAC">
              <w:t>6.3</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64BD394C" w14:textId="77777777" w:rsidR="002C39AD" w:rsidRPr="004B5AAC" w:rsidRDefault="002C39AD" w:rsidP="002C39AD">
            <w:pPr>
              <w:pStyle w:val="Tabletext"/>
              <w:jc w:val="center"/>
            </w:pPr>
            <w:r w:rsidRPr="004B5AAC">
              <w:t>4.4</w:t>
            </w:r>
          </w:p>
        </w:tc>
      </w:tr>
      <w:tr w:rsidR="002C39AD" w:rsidRPr="004B5AAC" w14:paraId="383DF361"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5F2251A1" w14:textId="77777777" w:rsidR="002C39AD" w:rsidRPr="004B5AAC" w:rsidRDefault="002C39AD" w:rsidP="00385F38">
            <w:pPr>
              <w:pStyle w:val="Tabletext"/>
              <w:ind w:left="321" w:hanging="284"/>
            </w:pPr>
            <w:r w:rsidRPr="004B5AAC">
              <w:t>24. Compensation per employee (= 23 / 19)</w:t>
            </w:r>
          </w:p>
        </w:tc>
        <w:tc>
          <w:tcPr>
            <w:tcW w:w="839" w:type="dxa"/>
            <w:tcBorders>
              <w:top w:val="nil"/>
              <w:left w:val="nil"/>
              <w:bottom w:val="single" w:sz="4" w:space="0" w:color="FFFFFF"/>
              <w:right w:val="nil"/>
            </w:tcBorders>
            <w:shd w:val="clear" w:color="000000" w:fill="D9D9D9"/>
            <w:vAlign w:val="center"/>
            <w:hideMark/>
          </w:tcPr>
          <w:p w14:paraId="42A26D3F" w14:textId="77777777" w:rsidR="002C39AD" w:rsidRPr="004B5AAC" w:rsidRDefault="002C39AD" w:rsidP="002C39AD">
            <w:pPr>
              <w:pStyle w:val="Tabletext"/>
            </w:pPr>
            <w:r w:rsidRPr="004B5AAC">
              <w:t> </w:t>
            </w:r>
          </w:p>
        </w:tc>
        <w:tc>
          <w:tcPr>
            <w:tcW w:w="1132" w:type="dxa"/>
            <w:tcBorders>
              <w:top w:val="nil"/>
              <w:left w:val="single" w:sz="4" w:space="0" w:color="FFFFFF"/>
              <w:bottom w:val="single" w:sz="4" w:space="0" w:color="FFFFFF"/>
              <w:right w:val="single" w:sz="4" w:space="0" w:color="FFFFFF"/>
            </w:tcBorders>
            <w:shd w:val="clear" w:color="000000" w:fill="D9D9D9"/>
            <w:vAlign w:val="center"/>
            <w:hideMark/>
          </w:tcPr>
          <w:p w14:paraId="6C45E8F8" w14:textId="77777777" w:rsidR="002C39AD" w:rsidRPr="004B5AAC" w:rsidRDefault="002C39AD" w:rsidP="002C39AD">
            <w:pPr>
              <w:pStyle w:val="Tabletext"/>
              <w:jc w:val="center"/>
            </w:pPr>
            <w:r w:rsidRPr="004B5AAC">
              <w:t>22.2</w:t>
            </w:r>
          </w:p>
        </w:tc>
        <w:tc>
          <w:tcPr>
            <w:tcW w:w="703" w:type="dxa"/>
            <w:tcBorders>
              <w:top w:val="nil"/>
              <w:left w:val="nil"/>
              <w:bottom w:val="single" w:sz="4" w:space="0" w:color="FFFFFF"/>
              <w:right w:val="nil"/>
            </w:tcBorders>
            <w:shd w:val="clear" w:color="000000" w:fill="D9D9D9"/>
            <w:vAlign w:val="center"/>
            <w:hideMark/>
          </w:tcPr>
          <w:p w14:paraId="51075F30" w14:textId="77777777" w:rsidR="002C39AD" w:rsidRPr="004B5AAC" w:rsidRDefault="002C39AD" w:rsidP="002C39AD">
            <w:pPr>
              <w:pStyle w:val="Tabletext"/>
              <w:jc w:val="center"/>
            </w:pPr>
            <w:r w:rsidRPr="004B5AAC">
              <w:t>6.0</w:t>
            </w:r>
          </w:p>
        </w:tc>
        <w:tc>
          <w:tcPr>
            <w:tcW w:w="918" w:type="dxa"/>
            <w:tcBorders>
              <w:top w:val="nil"/>
              <w:left w:val="nil"/>
              <w:bottom w:val="single" w:sz="4" w:space="0" w:color="FFFFFF"/>
              <w:right w:val="nil"/>
            </w:tcBorders>
            <w:shd w:val="clear" w:color="000000" w:fill="D9D9D9"/>
            <w:vAlign w:val="center"/>
            <w:hideMark/>
          </w:tcPr>
          <w:p w14:paraId="22DBA043" w14:textId="77777777" w:rsidR="002C39AD" w:rsidRPr="004B5AAC" w:rsidRDefault="002C39AD" w:rsidP="002C39AD">
            <w:pPr>
              <w:pStyle w:val="Tabletext"/>
              <w:jc w:val="center"/>
            </w:pPr>
            <w:r w:rsidRPr="004B5AAC">
              <w:t>3.7</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5E9FEC6D" w14:textId="77777777" w:rsidR="002C39AD" w:rsidRPr="004B5AAC" w:rsidRDefault="002C39AD" w:rsidP="002C39AD">
            <w:pPr>
              <w:pStyle w:val="Tabletext"/>
              <w:jc w:val="center"/>
            </w:pPr>
            <w:r w:rsidRPr="004B5AAC">
              <w:t>3.7</w:t>
            </w:r>
          </w:p>
        </w:tc>
      </w:tr>
      <w:tr w:rsidR="002C39AD" w:rsidRPr="004B5AAC" w14:paraId="580CDFD9" w14:textId="77777777" w:rsidTr="002C39AD">
        <w:trPr>
          <w:trHeight w:val="255"/>
          <w:jc w:val="center"/>
        </w:trPr>
        <w:tc>
          <w:tcPr>
            <w:tcW w:w="4516" w:type="dxa"/>
            <w:tcBorders>
              <w:left w:val="nil"/>
              <w:bottom w:val="nil"/>
            </w:tcBorders>
            <w:shd w:val="clear" w:color="000000" w:fill="BFBFBF"/>
            <w:vAlign w:val="center"/>
            <w:hideMark/>
          </w:tcPr>
          <w:p w14:paraId="3BAEABA7" w14:textId="77777777" w:rsidR="002C39AD" w:rsidRPr="004B5AAC" w:rsidRDefault="002C39AD" w:rsidP="00385F38">
            <w:pPr>
              <w:pStyle w:val="Tabletext"/>
              <w:ind w:left="321" w:hanging="284"/>
            </w:pPr>
            <w:r w:rsidRPr="004B5AAC">
              <w:t xml:space="preserve"> </w:t>
            </w:r>
          </w:p>
        </w:tc>
        <w:tc>
          <w:tcPr>
            <w:tcW w:w="839" w:type="dxa"/>
            <w:tcBorders>
              <w:bottom w:val="nil"/>
            </w:tcBorders>
            <w:shd w:val="clear" w:color="000000" w:fill="BFBFBF"/>
            <w:vAlign w:val="center"/>
            <w:hideMark/>
          </w:tcPr>
          <w:p w14:paraId="36FBF039" w14:textId="77777777" w:rsidR="002C39AD" w:rsidRPr="004B5AAC" w:rsidRDefault="002C39AD" w:rsidP="002C39AD">
            <w:pPr>
              <w:pStyle w:val="Tabletext"/>
            </w:pPr>
            <w:r w:rsidRPr="004B5AAC">
              <w:t> </w:t>
            </w:r>
          </w:p>
        </w:tc>
        <w:tc>
          <w:tcPr>
            <w:tcW w:w="1132" w:type="dxa"/>
            <w:tcBorders>
              <w:bottom w:val="nil"/>
            </w:tcBorders>
            <w:shd w:val="clear" w:color="000000" w:fill="BFBFBF"/>
            <w:vAlign w:val="center"/>
            <w:hideMark/>
          </w:tcPr>
          <w:p w14:paraId="7A3B8A47" w14:textId="77777777" w:rsidR="002C39AD" w:rsidRPr="004B5AAC" w:rsidRDefault="002C39AD" w:rsidP="002C39AD">
            <w:pPr>
              <w:pStyle w:val="Tabletext"/>
              <w:jc w:val="center"/>
            </w:pPr>
          </w:p>
        </w:tc>
        <w:tc>
          <w:tcPr>
            <w:tcW w:w="2415" w:type="dxa"/>
            <w:gridSpan w:val="4"/>
            <w:tcBorders>
              <w:bottom w:val="nil"/>
            </w:tcBorders>
            <w:shd w:val="clear" w:color="000000" w:fill="BFBFBF"/>
            <w:vAlign w:val="center"/>
            <w:hideMark/>
          </w:tcPr>
          <w:p w14:paraId="5934C23F" w14:textId="77777777" w:rsidR="002C39AD" w:rsidRPr="004B5AAC" w:rsidRDefault="002C39AD" w:rsidP="002C39AD">
            <w:pPr>
              <w:pStyle w:val="Tabletext"/>
              <w:jc w:val="center"/>
            </w:pPr>
            <w:r w:rsidRPr="004B5AAC">
              <w:t>%</w:t>
            </w:r>
          </w:p>
        </w:tc>
      </w:tr>
      <w:tr w:rsidR="002C39AD" w:rsidRPr="004B5AAC" w14:paraId="47782BDA"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00F4766E" w14:textId="77777777" w:rsidR="002C39AD" w:rsidRPr="004B5AAC" w:rsidRDefault="002C39AD" w:rsidP="00385F38">
            <w:pPr>
              <w:pStyle w:val="Tabletext"/>
              <w:ind w:left="321" w:hanging="284"/>
            </w:pPr>
            <w:r w:rsidRPr="004B5AAC">
              <w:t>25. Unemployment rate (%)</w:t>
            </w:r>
          </w:p>
        </w:tc>
        <w:tc>
          <w:tcPr>
            <w:tcW w:w="839" w:type="dxa"/>
            <w:tcBorders>
              <w:top w:val="nil"/>
              <w:left w:val="nil"/>
              <w:bottom w:val="single" w:sz="4" w:space="0" w:color="FFFFFF"/>
              <w:right w:val="nil"/>
            </w:tcBorders>
            <w:shd w:val="clear" w:color="000000" w:fill="F2F2F2"/>
            <w:vAlign w:val="center"/>
            <w:hideMark/>
          </w:tcPr>
          <w:p w14:paraId="3D701155" w14:textId="77777777" w:rsidR="002C39AD" w:rsidRPr="004B5AAC" w:rsidRDefault="002C39AD" w:rsidP="002C39AD">
            <w:pPr>
              <w:pStyle w:val="Tabletext"/>
            </w:pPr>
            <w:r w:rsidRPr="004B5AAC">
              <w:t> </w:t>
            </w:r>
          </w:p>
        </w:tc>
        <w:tc>
          <w:tcPr>
            <w:tcW w:w="1132" w:type="dxa"/>
            <w:tcBorders>
              <w:top w:val="nil"/>
              <w:left w:val="single" w:sz="4" w:space="0" w:color="FFFFFF"/>
              <w:bottom w:val="single" w:sz="4" w:space="0" w:color="FFFFFF"/>
              <w:right w:val="single" w:sz="4" w:space="0" w:color="FFFFFF"/>
            </w:tcBorders>
            <w:shd w:val="clear" w:color="auto" w:fill="A6A6A6" w:themeFill="background1" w:themeFillShade="A6"/>
            <w:vAlign w:val="center"/>
            <w:hideMark/>
          </w:tcPr>
          <w:p w14:paraId="0F55CCA4" w14:textId="77777777" w:rsidR="002C39AD" w:rsidRPr="004B5AAC" w:rsidRDefault="002C39AD" w:rsidP="002C39AD">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69985796" w14:textId="77777777" w:rsidR="002C39AD" w:rsidRPr="004B5AAC" w:rsidRDefault="002C39AD" w:rsidP="002C39AD">
            <w:pPr>
              <w:pStyle w:val="Tabletext"/>
              <w:jc w:val="center"/>
            </w:pPr>
            <w:r w:rsidRPr="004B5AAC">
              <w:t>10.1</w:t>
            </w:r>
          </w:p>
        </w:tc>
        <w:tc>
          <w:tcPr>
            <w:tcW w:w="918" w:type="dxa"/>
            <w:tcBorders>
              <w:top w:val="nil"/>
              <w:left w:val="nil"/>
              <w:bottom w:val="single" w:sz="4" w:space="0" w:color="FFFFFF"/>
              <w:right w:val="nil"/>
            </w:tcBorders>
            <w:shd w:val="clear" w:color="000000" w:fill="F2F2F2"/>
            <w:vAlign w:val="center"/>
            <w:hideMark/>
          </w:tcPr>
          <w:p w14:paraId="1465158C" w14:textId="77777777" w:rsidR="002C39AD" w:rsidRPr="004B5AAC" w:rsidRDefault="002C39AD" w:rsidP="002C39AD">
            <w:pPr>
              <w:pStyle w:val="Tabletext"/>
              <w:jc w:val="center"/>
            </w:pPr>
            <w:r w:rsidRPr="004B5AAC">
              <w:t>9.1</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04F85F99" w14:textId="77777777" w:rsidR="002C39AD" w:rsidRPr="004B5AAC" w:rsidRDefault="002C39AD" w:rsidP="002C39AD">
            <w:pPr>
              <w:pStyle w:val="Tabletext"/>
              <w:jc w:val="center"/>
            </w:pPr>
            <w:r w:rsidRPr="004B5AAC">
              <w:t>8.6</w:t>
            </w:r>
          </w:p>
        </w:tc>
      </w:tr>
      <w:tr w:rsidR="002C39AD" w:rsidRPr="00A23EEB" w14:paraId="7CCD8928" w14:textId="77777777" w:rsidTr="002C39AD">
        <w:trPr>
          <w:trHeight w:val="255"/>
          <w:jc w:val="center"/>
        </w:trPr>
        <w:tc>
          <w:tcPr>
            <w:tcW w:w="4516" w:type="dxa"/>
            <w:tcBorders>
              <w:left w:val="nil"/>
              <w:bottom w:val="nil"/>
            </w:tcBorders>
            <w:shd w:val="clear" w:color="000000" w:fill="BFBFBF"/>
            <w:vAlign w:val="center"/>
            <w:hideMark/>
          </w:tcPr>
          <w:p w14:paraId="683717AB" w14:textId="77777777" w:rsidR="002C39AD" w:rsidRPr="00A23EEB" w:rsidRDefault="002C39AD" w:rsidP="00385F38">
            <w:pPr>
              <w:pStyle w:val="Tabletext"/>
              <w:ind w:left="321" w:hanging="284"/>
              <w:rPr>
                <w:b/>
                <w:sz w:val="24"/>
              </w:rPr>
            </w:pPr>
            <w:r w:rsidRPr="00A23EEB">
              <w:rPr>
                <w:b/>
                <w:sz w:val="24"/>
              </w:rPr>
              <w:t>Potential GDP and components</w:t>
            </w:r>
          </w:p>
        </w:tc>
        <w:tc>
          <w:tcPr>
            <w:tcW w:w="839" w:type="dxa"/>
            <w:tcBorders>
              <w:bottom w:val="nil"/>
            </w:tcBorders>
            <w:shd w:val="clear" w:color="000000" w:fill="BFBFBF"/>
            <w:vAlign w:val="center"/>
            <w:hideMark/>
          </w:tcPr>
          <w:p w14:paraId="2493F448" w14:textId="77777777" w:rsidR="002C39AD" w:rsidRPr="00A23EEB" w:rsidRDefault="002C39AD" w:rsidP="002C39AD">
            <w:pPr>
              <w:pStyle w:val="Tabletext"/>
              <w:rPr>
                <w:b/>
                <w:sz w:val="24"/>
              </w:rPr>
            </w:pPr>
            <w:r w:rsidRPr="00A23EEB">
              <w:rPr>
                <w:b/>
                <w:sz w:val="24"/>
              </w:rPr>
              <w:t> </w:t>
            </w:r>
          </w:p>
        </w:tc>
        <w:tc>
          <w:tcPr>
            <w:tcW w:w="1132" w:type="dxa"/>
            <w:tcBorders>
              <w:bottom w:val="nil"/>
            </w:tcBorders>
            <w:shd w:val="clear" w:color="000000" w:fill="BFBFBF"/>
            <w:vAlign w:val="center"/>
            <w:hideMark/>
          </w:tcPr>
          <w:p w14:paraId="5B0F3CFB" w14:textId="77777777" w:rsidR="002C39AD" w:rsidRPr="00A23EEB" w:rsidRDefault="002C39AD" w:rsidP="002C39AD">
            <w:pPr>
              <w:pStyle w:val="Tabletext"/>
              <w:jc w:val="center"/>
              <w:rPr>
                <w:b/>
                <w:sz w:val="24"/>
              </w:rPr>
            </w:pPr>
          </w:p>
        </w:tc>
        <w:tc>
          <w:tcPr>
            <w:tcW w:w="2415" w:type="dxa"/>
            <w:gridSpan w:val="4"/>
            <w:tcBorders>
              <w:bottom w:val="nil"/>
            </w:tcBorders>
            <w:shd w:val="clear" w:color="000000" w:fill="BFBFBF"/>
            <w:vAlign w:val="center"/>
            <w:hideMark/>
          </w:tcPr>
          <w:p w14:paraId="72A34651" w14:textId="77777777" w:rsidR="002C39AD" w:rsidRPr="00385F38" w:rsidRDefault="002C39AD" w:rsidP="002C39AD">
            <w:pPr>
              <w:pStyle w:val="Tabletext"/>
              <w:jc w:val="center"/>
              <w:rPr>
                <w:sz w:val="24"/>
              </w:rPr>
            </w:pPr>
            <w:r w:rsidRPr="00385F38">
              <w:rPr>
                <w:sz w:val="24"/>
              </w:rPr>
              <w:t>growth rate</w:t>
            </w:r>
          </w:p>
        </w:tc>
      </w:tr>
      <w:tr w:rsidR="002C39AD" w:rsidRPr="004B5AAC" w14:paraId="438314E3" w14:textId="77777777" w:rsidTr="002C39AD">
        <w:trPr>
          <w:gridAfter w:val="1"/>
          <w:wAfter w:w="13" w:type="dxa"/>
          <w:trHeight w:val="255"/>
          <w:jc w:val="center"/>
        </w:trPr>
        <w:tc>
          <w:tcPr>
            <w:tcW w:w="4516" w:type="dxa"/>
            <w:tcBorders>
              <w:top w:val="nil"/>
              <w:left w:val="nil"/>
              <w:right w:val="nil"/>
            </w:tcBorders>
            <w:shd w:val="clear" w:color="000000" w:fill="F2F2F2"/>
            <w:vAlign w:val="center"/>
            <w:hideMark/>
          </w:tcPr>
          <w:p w14:paraId="7413CDEC" w14:textId="77777777" w:rsidR="002C39AD" w:rsidRPr="004B5AAC" w:rsidRDefault="002C39AD" w:rsidP="00385F38">
            <w:pPr>
              <w:pStyle w:val="Tabletext"/>
              <w:ind w:left="321" w:hanging="284"/>
            </w:pPr>
            <w:r w:rsidRPr="004B5AAC">
              <w:t>26. Potential GDP</w:t>
            </w:r>
          </w:p>
        </w:tc>
        <w:tc>
          <w:tcPr>
            <w:tcW w:w="839" w:type="dxa"/>
            <w:tcBorders>
              <w:top w:val="nil"/>
              <w:left w:val="nil"/>
              <w:right w:val="nil"/>
            </w:tcBorders>
            <w:shd w:val="clear" w:color="000000" w:fill="F2F2F2"/>
            <w:vAlign w:val="center"/>
            <w:hideMark/>
          </w:tcPr>
          <w:p w14:paraId="36CFC375" w14:textId="77777777" w:rsidR="002C39AD" w:rsidRPr="004B5AAC" w:rsidRDefault="002C39AD" w:rsidP="002C39AD">
            <w:pPr>
              <w:pStyle w:val="Tabletext"/>
            </w:pPr>
            <w:r w:rsidRPr="004B5AAC">
              <w:t> </w:t>
            </w:r>
          </w:p>
        </w:tc>
        <w:tc>
          <w:tcPr>
            <w:tcW w:w="1132" w:type="dxa"/>
            <w:tcBorders>
              <w:top w:val="nil"/>
              <w:left w:val="single" w:sz="4" w:space="0" w:color="FFFFFF"/>
              <w:right w:val="single" w:sz="4" w:space="0" w:color="FFFFFF"/>
            </w:tcBorders>
            <w:shd w:val="clear" w:color="auto" w:fill="A6A6A6" w:themeFill="background1" w:themeFillShade="A6"/>
            <w:vAlign w:val="center"/>
            <w:hideMark/>
          </w:tcPr>
          <w:p w14:paraId="5B8A288F" w14:textId="77777777" w:rsidR="002C39AD" w:rsidRPr="004B5AAC" w:rsidRDefault="002C39AD" w:rsidP="002C39AD">
            <w:pPr>
              <w:pStyle w:val="Tabletext"/>
              <w:jc w:val="center"/>
            </w:pPr>
          </w:p>
        </w:tc>
        <w:tc>
          <w:tcPr>
            <w:tcW w:w="703" w:type="dxa"/>
            <w:tcBorders>
              <w:top w:val="nil"/>
              <w:left w:val="nil"/>
              <w:right w:val="nil"/>
            </w:tcBorders>
            <w:shd w:val="clear" w:color="000000" w:fill="F2F2F2"/>
            <w:vAlign w:val="center"/>
            <w:hideMark/>
          </w:tcPr>
          <w:p w14:paraId="5E42D39C" w14:textId="77777777" w:rsidR="002C39AD" w:rsidRPr="004B5AAC" w:rsidRDefault="002C39AD" w:rsidP="002C39AD">
            <w:pPr>
              <w:pStyle w:val="Tabletext"/>
              <w:jc w:val="center"/>
            </w:pPr>
            <w:r w:rsidRPr="004B5AAC">
              <w:t>1.2</w:t>
            </w:r>
          </w:p>
        </w:tc>
        <w:tc>
          <w:tcPr>
            <w:tcW w:w="918" w:type="dxa"/>
            <w:tcBorders>
              <w:top w:val="nil"/>
              <w:left w:val="nil"/>
              <w:right w:val="nil"/>
            </w:tcBorders>
            <w:shd w:val="clear" w:color="000000" w:fill="F2F2F2"/>
            <w:vAlign w:val="center"/>
            <w:hideMark/>
          </w:tcPr>
          <w:p w14:paraId="44BCE376" w14:textId="77777777" w:rsidR="002C39AD" w:rsidRPr="004B5AAC" w:rsidRDefault="002C39AD" w:rsidP="002C39AD">
            <w:pPr>
              <w:pStyle w:val="Tabletext"/>
              <w:jc w:val="center"/>
            </w:pPr>
            <w:r w:rsidRPr="004B5AAC">
              <w:t>2.5</w:t>
            </w:r>
          </w:p>
        </w:tc>
        <w:tc>
          <w:tcPr>
            <w:tcW w:w="781" w:type="dxa"/>
            <w:tcBorders>
              <w:top w:val="nil"/>
              <w:left w:val="nil"/>
              <w:right w:val="single" w:sz="2" w:space="0" w:color="FFFFFF" w:themeColor="background1"/>
            </w:tcBorders>
            <w:shd w:val="clear" w:color="000000" w:fill="F2F2F2"/>
            <w:vAlign w:val="center"/>
            <w:hideMark/>
          </w:tcPr>
          <w:p w14:paraId="1D6EECE7" w14:textId="77777777" w:rsidR="002C39AD" w:rsidRPr="004B5AAC" w:rsidRDefault="002C39AD" w:rsidP="002C39AD">
            <w:pPr>
              <w:pStyle w:val="Tabletext"/>
              <w:jc w:val="center"/>
            </w:pPr>
            <w:r w:rsidRPr="004B5AAC">
              <w:t>2.4</w:t>
            </w:r>
          </w:p>
        </w:tc>
      </w:tr>
      <w:tr w:rsidR="002C39AD" w:rsidRPr="00A23EEB" w14:paraId="0671FE01" w14:textId="77777777" w:rsidTr="002C39AD">
        <w:trPr>
          <w:gridAfter w:val="1"/>
          <w:wAfter w:w="13" w:type="dxa"/>
          <w:trHeight w:val="255"/>
          <w:jc w:val="center"/>
        </w:trPr>
        <w:tc>
          <w:tcPr>
            <w:tcW w:w="4516" w:type="dxa"/>
            <w:tcBorders>
              <w:top w:val="nil"/>
              <w:left w:val="nil"/>
              <w:bottom w:val="nil"/>
            </w:tcBorders>
            <w:shd w:val="clear" w:color="000000" w:fill="BFBFBF"/>
            <w:vAlign w:val="center"/>
            <w:hideMark/>
          </w:tcPr>
          <w:p w14:paraId="16C5206F" w14:textId="77777777" w:rsidR="002C39AD" w:rsidRPr="00A23EEB" w:rsidRDefault="002C39AD" w:rsidP="00385F38">
            <w:pPr>
              <w:pStyle w:val="Tabletext"/>
              <w:ind w:left="321" w:hanging="284"/>
              <w:rPr>
                <w:b/>
                <w:sz w:val="24"/>
              </w:rPr>
            </w:pPr>
            <w:r w:rsidRPr="00A23EEB">
              <w:rPr>
                <w:b/>
                <w:sz w:val="24"/>
              </w:rPr>
              <w:t>Contribut</w:t>
            </w:r>
            <w:r>
              <w:rPr>
                <w:b/>
                <w:sz w:val="24"/>
              </w:rPr>
              <w:t>i</w:t>
            </w:r>
            <w:r w:rsidRPr="00A23EEB">
              <w:rPr>
                <w:b/>
                <w:sz w:val="24"/>
              </w:rPr>
              <w:t>on to potential growth</w:t>
            </w:r>
          </w:p>
        </w:tc>
        <w:tc>
          <w:tcPr>
            <w:tcW w:w="839" w:type="dxa"/>
            <w:tcBorders>
              <w:top w:val="nil"/>
              <w:bottom w:val="nil"/>
            </w:tcBorders>
            <w:shd w:val="clear" w:color="000000" w:fill="BFBFBF"/>
            <w:vAlign w:val="center"/>
            <w:hideMark/>
          </w:tcPr>
          <w:p w14:paraId="2379FF3E" w14:textId="77777777" w:rsidR="002C39AD" w:rsidRPr="00A23EEB" w:rsidRDefault="002C39AD" w:rsidP="002C39AD">
            <w:pPr>
              <w:pStyle w:val="Tabletext"/>
              <w:rPr>
                <w:b/>
                <w:sz w:val="24"/>
              </w:rPr>
            </w:pPr>
            <w:r w:rsidRPr="00A23EEB">
              <w:rPr>
                <w:b/>
                <w:sz w:val="24"/>
              </w:rPr>
              <w:t> </w:t>
            </w:r>
          </w:p>
        </w:tc>
        <w:tc>
          <w:tcPr>
            <w:tcW w:w="1132" w:type="dxa"/>
            <w:tcBorders>
              <w:top w:val="nil"/>
              <w:bottom w:val="nil"/>
            </w:tcBorders>
            <w:shd w:val="clear" w:color="000000" w:fill="BFBFBF"/>
            <w:vAlign w:val="center"/>
            <w:hideMark/>
          </w:tcPr>
          <w:p w14:paraId="1A41BADA" w14:textId="77777777" w:rsidR="002C39AD" w:rsidRPr="00A23EEB" w:rsidRDefault="002C39AD" w:rsidP="002C39AD">
            <w:pPr>
              <w:pStyle w:val="Tabletext"/>
              <w:jc w:val="center"/>
              <w:rPr>
                <w:b/>
                <w:sz w:val="24"/>
              </w:rPr>
            </w:pPr>
          </w:p>
        </w:tc>
        <w:tc>
          <w:tcPr>
            <w:tcW w:w="703" w:type="dxa"/>
            <w:tcBorders>
              <w:top w:val="nil"/>
              <w:bottom w:val="nil"/>
            </w:tcBorders>
            <w:shd w:val="clear" w:color="000000" w:fill="BFBFBF"/>
            <w:vAlign w:val="center"/>
            <w:hideMark/>
          </w:tcPr>
          <w:p w14:paraId="66AA020D" w14:textId="77777777" w:rsidR="002C39AD" w:rsidRPr="00A23EEB" w:rsidRDefault="002C39AD" w:rsidP="002C39AD">
            <w:pPr>
              <w:pStyle w:val="Tabletext"/>
              <w:jc w:val="center"/>
              <w:rPr>
                <w:b/>
                <w:sz w:val="24"/>
              </w:rPr>
            </w:pPr>
          </w:p>
        </w:tc>
        <w:tc>
          <w:tcPr>
            <w:tcW w:w="918" w:type="dxa"/>
            <w:tcBorders>
              <w:top w:val="nil"/>
              <w:bottom w:val="nil"/>
            </w:tcBorders>
            <w:shd w:val="clear" w:color="000000" w:fill="BFBFBF"/>
            <w:vAlign w:val="center"/>
            <w:hideMark/>
          </w:tcPr>
          <w:p w14:paraId="231DAA28" w14:textId="77777777" w:rsidR="002C39AD" w:rsidRPr="00A23EEB" w:rsidRDefault="002C39AD" w:rsidP="002C39AD">
            <w:pPr>
              <w:pStyle w:val="Tabletext"/>
              <w:jc w:val="center"/>
              <w:rPr>
                <w:b/>
                <w:sz w:val="24"/>
              </w:rPr>
            </w:pPr>
          </w:p>
        </w:tc>
        <w:tc>
          <w:tcPr>
            <w:tcW w:w="781" w:type="dxa"/>
            <w:tcBorders>
              <w:top w:val="nil"/>
              <w:bottom w:val="nil"/>
            </w:tcBorders>
            <w:shd w:val="clear" w:color="000000" w:fill="BFBFBF"/>
            <w:vAlign w:val="center"/>
            <w:hideMark/>
          </w:tcPr>
          <w:p w14:paraId="4415768E" w14:textId="77777777" w:rsidR="002C39AD" w:rsidRPr="00A23EEB" w:rsidRDefault="002C39AD" w:rsidP="002C39AD">
            <w:pPr>
              <w:pStyle w:val="Tabletext"/>
              <w:jc w:val="center"/>
              <w:rPr>
                <w:b/>
                <w:sz w:val="24"/>
              </w:rPr>
            </w:pPr>
          </w:p>
        </w:tc>
      </w:tr>
      <w:tr w:rsidR="002C39AD" w:rsidRPr="004B5AAC" w14:paraId="748CEAD0"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5E2A2CBA" w14:textId="77777777" w:rsidR="002C39AD" w:rsidRPr="004B5AAC" w:rsidRDefault="002C39AD" w:rsidP="00385F38">
            <w:pPr>
              <w:pStyle w:val="Tabletext"/>
              <w:ind w:left="321" w:hanging="284"/>
            </w:pPr>
            <w:r w:rsidRPr="004B5AAC">
              <w:t>27. Labour</w:t>
            </w:r>
          </w:p>
        </w:tc>
        <w:tc>
          <w:tcPr>
            <w:tcW w:w="839" w:type="dxa"/>
            <w:tcBorders>
              <w:top w:val="nil"/>
              <w:left w:val="nil"/>
              <w:bottom w:val="single" w:sz="4" w:space="0" w:color="FFFFFF"/>
              <w:right w:val="nil"/>
            </w:tcBorders>
            <w:shd w:val="clear" w:color="000000" w:fill="F2F2F2"/>
            <w:vAlign w:val="center"/>
            <w:hideMark/>
          </w:tcPr>
          <w:p w14:paraId="1302B689" w14:textId="77777777" w:rsidR="002C39AD" w:rsidRPr="004B5AAC" w:rsidRDefault="002C39AD" w:rsidP="002C39AD">
            <w:pPr>
              <w:pStyle w:val="Tabletext"/>
            </w:pPr>
            <w:r w:rsidRPr="004B5AAC">
              <w:t> </w:t>
            </w:r>
          </w:p>
        </w:tc>
        <w:tc>
          <w:tcPr>
            <w:tcW w:w="1132" w:type="dxa"/>
            <w:vMerge w:val="restart"/>
            <w:tcBorders>
              <w:top w:val="nil"/>
              <w:left w:val="single" w:sz="4" w:space="0" w:color="FFFFFF"/>
              <w:right w:val="single" w:sz="4" w:space="0" w:color="FFFFFF"/>
            </w:tcBorders>
            <w:shd w:val="clear" w:color="auto" w:fill="A6A6A6" w:themeFill="background1" w:themeFillShade="A6"/>
            <w:vAlign w:val="center"/>
            <w:hideMark/>
          </w:tcPr>
          <w:p w14:paraId="6A216CE0" w14:textId="77777777" w:rsidR="002C39AD" w:rsidRPr="004B5AAC" w:rsidRDefault="002C39AD" w:rsidP="002C39AD">
            <w:pPr>
              <w:pStyle w:val="Tabletext"/>
              <w:jc w:val="center"/>
            </w:pPr>
          </w:p>
          <w:p w14:paraId="1F5AB5AD" w14:textId="77777777" w:rsidR="002C39AD" w:rsidRPr="004B5AAC" w:rsidRDefault="002C39AD" w:rsidP="002C39AD">
            <w:pPr>
              <w:pStyle w:val="Tabletext"/>
              <w:jc w:val="center"/>
            </w:pPr>
          </w:p>
          <w:p w14:paraId="75F881B0" w14:textId="77777777" w:rsidR="002C39AD" w:rsidRPr="004B5AAC" w:rsidRDefault="002C39AD" w:rsidP="002C39AD">
            <w:pPr>
              <w:pStyle w:val="Tabletext"/>
              <w:jc w:val="center"/>
            </w:pPr>
          </w:p>
          <w:p w14:paraId="599446F4" w14:textId="77777777" w:rsidR="002C39AD" w:rsidRPr="004B5AAC" w:rsidRDefault="002C39AD" w:rsidP="002C39AD">
            <w:pPr>
              <w:pStyle w:val="Tabletext"/>
              <w:jc w:val="center"/>
            </w:pPr>
          </w:p>
          <w:p w14:paraId="2872EEF6" w14:textId="77777777" w:rsidR="002C39AD" w:rsidRPr="004B5AAC" w:rsidRDefault="002C39AD" w:rsidP="002C39AD">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5C46118E" w14:textId="77777777" w:rsidR="002C39AD" w:rsidRPr="004B5AAC" w:rsidRDefault="002C39AD" w:rsidP="002C39AD">
            <w:pPr>
              <w:pStyle w:val="Tabletext"/>
              <w:jc w:val="center"/>
            </w:pPr>
            <w:r w:rsidRPr="004B5AAC">
              <w:t>0.1</w:t>
            </w:r>
          </w:p>
        </w:tc>
        <w:tc>
          <w:tcPr>
            <w:tcW w:w="918" w:type="dxa"/>
            <w:tcBorders>
              <w:top w:val="nil"/>
              <w:left w:val="nil"/>
              <w:bottom w:val="single" w:sz="4" w:space="0" w:color="FFFFFF"/>
              <w:right w:val="nil"/>
            </w:tcBorders>
            <w:shd w:val="clear" w:color="000000" w:fill="F2F2F2"/>
            <w:vAlign w:val="center"/>
            <w:hideMark/>
          </w:tcPr>
          <w:p w14:paraId="071C6BA7" w14:textId="77777777" w:rsidR="002C39AD" w:rsidRPr="004B5AAC" w:rsidRDefault="002C39AD" w:rsidP="002C39AD">
            <w:pPr>
              <w:pStyle w:val="Tabletext"/>
              <w:jc w:val="center"/>
            </w:pPr>
            <w:r w:rsidRPr="004B5AAC">
              <w:t>0.3</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685A8AD5" w14:textId="77777777" w:rsidR="002C39AD" w:rsidRPr="004B5AAC" w:rsidRDefault="002C39AD" w:rsidP="002C39AD">
            <w:pPr>
              <w:pStyle w:val="Tabletext"/>
              <w:jc w:val="center"/>
            </w:pPr>
            <w:r w:rsidRPr="004B5AAC">
              <w:t>0.3</w:t>
            </w:r>
          </w:p>
        </w:tc>
      </w:tr>
      <w:tr w:rsidR="002C39AD" w:rsidRPr="004B5AAC" w14:paraId="2008D76C"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D9D9D9"/>
            <w:vAlign w:val="center"/>
            <w:hideMark/>
          </w:tcPr>
          <w:p w14:paraId="5D191ACE" w14:textId="77777777" w:rsidR="002C39AD" w:rsidRPr="004B5AAC" w:rsidRDefault="002C39AD" w:rsidP="00385F38">
            <w:pPr>
              <w:pStyle w:val="Tabletext"/>
              <w:ind w:left="321" w:hanging="284"/>
            </w:pPr>
            <w:r w:rsidRPr="004B5AAC">
              <w:t>28. Capital</w:t>
            </w:r>
          </w:p>
        </w:tc>
        <w:tc>
          <w:tcPr>
            <w:tcW w:w="839" w:type="dxa"/>
            <w:tcBorders>
              <w:top w:val="nil"/>
              <w:left w:val="nil"/>
              <w:bottom w:val="single" w:sz="4" w:space="0" w:color="FFFFFF"/>
              <w:right w:val="nil"/>
            </w:tcBorders>
            <w:shd w:val="clear" w:color="000000" w:fill="D9D9D9"/>
            <w:vAlign w:val="center"/>
            <w:hideMark/>
          </w:tcPr>
          <w:p w14:paraId="27264ABF" w14:textId="77777777" w:rsidR="002C39AD" w:rsidRPr="004B5AAC" w:rsidRDefault="002C39AD" w:rsidP="002C39AD">
            <w:pPr>
              <w:pStyle w:val="Tabletext"/>
            </w:pPr>
            <w:r w:rsidRPr="004B5AAC">
              <w:t> </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030E492C" w14:textId="77777777" w:rsidR="002C39AD" w:rsidRPr="004B5AAC" w:rsidRDefault="002C39AD" w:rsidP="002C39AD">
            <w:pPr>
              <w:pStyle w:val="Tabletext"/>
              <w:jc w:val="center"/>
            </w:pPr>
          </w:p>
        </w:tc>
        <w:tc>
          <w:tcPr>
            <w:tcW w:w="703" w:type="dxa"/>
            <w:tcBorders>
              <w:top w:val="nil"/>
              <w:left w:val="nil"/>
              <w:bottom w:val="single" w:sz="4" w:space="0" w:color="FFFFFF"/>
              <w:right w:val="nil"/>
            </w:tcBorders>
            <w:shd w:val="clear" w:color="000000" w:fill="D9D9D9"/>
            <w:vAlign w:val="center"/>
            <w:hideMark/>
          </w:tcPr>
          <w:p w14:paraId="5619D0E9" w14:textId="77777777" w:rsidR="002C39AD" w:rsidRPr="004B5AAC" w:rsidRDefault="002C39AD" w:rsidP="002C39AD">
            <w:pPr>
              <w:pStyle w:val="Tabletext"/>
              <w:jc w:val="center"/>
            </w:pPr>
            <w:r w:rsidRPr="004B5AAC">
              <w:t>0.1</w:t>
            </w:r>
          </w:p>
        </w:tc>
        <w:tc>
          <w:tcPr>
            <w:tcW w:w="918" w:type="dxa"/>
            <w:tcBorders>
              <w:top w:val="nil"/>
              <w:left w:val="nil"/>
              <w:bottom w:val="single" w:sz="4" w:space="0" w:color="FFFFFF"/>
              <w:right w:val="nil"/>
            </w:tcBorders>
            <w:shd w:val="clear" w:color="000000" w:fill="D9D9D9"/>
            <w:vAlign w:val="center"/>
            <w:hideMark/>
          </w:tcPr>
          <w:p w14:paraId="37704FC4" w14:textId="77777777" w:rsidR="002C39AD" w:rsidRPr="004B5AAC" w:rsidRDefault="002C39AD" w:rsidP="002C39AD">
            <w:pPr>
              <w:pStyle w:val="Tabletext"/>
              <w:jc w:val="center"/>
            </w:pPr>
            <w:r w:rsidRPr="004B5AAC">
              <w:t>0.3</w:t>
            </w:r>
          </w:p>
        </w:tc>
        <w:tc>
          <w:tcPr>
            <w:tcW w:w="781" w:type="dxa"/>
            <w:tcBorders>
              <w:top w:val="nil"/>
              <w:left w:val="nil"/>
              <w:bottom w:val="single" w:sz="4" w:space="0" w:color="FFFFFF"/>
              <w:right w:val="single" w:sz="2" w:space="0" w:color="FFFFFF" w:themeColor="background1"/>
            </w:tcBorders>
            <w:shd w:val="clear" w:color="000000" w:fill="D9D9D9"/>
            <w:vAlign w:val="center"/>
            <w:hideMark/>
          </w:tcPr>
          <w:p w14:paraId="6AB0E9DE" w14:textId="77777777" w:rsidR="002C39AD" w:rsidRPr="004B5AAC" w:rsidRDefault="002C39AD" w:rsidP="002C39AD">
            <w:pPr>
              <w:pStyle w:val="Tabletext"/>
              <w:jc w:val="center"/>
            </w:pPr>
            <w:r w:rsidRPr="004B5AAC">
              <w:t>0.4</w:t>
            </w:r>
          </w:p>
        </w:tc>
      </w:tr>
      <w:tr w:rsidR="002C39AD" w:rsidRPr="004B5AAC" w14:paraId="70C57734" w14:textId="77777777" w:rsidTr="002C39AD">
        <w:trPr>
          <w:gridAfter w:val="1"/>
          <w:wAfter w:w="13" w:type="dxa"/>
          <w:trHeight w:val="255"/>
          <w:jc w:val="center"/>
        </w:trPr>
        <w:tc>
          <w:tcPr>
            <w:tcW w:w="4516" w:type="dxa"/>
            <w:tcBorders>
              <w:top w:val="nil"/>
              <w:left w:val="nil"/>
              <w:bottom w:val="single" w:sz="4" w:space="0" w:color="FFFFFF"/>
              <w:right w:val="nil"/>
            </w:tcBorders>
            <w:shd w:val="clear" w:color="000000" w:fill="F2F2F2"/>
            <w:vAlign w:val="center"/>
            <w:hideMark/>
          </w:tcPr>
          <w:p w14:paraId="0E3D01AF" w14:textId="77777777" w:rsidR="002C39AD" w:rsidRPr="004B5AAC" w:rsidRDefault="002C39AD" w:rsidP="00385F38">
            <w:pPr>
              <w:pStyle w:val="Tabletext"/>
              <w:ind w:left="321" w:hanging="284"/>
            </w:pPr>
            <w:r w:rsidRPr="004B5AAC">
              <w:t>29. Total factor productivity</w:t>
            </w:r>
          </w:p>
        </w:tc>
        <w:tc>
          <w:tcPr>
            <w:tcW w:w="839" w:type="dxa"/>
            <w:tcBorders>
              <w:top w:val="nil"/>
              <w:left w:val="nil"/>
              <w:bottom w:val="single" w:sz="4" w:space="0" w:color="FFFFFF"/>
              <w:right w:val="nil"/>
            </w:tcBorders>
            <w:shd w:val="clear" w:color="000000" w:fill="F2F2F2"/>
            <w:vAlign w:val="center"/>
            <w:hideMark/>
          </w:tcPr>
          <w:p w14:paraId="557659EF" w14:textId="77777777" w:rsidR="002C39AD" w:rsidRPr="004B5AAC" w:rsidRDefault="002C39AD" w:rsidP="002C39AD">
            <w:pPr>
              <w:pStyle w:val="Tabletext"/>
            </w:pPr>
            <w:r w:rsidRPr="004B5AAC">
              <w:t> </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38650AFA" w14:textId="77777777" w:rsidR="002C39AD" w:rsidRPr="004B5AAC" w:rsidRDefault="002C39AD" w:rsidP="002C39AD">
            <w:pPr>
              <w:pStyle w:val="Tabletext"/>
              <w:jc w:val="center"/>
            </w:pPr>
          </w:p>
        </w:tc>
        <w:tc>
          <w:tcPr>
            <w:tcW w:w="703" w:type="dxa"/>
            <w:tcBorders>
              <w:top w:val="nil"/>
              <w:left w:val="nil"/>
              <w:bottom w:val="single" w:sz="4" w:space="0" w:color="FFFFFF"/>
              <w:right w:val="nil"/>
            </w:tcBorders>
            <w:shd w:val="clear" w:color="000000" w:fill="F2F2F2"/>
            <w:vAlign w:val="center"/>
            <w:hideMark/>
          </w:tcPr>
          <w:p w14:paraId="1762FAE7" w14:textId="77777777" w:rsidR="002C39AD" w:rsidRPr="004B5AAC" w:rsidRDefault="002C39AD" w:rsidP="002C39AD">
            <w:pPr>
              <w:pStyle w:val="Tabletext"/>
              <w:jc w:val="center"/>
            </w:pPr>
            <w:r w:rsidRPr="004B5AAC">
              <w:t>1.0</w:t>
            </w:r>
          </w:p>
        </w:tc>
        <w:tc>
          <w:tcPr>
            <w:tcW w:w="918" w:type="dxa"/>
            <w:tcBorders>
              <w:top w:val="nil"/>
              <w:left w:val="nil"/>
              <w:bottom w:val="single" w:sz="4" w:space="0" w:color="FFFFFF"/>
              <w:right w:val="nil"/>
            </w:tcBorders>
            <w:shd w:val="clear" w:color="000000" w:fill="F2F2F2"/>
            <w:vAlign w:val="center"/>
            <w:hideMark/>
          </w:tcPr>
          <w:p w14:paraId="4B4040D7" w14:textId="77777777" w:rsidR="002C39AD" w:rsidRPr="004B5AAC" w:rsidRDefault="002C39AD" w:rsidP="002C39AD">
            <w:pPr>
              <w:pStyle w:val="Tabletext"/>
              <w:jc w:val="center"/>
            </w:pPr>
            <w:r w:rsidRPr="004B5AAC">
              <w:t>1.9</w:t>
            </w:r>
          </w:p>
        </w:tc>
        <w:tc>
          <w:tcPr>
            <w:tcW w:w="781" w:type="dxa"/>
            <w:tcBorders>
              <w:top w:val="nil"/>
              <w:left w:val="nil"/>
              <w:bottom w:val="single" w:sz="4" w:space="0" w:color="FFFFFF"/>
              <w:right w:val="single" w:sz="2" w:space="0" w:color="FFFFFF" w:themeColor="background1"/>
            </w:tcBorders>
            <w:shd w:val="clear" w:color="000000" w:fill="F2F2F2"/>
            <w:vAlign w:val="center"/>
            <w:hideMark/>
          </w:tcPr>
          <w:p w14:paraId="7B045889" w14:textId="77777777" w:rsidR="002C39AD" w:rsidRPr="004B5AAC" w:rsidRDefault="002C39AD" w:rsidP="002C39AD">
            <w:pPr>
              <w:pStyle w:val="Tabletext"/>
              <w:jc w:val="center"/>
            </w:pPr>
            <w:r w:rsidRPr="004B5AAC">
              <w:t>1.7</w:t>
            </w:r>
          </w:p>
        </w:tc>
      </w:tr>
      <w:tr w:rsidR="002C39AD" w:rsidRPr="004B5AAC" w14:paraId="7C3DB568" w14:textId="77777777" w:rsidTr="002C39AD">
        <w:trPr>
          <w:trHeight w:val="255"/>
          <w:jc w:val="center"/>
        </w:trPr>
        <w:tc>
          <w:tcPr>
            <w:tcW w:w="4516" w:type="dxa"/>
            <w:tcBorders>
              <w:top w:val="nil"/>
              <w:left w:val="nil"/>
              <w:bottom w:val="nil"/>
              <w:right w:val="nil"/>
            </w:tcBorders>
            <w:shd w:val="clear" w:color="000000" w:fill="BFBFBF"/>
            <w:vAlign w:val="center"/>
            <w:hideMark/>
          </w:tcPr>
          <w:p w14:paraId="627AF468" w14:textId="77777777" w:rsidR="002C39AD" w:rsidRPr="004B5AAC" w:rsidRDefault="002C39AD" w:rsidP="002C39AD">
            <w:pPr>
              <w:pStyle w:val="Tabletext"/>
            </w:pPr>
            <w:r w:rsidRPr="004B5AAC">
              <w:t xml:space="preserve"> </w:t>
            </w:r>
          </w:p>
        </w:tc>
        <w:tc>
          <w:tcPr>
            <w:tcW w:w="839" w:type="dxa"/>
            <w:tcBorders>
              <w:top w:val="nil"/>
              <w:left w:val="nil"/>
              <w:bottom w:val="nil"/>
              <w:right w:val="nil"/>
            </w:tcBorders>
            <w:shd w:val="clear" w:color="000000" w:fill="BFBFBF"/>
            <w:vAlign w:val="center"/>
            <w:hideMark/>
          </w:tcPr>
          <w:p w14:paraId="21FF36FD" w14:textId="77777777" w:rsidR="002C39AD" w:rsidRPr="004B5AAC" w:rsidRDefault="002C39AD" w:rsidP="002C39AD">
            <w:pPr>
              <w:pStyle w:val="Tabletext"/>
            </w:pPr>
            <w:r w:rsidRPr="004B5AAC">
              <w:t> </w:t>
            </w:r>
          </w:p>
        </w:tc>
        <w:tc>
          <w:tcPr>
            <w:tcW w:w="1132" w:type="dxa"/>
            <w:vMerge/>
            <w:tcBorders>
              <w:left w:val="single" w:sz="4" w:space="0" w:color="FFFFFF"/>
              <w:right w:val="single" w:sz="4" w:space="0" w:color="FFFFFF"/>
            </w:tcBorders>
            <w:shd w:val="clear" w:color="auto" w:fill="A6A6A6" w:themeFill="background1" w:themeFillShade="A6"/>
            <w:vAlign w:val="center"/>
            <w:hideMark/>
          </w:tcPr>
          <w:p w14:paraId="56ED4F64" w14:textId="77777777" w:rsidR="002C39AD" w:rsidRPr="004B5AAC" w:rsidRDefault="002C39AD" w:rsidP="002C39AD">
            <w:pPr>
              <w:pStyle w:val="Tabletext"/>
              <w:jc w:val="center"/>
            </w:pPr>
          </w:p>
        </w:tc>
        <w:tc>
          <w:tcPr>
            <w:tcW w:w="2415" w:type="dxa"/>
            <w:gridSpan w:val="4"/>
            <w:tcBorders>
              <w:top w:val="single" w:sz="4" w:space="0" w:color="FFFFFF"/>
              <w:left w:val="nil"/>
              <w:bottom w:val="nil"/>
              <w:right w:val="single" w:sz="2" w:space="0" w:color="FFFFFF" w:themeColor="background1"/>
            </w:tcBorders>
            <w:shd w:val="clear" w:color="000000" w:fill="BFBFBF"/>
            <w:vAlign w:val="center"/>
            <w:hideMark/>
          </w:tcPr>
          <w:p w14:paraId="690B941B" w14:textId="77777777" w:rsidR="002C39AD" w:rsidRPr="004B5AAC" w:rsidRDefault="002C39AD" w:rsidP="002C39AD">
            <w:pPr>
              <w:pStyle w:val="Tabletext"/>
              <w:jc w:val="center"/>
            </w:pPr>
            <w:r w:rsidRPr="004B5AAC">
              <w:t>% pot. GDP</w:t>
            </w:r>
          </w:p>
        </w:tc>
      </w:tr>
      <w:tr w:rsidR="002C39AD" w:rsidRPr="004B5AAC" w14:paraId="4C5CA1DB" w14:textId="77777777" w:rsidTr="00F44A82">
        <w:trPr>
          <w:gridAfter w:val="1"/>
          <w:wAfter w:w="13" w:type="dxa"/>
          <w:trHeight w:val="255"/>
          <w:jc w:val="center"/>
        </w:trPr>
        <w:tc>
          <w:tcPr>
            <w:tcW w:w="4516" w:type="dxa"/>
            <w:tcBorders>
              <w:top w:val="nil"/>
              <w:left w:val="nil"/>
              <w:bottom w:val="single" w:sz="18" w:space="0" w:color="4F81BD" w:themeColor="accent1"/>
              <w:right w:val="nil"/>
            </w:tcBorders>
            <w:shd w:val="clear" w:color="000000" w:fill="F2F2F2"/>
            <w:vAlign w:val="center"/>
            <w:hideMark/>
          </w:tcPr>
          <w:p w14:paraId="666562AC" w14:textId="77777777" w:rsidR="002C39AD" w:rsidRPr="004B5AAC" w:rsidRDefault="002C39AD" w:rsidP="002C39AD">
            <w:pPr>
              <w:pStyle w:val="Tabletext"/>
            </w:pPr>
            <w:r w:rsidRPr="004B5AAC">
              <w:t>30. Output gap</w:t>
            </w:r>
          </w:p>
        </w:tc>
        <w:tc>
          <w:tcPr>
            <w:tcW w:w="839" w:type="dxa"/>
            <w:tcBorders>
              <w:top w:val="nil"/>
              <w:left w:val="nil"/>
              <w:bottom w:val="single" w:sz="18" w:space="0" w:color="4F81BD" w:themeColor="accent1"/>
              <w:right w:val="nil"/>
            </w:tcBorders>
            <w:shd w:val="clear" w:color="000000" w:fill="F2F2F2"/>
            <w:vAlign w:val="center"/>
            <w:hideMark/>
          </w:tcPr>
          <w:p w14:paraId="5A873F1E" w14:textId="77777777" w:rsidR="002C39AD" w:rsidRPr="004B5AAC" w:rsidRDefault="002C39AD" w:rsidP="002C39AD">
            <w:pPr>
              <w:pStyle w:val="Tabletext"/>
            </w:pPr>
            <w:r w:rsidRPr="004B5AAC">
              <w:t> </w:t>
            </w:r>
          </w:p>
        </w:tc>
        <w:tc>
          <w:tcPr>
            <w:tcW w:w="1132" w:type="dxa"/>
            <w:vMerge/>
            <w:tcBorders>
              <w:left w:val="single" w:sz="4" w:space="0" w:color="FFFFFF"/>
              <w:bottom w:val="single" w:sz="18" w:space="0" w:color="4F81BD" w:themeColor="accent1"/>
              <w:right w:val="single" w:sz="4" w:space="0" w:color="FFFFFF"/>
            </w:tcBorders>
            <w:shd w:val="clear" w:color="auto" w:fill="A6A6A6" w:themeFill="background1" w:themeFillShade="A6"/>
            <w:vAlign w:val="center"/>
            <w:hideMark/>
          </w:tcPr>
          <w:p w14:paraId="118D4B8D" w14:textId="77777777" w:rsidR="002C39AD" w:rsidRPr="004B5AAC" w:rsidRDefault="002C39AD" w:rsidP="002C39AD">
            <w:pPr>
              <w:pStyle w:val="Tabletext"/>
              <w:jc w:val="center"/>
            </w:pPr>
          </w:p>
        </w:tc>
        <w:tc>
          <w:tcPr>
            <w:tcW w:w="703" w:type="dxa"/>
            <w:tcBorders>
              <w:top w:val="nil"/>
              <w:left w:val="nil"/>
              <w:bottom w:val="single" w:sz="18" w:space="0" w:color="4F81BD" w:themeColor="accent1"/>
              <w:right w:val="nil"/>
            </w:tcBorders>
            <w:shd w:val="clear" w:color="000000" w:fill="F2F2F2"/>
            <w:vAlign w:val="center"/>
            <w:hideMark/>
          </w:tcPr>
          <w:p w14:paraId="7498180B" w14:textId="77777777" w:rsidR="002C39AD" w:rsidRPr="004B5AAC" w:rsidRDefault="002C39AD" w:rsidP="002C39AD">
            <w:pPr>
              <w:pStyle w:val="Tabletext"/>
              <w:jc w:val="center"/>
            </w:pPr>
            <w:r w:rsidRPr="004B5AAC">
              <w:t>1.8</w:t>
            </w:r>
          </w:p>
        </w:tc>
        <w:tc>
          <w:tcPr>
            <w:tcW w:w="918" w:type="dxa"/>
            <w:tcBorders>
              <w:top w:val="nil"/>
              <w:left w:val="nil"/>
              <w:bottom w:val="single" w:sz="18" w:space="0" w:color="4F81BD" w:themeColor="accent1"/>
              <w:right w:val="nil"/>
            </w:tcBorders>
            <w:shd w:val="clear" w:color="000000" w:fill="F2F2F2"/>
            <w:vAlign w:val="center"/>
            <w:hideMark/>
          </w:tcPr>
          <w:p w14:paraId="09DF4434" w14:textId="77777777" w:rsidR="002C39AD" w:rsidRPr="004B5AAC" w:rsidRDefault="002C39AD" w:rsidP="002C39AD">
            <w:pPr>
              <w:pStyle w:val="Tabletext"/>
              <w:jc w:val="center"/>
            </w:pPr>
            <w:r w:rsidRPr="004B5AAC">
              <w:t>1.5</w:t>
            </w:r>
          </w:p>
        </w:tc>
        <w:tc>
          <w:tcPr>
            <w:tcW w:w="781" w:type="dxa"/>
            <w:tcBorders>
              <w:top w:val="nil"/>
              <w:left w:val="nil"/>
              <w:bottom w:val="single" w:sz="18" w:space="0" w:color="4F81BD" w:themeColor="accent1"/>
              <w:right w:val="single" w:sz="2" w:space="0" w:color="FFFFFF" w:themeColor="background1"/>
            </w:tcBorders>
            <w:shd w:val="clear" w:color="000000" w:fill="F2F2F2"/>
            <w:vAlign w:val="center"/>
            <w:hideMark/>
          </w:tcPr>
          <w:p w14:paraId="55482913" w14:textId="77777777" w:rsidR="002C39AD" w:rsidRPr="004B5AAC" w:rsidRDefault="002C39AD" w:rsidP="002C39AD">
            <w:pPr>
              <w:pStyle w:val="Tabletext"/>
              <w:jc w:val="center"/>
            </w:pPr>
            <w:r w:rsidRPr="004B5AAC">
              <w:t>1.5</w:t>
            </w:r>
          </w:p>
        </w:tc>
      </w:tr>
    </w:tbl>
    <w:p w14:paraId="18BA343D" w14:textId="1702C01A" w:rsidR="00615463" w:rsidRDefault="00615463" w:rsidP="00615463">
      <w:pPr>
        <w:pStyle w:val="ae"/>
      </w:pPr>
      <w:bookmarkStart w:id="101" w:name="_Toc211355111"/>
      <w:r>
        <w:t xml:space="preserve">Table </w:t>
      </w:r>
      <w:r w:rsidR="00540C3A">
        <w:fldChar w:fldCharType="begin"/>
      </w:r>
      <w:r>
        <w:instrText xml:space="preserve"> SEQ Table \* ARABIC </w:instrText>
      </w:r>
      <w:r w:rsidR="00540C3A">
        <w:fldChar w:fldCharType="separate"/>
      </w:r>
      <w:r w:rsidR="00AF0E6B">
        <w:rPr>
          <w:noProof/>
        </w:rPr>
        <w:t>17</w:t>
      </w:r>
      <w:r w:rsidR="00540C3A">
        <w:fldChar w:fldCharType="end"/>
      </w:r>
      <w:r>
        <w:t xml:space="preserve"> | </w:t>
      </w:r>
      <w:r w:rsidRPr="00615463">
        <w:t>External assumptions</w:t>
      </w:r>
      <w:bookmarkEnd w:id="101"/>
    </w:p>
    <w:tbl>
      <w:tblPr>
        <w:tblW w:w="8902" w:type="dxa"/>
        <w:jc w:val="center"/>
        <w:tblLook w:val="04A0" w:firstRow="1" w:lastRow="0" w:firstColumn="1" w:lastColumn="0" w:noHBand="0" w:noVBand="1"/>
      </w:tblPr>
      <w:tblGrid>
        <w:gridCol w:w="3272"/>
        <w:gridCol w:w="2246"/>
        <w:gridCol w:w="1128"/>
        <w:gridCol w:w="1128"/>
        <w:gridCol w:w="1128"/>
      </w:tblGrid>
      <w:tr w:rsidR="009B2283" w:rsidRPr="00D955E8" w14:paraId="12A0729D" w14:textId="77777777" w:rsidTr="00D955E8">
        <w:trPr>
          <w:trHeight w:val="512"/>
          <w:jc w:val="center"/>
        </w:trPr>
        <w:tc>
          <w:tcPr>
            <w:tcW w:w="3272" w:type="dxa"/>
            <w:tcBorders>
              <w:top w:val="nil"/>
              <w:left w:val="nil"/>
              <w:bottom w:val="nil"/>
              <w:right w:val="nil"/>
            </w:tcBorders>
            <w:shd w:val="clear" w:color="000000" w:fill="BFBFBF"/>
            <w:vAlign w:val="center"/>
            <w:hideMark/>
          </w:tcPr>
          <w:p w14:paraId="3A72CE4B" w14:textId="77777777" w:rsidR="009B2283" w:rsidRPr="00D955E8" w:rsidRDefault="009B2283" w:rsidP="00D955E8">
            <w:pPr>
              <w:pStyle w:val="Tabletext"/>
              <w:rPr>
                <w:b/>
                <w:sz w:val="24"/>
              </w:rPr>
            </w:pPr>
            <w:r w:rsidRPr="00D955E8">
              <w:rPr>
                <w:b/>
                <w:sz w:val="24"/>
              </w:rPr>
              <w:t>Description</w:t>
            </w:r>
          </w:p>
        </w:tc>
        <w:tc>
          <w:tcPr>
            <w:tcW w:w="2246" w:type="dxa"/>
            <w:tcBorders>
              <w:top w:val="nil"/>
              <w:left w:val="nil"/>
              <w:bottom w:val="nil"/>
              <w:right w:val="nil"/>
            </w:tcBorders>
            <w:shd w:val="clear" w:color="000000" w:fill="BFBFBF"/>
            <w:vAlign w:val="center"/>
          </w:tcPr>
          <w:p w14:paraId="6160EDAF" w14:textId="77777777" w:rsidR="009B2283" w:rsidRPr="00D955E8" w:rsidRDefault="009B2283" w:rsidP="00D955E8">
            <w:pPr>
              <w:pStyle w:val="Tabletext"/>
              <w:rPr>
                <w:b/>
                <w:sz w:val="24"/>
              </w:rPr>
            </w:pPr>
          </w:p>
        </w:tc>
        <w:tc>
          <w:tcPr>
            <w:tcW w:w="1128" w:type="dxa"/>
            <w:tcBorders>
              <w:top w:val="nil"/>
              <w:left w:val="nil"/>
              <w:right w:val="nil"/>
            </w:tcBorders>
            <w:shd w:val="clear" w:color="000000" w:fill="BFBFBF"/>
            <w:vAlign w:val="center"/>
            <w:hideMark/>
          </w:tcPr>
          <w:p w14:paraId="5E8B35A1" w14:textId="77777777" w:rsidR="009B2283" w:rsidRPr="00D955E8" w:rsidRDefault="009B2283" w:rsidP="00D955E8">
            <w:pPr>
              <w:pStyle w:val="Tabletext"/>
              <w:jc w:val="center"/>
              <w:rPr>
                <w:b/>
                <w:sz w:val="24"/>
              </w:rPr>
            </w:pPr>
            <w:r w:rsidRPr="00D955E8">
              <w:rPr>
                <w:b/>
                <w:sz w:val="24"/>
              </w:rPr>
              <w:t>2024</w:t>
            </w:r>
          </w:p>
        </w:tc>
        <w:tc>
          <w:tcPr>
            <w:tcW w:w="1128" w:type="dxa"/>
            <w:tcBorders>
              <w:top w:val="nil"/>
              <w:left w:val="nil"/>
              <w:bottom w:val="nil"/>
              <w:right w:val="nil"/>
            </w:tcBorders>
            <w:shd w:val="clear" w:color="000000" w:fill="BFBFBF"/>
            <w:vAlign w:val="center"/>
            <w:hideMark/>
          </w:tcPr>
          <w:p w14:paraId="1D954046" w14:textId="77777777" w:rsidR="009B2283" w:rsidRPr="00D955E8" w:rsidRDefault="009B2283" w:rsidP="00D955E8">
            <w:pPr>
              <w:pStyle w:val="Tabletext"/>
              <w:jc w:val="center"/>
              <w:rPr>
                <w:b/>
                <w:sz w:val="24"/>
              </w:rPr>
            </w:pPr>
            <w:r w:rsidRPr="00D955E8">
              <w:rPr>
                <w:b/>
                <w:sz w:val="24"/>
              </w:rPr>
              <w:t>2025</w:t>
            </w:r>
          </w:p>
        </w:tc>
        <w:tc>
          <w:tcPr>
            <w:tcW w:w="1128" w:type="dxa"/>
            <w:tcBorders>
              <w:top w:val="nil"/>
              <w:left w:val="nil"/>
              <w:bottom w:val="nil"/>
              <w:right w:val="nil"/>
            </w:tcBorders>
            <w:shd w:val="clear" w:color="000000" w:fill="BFBFBF"/>
            <w:vAlign w:val="center"/>
            <w:hideMark/>
          </w:tcPr>
          <w:p w14:paraId="01CF8EA8" w14:textId="77777777" w:rsidR="009B2283" w:rsidRPr="00D955E8" w:rsidRDefault="009B2283" w:rsidP="00D955E8">
            <w:pPr>
              <w:pStyle w:val="Tabletext"/>
              <w:jc w:val="center"/>
              <w:rPr>
                <w:b/>
                <w:sz w:val="24"/>
              </w:rPr>
            </w:pPr>
            <w:r w:rsidRPr="00D955E8">
              <w:rPr>
                <w:b/>
                <w:sz w:val="24"/>
              </w:rPr>
              <w:t>2026</w:t>
            </w:r>
          </w:p>
        </w:tc>
      </w:tr>
      <w:tr w:rsidR="009B2283" w:rsidRPr="00264C3E" w14:paraId="6843E314" w14:textId="77777777" w:rsidTr="00D955E8">
        <w:trPr>
          <w:trHeight w:val="420"/>
          <w:jc w:val="center"/>
        </w:trPr>
        <w:tc>
          <w:tcPr>
            <w:tcW w:w="3272" w:type="dxa"/>
            <w:tcBorders>
              <w:top w:val="nil"/>
              <w:left w:val="nil"/>
              <w:bottom w:val="single" w:sz="4" w:space="0" w:color="FFFFFF"/>
              <w:right w:val="nil"/>
            </w:tcBorders>
            <w:shd w:val="clear" w:color="000000" w:fill="F2F2F2"/>
            <w:vAlign w:val="center"/>
            <w:hideMark/>
          </w:tcPr>
          <w:p w14:paraId="3059B1A1" w14:textId="77777777" w:rsidR="009B2283" w:rsidRPr="00264C3E" w:rsidRDefault="009B2283" w:rsidP="00D955E8">
            <w:pPr>
              <w:pStyle w:val="Tabletext"/>
            </w:pPr>
            <w:r w:rsidRPr="00264C3E">
              <w:t>1. Short-term interest rate</w:t>
            </w:r>
          </w:p>
        </w:tc>
        <w:tc>
          <w:tcPr>
            <w:tcW w:w="2246" w:type="dxa"/>
            <w:tcBorders>
              <w:top w:val="nil"/>
              <w:left w:val="nil"/>
              <w:bottom w:val="single" w:sz="4" w:space="0" w:color="FFFFFF"/>
            </w:tcBorders>
            <w:shd w:val="clear" w:color="000000" w:fill="F2F2F2"/>
            <w:vAlign w:val="center"/>
            <w:hideMark/>
          </w:tcPr>
          <w:p w14:paraId="7C0027A1" w14:textId="77777777" w:rsidR="009B2283" w:rsidRPr="00264C3E" w:rsidRDefault="009B2283" w:rsidP="00D955E8">
            <w:pPr>
              <w:pStyle w:val="Tabletext"/>
            </w:pPr>
            <w:r w:rsidRPr="00264C3E">
              <w:t>(%, annual average)</w:t>
            </w:r>
          </w:p>
        </w:tc>
        <w:tc>
          <w:tcPr>
            <w:tcW w:w="1128" w:type="dxa"/>
            <w:tcBorders>
              <w:top w:val="nil"/>
              <w:bottom w:val="single" w:sz="4" w:space="0" w:color="FFFFFF"/>
            </w:tcBorders>
            <w:shd w:val="clear" w:color="000000" w:fill="F2F2F2"/>
            <w:vAlign w:val="center"/>
            <w:hideMark/>
          </w:tcPr>
          <w:p w14:paraId="2CFD49E5" w14:textId="77777777" w:rsidR="009B2283" w:rsidRPr="00264C3E" w:rsidRDefault="009B2283" w:rsidP="00D955E8">
            <w:pPr>
              <w:pStyle w:val="Tabletext"/>
              <w:jc w:val="center"/>
            </w:pPr>
            <w:r w:rsidRPr="00264C3E">
              <w:t>3.6</w:t>
            </w:r>
          </w:p>
        </w:tc>
        <w:tc>
          <w:tcPr>
            <w:tcW w:w="1128" w:type="dxa"/>
            <w:tcBorders>
              <w:top w:val="nil"/>
              <w:left w:val="nil"/>
              <w:bottom w:val="single" w:sz="4" w:space="0" w:color="FFFFFF"/>
              <w:right w:val="nil"/>
            </w:tcBorders>
            <w:shd w:val="clear" w:color="000000" w:fill="F2F2F2"/>
            <w:vAlign w:val="center"/>
            <w:hideMark/>
          </w:tcPr>
          <w:p w14:paraId="0C089A28" w14:textId="77777777" w:rsidR="009B2283" w:rsidRPr="00264C3E" w:rsidRDefault="009B2283" w:rsidP="00D955E8">
            <w:pPr>
              <w:pStyle w:val="Tabletext"/>
              <w:jc w:val="center"/>
            </w:pPr>
            <w:r w:rsidRPr="00264C3E">
              <w:t>2.2</w:t>
            </w:r>
          </w:p>
        </w:tc>
        <w:tc>
          <w:tcPr>
            <w:tcW w:w="1128" w:type="dxa"/>
            <w:tcBorders>
              <w:top w:val="nil"/>
              <w:left w:val="nil"/>
              <w:bottom w:val="single" w:sz="4" w:space="0" w:color="FFFFFF"/>
              <w:right w:val="nil"/>
            </w:tcBorders>
            <w:shd w:val="clear" w:color="000000" w:fill="F2F2F2"/>
            <w:vAlign w:val="center"/>
            <w:hideMark/>
          </w:tcPr>
          <w:p w14:paraId="410E9A57" w14:textId="77777777" w:rsidR="009B2283" w:rsidRPr="00264C3E" w:rsidRDefault="009B2283" w:rsidP="00D955E8">
            <w:pPr>
              <w:pStyle w:val="Tabletext"/>
              <w:jc w:val="center"/>
            </w:pPr>
            <w:r w:rsidRPr="00264C3E">
              <w:t>1.9</w:t>
            </w:r>
          </w:p>
        </w:tc>
      </w:tr>
      <w:tr w:rsidR="009B2283" w:rsidRPr="00264C3E" w14:paraId="34DCFC5C" w14:textId="77777777" w:rsidTr="00D955E8">
        <w:trPr>
          <w:trHeight w:val="414"/>
          <w:jc w:val="center"/>
        </w:trPr>
        <w:tc>
          <w:tcPr>
            <w:tcW w:w="3272" w:type="dxa"/>
            <w:tcBorders>
              <w:top w:val="nil"/>
              <w:left w:val="nil"/>
              <w:bottom w:val="single" w:sz="4" w:space="0" w:color="FFFFFF"/>
              <w:right w:val="nil"/>
            </w:tcBorders>
            <w:shd w:val="clear" w:color="000000" w:fill="D9D9D9"/>
            <w:vAlign w:val="center"/>
            <w:hideMark/>
          </w:tcPr>
          <w:p w14:paraId="0F6B708D" w14:textId="77777777" w:rsidR="009B2283" w:rsidRPr="00264C3E" w:rsidRDefault="009B2283" w:rsidP="00D955E8">
            <w:pPr>
              <w:pStyle w:val="Tabletext"/>
            </w:pPr>
            <w:r w:rsidRPr="00264C3E">
              <w:t>2. Long-term interest rate</w:t>
            </w:r>
          </w:p>
        </w:tc>
        <w:tc>
          <w:tcPr>
            <w:tcW w:w="2246" w:type="dxa"/>
            <w:tcBorders>
              <w:top w:val="nil"/>
              <w:left w:val="nil"/>
              <w:bottom w:val="single" w:sz="4" w:space="0" w:color="FFFFFF"/>
            </w:tcBorders>
            <w:shd w:val="clear" w:color="000000" w:fill="D9D9D9"/>
            <w:vAlign w:val="center"/>
            <w:hideMark/>
          </w:tcPr>
          <w:p w14:paraId="27C9957C" w14:textId="77777777" w:rsidR="009B2283" w:rsidRPr="00264C3E" w:rsidRDefault="009B2283" w:rsidP="00D955E8">
            <w:pPr>
              <w:pStyle w:val="Tabletext"/>
            </w:pPr>
            <w:r w:rsidRPr="00264C3E">
              <w:t>(%, annual average)</w:t>
            </w:r>
          </w:p>
        </w:tc>
        <w:tc>
          <w:tcPr>
            <w:tcW w:w="1128" w:type="dxa"/>
            <w:tcBorders>
              <w:top w:val="single" w:sz="4" w:space="0" w:color="FFFFFF"/>
              <w:bottom w:val="single" w:sz="4" w:space="0" w:color="FFFFFF"/>
            </w:tcBorders>
            <w:shd w:val="clear" w:color="000000" w:fill="D9D9D9"/>
            <w:vAlign w:val="center"/>
            <w:hideMark/>
          </w:tcPr>
          <w:p w14:paraId="7B787BBA" w14:textId="77777777" w:rsidR="009B2283" w:rsidRPr="00264C3E" w:rsidRDefault="009B2283" w:rsidP="00D955E8">
            <w:pPr>
              <w:pStyle w:val="Tabletext"/>
              <w:jc w:val="center"/>
            </w:pPr>
            <w:r w:rsidRPr="00264C3E">
              <w:t>2.9</w:t>
            </w:r>
          </w:p>
        </w:tc>
        <w:tc>
          <w:tcPr>
            <w:tcW w:w="1128" w:type="dxa"/>
            <w:tcBorders>
              <w:top w:val="nil"/>
              <w:left w:val="nil"/>
              <w:bottom w:val="single" w:sz="4" w:space="0" w:color="FFFFFF"/>
              <w:right w:val="nil"/>
            </w:tcBorders>
            <w:shd w:val="clear" w:color="000000" w:fill="D9D9D9"/>
            <w:vAlign w:val="center"/>
            <w:hideMark/>
          </w:tcPr>
          <w:p w14:paraId="582F8BED" w14:textId="77777777" w:rsidR="009B2283" w:rsidRPr="00264C3E" w:rsidRDefault="009B2283" w:rsidP="00D955E8">
            <w:pPr>
              <w:pStyle w:val="Tabletext"/>
              <w:jc w:val="center"/>
            </w:pPr>
            <w:r w:rsidRPr="00264C3E">
              <w:t>3.1</w:t>
            </w:r>
          </w:p>
        </w:tc>
        <w:tc>
          <w:tcPr>
            <w:tcW w:w="1128" w:type="dxa"/>
            <w:tcBorders>
              <w:top w:val="nil"/>
              <w:left w:val="nil"/>
              <w:bottom w:val="single" w:sz="4" w:space="0" w:color="FFFFFF"/>
              <w:right w:val="nil"/>
            </w:tcBorders>
            <w:shd w:val="clear" w:color="000000" w:fill="D9D9D9"/>
            <w:vAlign w:val="center"/>
            <w:hideMark/>
          </w:tcPr>
          <w:p w14:paraId="3317D898" w14:textId="77777777" w:rsidR="009B2283" w:rsidRPr="00264C3E" w:rsidRDefault="009B2283" w:rsidP="00D955E8">
            <w:pPr>
              <w:pStyle w:val="Tabletext"/>
              <w:jc w:val="center"/>
            </w:pPr>
            <w:r w:rsidRPr="00264C3E">
              <w:t>3.4</w:t>
            </w:r>
          </w:p>
        </w:tc>
      </w:tr>
      <w:tr w:rsidR="009B2283" w:rsidRPr="00264C3E" w14:paraId="4E862F8E" w14:textId="77777777" w:rsidTr="00D955E8">
        <w:trPr>
          <w:trHeight w:val="389"/>
          <w:jc w:val="center"/>
        </w:trPr>
        <w:tc>
          <w:tcPr>
            <w:tcW w:w="3272" w:type="dxa"/>
            <w:tcBorders>
              <w:top w:val="nil"/>
              <w:left w:val="nil"/>
              <w:bottom w:val="single" w:sz="4" w:space="0" w:color="FFFFFF"/>
              <w:right w:val="nil"/>
            </w:tcBorders>
            <w:shd w:val="clear" w:color="000000" w:fill="F2F2F2"/>
            <w:vAlign w:val="center"/>
            <w:hideMark/>
          </w:tcPr>
          <w:p w14:paraId="1CCA37A8" w14:textId="77777777" w:rsidR="009B2283" w:rsidRPr="00264C3E" w:rsidRDefault="009B2283" w:rsidP="00D955E8">
            <w:pPr>
              <w:pStyle w:val="Tabletext"/>
            </w:pPr>
            <w:r w:rsidRPr="00264C3E">
              <w:t>3. USD/EUR exchange rate</w:t>
            </w:r>
          </w:p>
        </w:tc>
        <w:tc>
          <w:tcPr>
            <w:tcW w:w="2246" w:type="dxa"/>
            <w:tcBorders>
              <w:top w:val="nil"/>
              <w:left w:val="nil"/>
              <w:bottom w:val="single" w:sz="4" w:space="0" w:color="FFFFFF"/>
            </w:tcBorders>
            <w:shd w:val="clear" w:color="000000" w:fill="F2F2F2"/>
            <w:vAlign w:val="center"/>
            <w:hideMark/>
          </w:tcPr>
          <w:p w14:paraId="14C5E088" w14:textId="77777777" w:rsidR="009B2283" w:rsidRPr="00264C3E" w:rsidRDefault="009B2283" w:rsidP="00D955E8">
            <w:pPr>
              <w:pStyle w:val="Tabletext"/>
            </w:pPr>
            <w:r w:rsidRPr="00264C3E">
              <w:t>(annual average)</w:t>
            </w:r>
          </w:p>
        </w:tc>
        <w:tc>
          <w:tcPr>
            <w:tcW w:w="1128" w:type="dxa"/>
            <w:tcBorders>
              <w:top w:val="single" w:sz="4" w:space="0" w:color="FFFFFF"/>
              <w:bottom w:val="single" w:sz="4" w:space="0" w:color="FFFFFF"/>
            </w:tcBorders>
            <w:shd w:val="clear" w:color="000000" w:fill="F2F2F2"/>
            <w:vAlign w:val="center"/>
            <w:hideMark/>
          </w:tcPr>
          <w:p w14:paraId="0643733D" w14:textId="77777777" w:rsidR="009B2283" w:rsidRPr="00264C3E" w:rsidRDefault="009B2283" w:rsidP="00D955E8">
            <w:pPr>
              <w:pStyle w:val="Tabletext"/>
              <w:jc w:val="center"/>
            </w:pPr>
            <w:r w:rsidRPr="00264C3E">
              <w:t>1.1</w:t>
            </w:r>
          </w:p>
        </w:tc>
        <w:tc>
          <w:tcPr>
            <w:tcW w:w="1128" w:type="dxa"/>
            <w:tcBorders>
              <w:top w:val="nil"/>
              <w:left w:val="nil"/>
              <w:bottom w:val="single" w:sz="4" w:space="0" w:color="FFFFFF"/>
              <w:right w:val="nil"/>
            </w:tcBorders>
            <w:shd w:val="clear" w:color="000000" w:fill="F2F2F2"/>
            <w:vAlign w:val="center"/>
            <w:hideMark/>
          </w:tcPr>
          <w:p w14:paraId="64A8969E" w14:textId="77777777" w:rsidR="009B2283" w:rsidRPr="00264C3E" w:rsidRDefault="009B2283" w:rsidP="00D955E8">
            <w:pPr>
              <w:pStyle w:val="Tabletext"/>
              <w:jc w:val="center"/>
            </w:pPr>
            <w:r w:rsidRPr="00264C3E">
              <w:t>1.1</w:t>
            </w:r>
          </w:p>
        </w:tc>
        <w:tc>
          <w:tcPr>
            <w:tcW w:w="1128" w:type="dxa"/>
            <w:tcBorders>
              <w:top w:val="nil"/>
              <w:left w:val="nil"/>
              <w:bottom w:val="single" w:sz="4" w:space="0" w:color="FFFFFF"/>
              <w:right w:val="nil"/>
            </w:tcBorders>
            <w:shd w:val="clear" w:color="000000" w:fill="F2F2F2"/>
            <w:vAlign w:val="center"/>
            <w:hideMark/>
          </w:tcPr>
          <w:p w14:paraId="32A712BA" w14:textId="77777777" w:rsidR="009B2283" w:rsidRPr="00264C3E" w:rsidRDefault="009B2283" w:rsidP="00D955E8">
            <w:pPr>
              <w:pStyle w:val="Tabletext"/>
              <w:jc w:val="center"/>
            </w:pPr>
            <w:r w:rsidRPr="00264C3E">
              <w:t>1.1</w:t>
            </w:r>
          </w:p>
        </w:tc>
      </w:tr>
      <w:tr w:rsidR="009B2283" w:rsidRPr="00264C3E" w14:paraId="36C70492" w14:textId="77777777" w:rsidTr="00D955E8">
        <w:trPr>
          <w:trHeight w:val="393"/>
          <w:jc w:val="center"/>
        </w:trPr>
        <w:tc>
          <w:tcPr>
            <w:tcW w:w="3272" w:type="dxa"/>
            <w:tcBorders>
              <w:top w:val="nil"/>
              <w:left w:val="nil"/>
              <w:bottom w:val="single" w:sz="4" w:space="0" w:color="FFFFFF"/>
              <w:right w:val="nil"/>
            </w:tcBorders>
            <w:shd w:val="clear" w:color="000000" w:fill="D9D9D9"/>
            <w:vAlign w:val="center"/>
            <w:hideMark/>
          </w:tcPr>
          <w:p w14:paraId="0CDB2717" w14:textId="77777777" w:rsidR="009B2283" w:rsidRPr="00264C3E" w:rsidRDefault="009B2283" w:rsidP="00D955E8">
            <w:pPr>
              <w:pStyle w:val="Tabletext"/>
            </w:pPr>
            <w:r w:rsidRPr="00264C3E">
              <w:t>4. World real GDP (excluding EU)</w:t>
            </w:r>
          </w:p>
        </w:tc>
        <w:tc>
          <w:tcPr>
            <w:tcW w:w="2246" w:type="dxa"/>
            <w:tcBorders>
              <w:top w:val="nil"/>
              <w:left w:val="nil"/>
              <w:bottom w:val="single" w:sz="4" w:space="0" w:color="FFFFFF"/>
            </w:tcBorders>
            <w:shd w:val="clear" w:color="000000" w:fill="D9D9D9"/>
            <w:vAlign w:val="center"/>
            <w:hideMark/>
          </w:tcPr>
          <w:p w14:paraId="4E77624A" w14:textId="77777777" w:rsidR="009B2283" w:rsidRPr="00264C3E" w:rsidRDefault="009B2283" w:rsidP="00D955E8">
            <w:pPr>
              <w:pStyle w:val="Tabletext"/>
            </w:pPr>
            <w:r w:rsidRPr="00264C3E">
              <w:t>(growth rate)</w:t>
            </w:r>
          </w:p>
        </w:tc>
        <w:tc>
          <w:tcPr>
            <w:tcW w:w="1128" w:type="dxa"/>
            <w:tcBorders>
              <w:top w:val="single" w:sz="4" w:space="0" w:color="FFFFFF"/>
              <w:bottom w:val="single" w:sz="4" w:space="0" w:color="FFFFFF"/>
            </w:tcBorders>
            <w:shd w:val="clear" w:color="000000" w:fill="D9D9D9"/>
            <w:vAlign w:val="center"/>
            <w:hideMark/>
          </w:tcPr>
          <w:p w14:paraId="55028EEB" w14:textId="77777777" w:rsidR="009B2283" w:rsidRPr="00264C3E" w:rsidRDefault="009B2283" w:rsidP="00D955E8">
            <w:pPr>
              <w:pStyle w:val="Tabletext"/>
              <w:jc w:val="center"/>
            </w:pPr>
            <w:r w:rsidRPr="00264C3E">
              <w:t>3.6</w:t>
            </w:r>
          </w:p>
        </w:tc>
        <w:tc>
          <w:tcPr>
            <w:tcW w:w="1128" w:type="dxa"/>
            <w:tcBorders>
              <w:top w:val="nil"/>
              <w:left w:val="nil"/>
              <w:bottom w:val="single" w:sz="4" w:space="0" w:color="FFFFFF"/>
              <w:right w:val="nil"/>
            </w:tcBorders>
            <w:shd w:val="clear" w:color="000000" w:fill="D9D9D9"/>
            <w:vAlign w:val="center"/>
            <w:hideMark/>
          </w:tcPr>
          <w:p w14:paraId="5E31A5A3" w14:textId="77777777" w:rsidR="009B2283" w:rsidRPr="00264C3E" w:rsidRDefault="009B2283" w:rsidP="00D955E8">
            <w:pPr>
              <w:pStyle w:val="Tabletext"/>
              <w:jc w:val="center"/>
            </w:pPr>
            <w:r w:rsidRPr="00264C3E">
              <w:t>3.1</w:t>
            </w:r>
          </w:p>
        </w:tc>
        <w:tc>
          <w:tcPr>
            <w:tcW w:w="1128" w:type="dxa"/>
            <w:tcBorders>
              <w:top w:val="nil"/>
              <w:left w:val="nil"/>
              <w:bottom w:val="single" w:sz="4" w:space="0" w:color="FFFFFF"/>
              <w:right w:val="nil"/>
            </w:tcBorders>
            <w:shd w:val="clear" w:color="000000" w:fill="D9D9D9"/>
            <w:vAlign w:val="center"/>
            <w:hideMark/>
          </w:tcPr>
          <w:p w14:paraId="31AC3702" w14:textId="77777777" w:rsidR="009B2283" w:rsidRPr="00264C3E" w:rsidRDefault="009B2283" w:rsidP="00D955E8">
            <w:pPr>
              <w:pStyle w:val="Tabletext"/>
              <w:jc w:val="center"/>
            </w:pPr>
            <w:r w:rsidRPr="00264C3E">
              <w:t>3.2</w:t>
            </w:r>
          </w:p>
        </w:tc>
      </w:tr>
      <w:tr w:rsidR="009B2283" w:rsidRPr="00264C3E" w14:paraId="3C81A3A2" w14:textId="77777777" w:rsidTr="00D955E8">
        <w:trPr>
          <w:trHeight w:val="369"/>
          <w:jc w:val="center"/>
        </w:trPr>
        <w:tc>
          <w:tcPr>
            <w:tcW w:w="3272" w:type="dxa"/>
            <w:tcBorders>
              <w:top w:val="nil"/>
              <w:left w:val="nil"/>
              <w:bottom w:val="single" w:sz="4" w:space="0" w:color="FFFFFF"/>
              <w:right w:val="nil"/>
            </w:tcBorders>
            <w:shd w:val="clear" w:color="000000" w:fill="F2F2F2"/>
            <w:vAlign w:val="center"/>
            <w:hideMark/>
          </w:tcPr>
          <w:p w14:paraId="0C071B66" w14:textId="77777777" w:rsidR="009B2283" w:rsidRPr="00264C3E" w:rsidRDefault="009B2283" w:rsidP="00D955E8">
            <w:pPr>
              <w:pStyle w:val="Tabletext"/>
            </w:pPr>
            <w:r w:rsidRPr="00264C3E">
              <w:t>5. EU real GDP</w:t>
            </w:r>
          </w:p>
        </w:tc>
        <w:tc>
          <w:tcPr>
            <w:tcW w:w="2246" w:type="dxa"/>
            <w:tcBorders>
              <w:top w:val="nil"/>
              <w:left w:val="nil"/>
              <w:bottom w:val="single" w:sz="4" w:space="0" w:color="FFFFFF"/>
            </w:tcBorders>
            <w:shd w:val="clear" w:color="000000" w:fill="F2F2F2"/>
            <w:vAlign w:val="center"/>
            <w:hideMark/>
          </w:tcPr>
          <w:p w14:paraId="07B2E10A" w14:textId="77777777" w:rsidR="009B2283" w:rsidRPr="00264C3E" w:rsidRDefault="009B2283" w:rsidP="00D955E8">
            <w:pPr>
              <w:pStyle w:val="Tabletext"/>
            </w:pPr>
            <w:r w:rsidRPr="00264C3E">
              <w:t>(growth rate)</w:t>
            </w:r>
          </w:p>
        </w:tc>
        <w:tc>
          <w:tcPr>
            <w:tcW w:w="1128" w:type="dxa"/>
            <w:tcBorders>
              <w:top w:val="single" w:sz="4" w:space="0" w:color="FFFFFF"/>
              <w:bottom w:val="single" w:sz="4" w:space="0" w:color="FFFFFF"/>
            </w:tcBorders>
            <w:shd w:val="clear" w:color="000000" w:fill="F2F2F2"/>
            <w:vAlign w:val="center"/>
            <w:hideMark/>
          </w:tcPr>
          <w:p w14:paraId="746FECF5" w14:textId="77777777" w:rsidR="009B2283" w:rsidRPr="00264C3E" w:rsidRDefault="009B2283" w:rsidP="00D955E8">
            <w:pPr>
              <w:pStyle w:val="Tabletext"/>
              <w:jc w:val="center"/>
            </w:pPr>
            <w:r w:rsidRPr="00264C3E">
              <w:t>1.0</w:t>
            </w:r>
          </w:p>
        </w:tc>
        <w:tc>
          <w:tcPr>
            <w:tcW w:w="1128" w:type="dxa"/>
            <w:tcBorders>
              <w:top w:val="nil"/>
              <w:left w:val="nil"/>
              <w:bottom w:val="single" w:sz="4" w:space="0" w:color="FFFFFF"/>
              <w:right w:val="nil"/>
            </w:tcBorders>
            <w:shd w:val="clear" w:color="000000" w:fill="F2F2F2"/>
            <w:vAlign w:val="center"/>
            <w:hideMark/>
          </w:tcPr>
          <w:p w14:paraId="04E27948" w14:textId="77777777" w:rsidR="009B2283" w:rsidRPr="00264C3E" w:rsidRDefault="009B2283" w:rsidP="00D955E8">
            <w:pPr>
              <w:pStyle w:val="Tabletext"/>
              <w:jc w:val="center"/>
            </w:pPr>
            <w:r w:rsidRPr="00264C3E">
              <w:t>1.1</w:t>
            </w:r>
          </w:p>
        </w:tc>
        <w:tc>
          <w:tcPr>
            <w:tcW w:w="1128" w:type="dxa"/>
            <w:tcBorders>
              <w:top w:val="nil"/>
              <w:left w:val="nil"/>
              <w:bottom w:val="single" w:sz="4" w:space="0" w:color="FFFFFF"/>
              <w:right w:val="nil"/>
            </w:tcBorders>
            <w:shd w:val="clear" w:color="000000" w:fill="F2F2F2"/>
            <w:vAlign w:val="center"/>
            <w:hideMark/>
          </w:tcPr>
          <w:p w14:paraId="7F535F72" w14:textId="77777777" w:rsidR="009B2283" w:rsidRPr="00264C3E" w:rsidRDefault="009B2283" w:rsidP="00D955E8">
            <w:pPr>
              <w:pStyle w:val="Tabletext"/>
              <w:jc w:val="center"/>
            </w:pPr>
            <w:r w:rsidRPr="00264C3E">
              <w:t>1.5</w:t>
            </w:r>
          </w:p>
        </w:tc>
      </w:tr>
      <w:tr w:rsidR="009B2283" w:rsidRPr="00264C3E" w14:paraId="50482C31" w14:textId="77777777" w:rsidTr="00D955E8">
        <w:trPr>
          <w:trHeight w:val="656"/>
          <w:jc w:val="center"/>
        </w:trPr>
        <w:tc>
          <w:tcPr>
            <w:tcW w:w="3272" w:type="dxa"/>
            <w:tcBorders>
              <w:top w:val="nil"/>
              <w:left w:val="nil"/>
              <w:bottom w:val="single" w:sz="4" w:space="0" w:color="FFFFFF"/>
              <w:right w:val="nil"/>
            </w:tcBorders>
            <w:shd w:val="clear" w:color="000000" w:fill="D9D9D9"/>
            <w:vAlign w:val="center"/>
            <w:hideMark/>
          </w:tcPr>
          <w:p w14:paraId="546F4435" w14:textId="77777777" w:rsidR="009B2283" w:rsidRPr="00264C3E" w:rsidRDefault="009B2283" w:rsidP="00D955E8">
            <w:pPr>
              <w:pStyle w:val="Tabletext"/>
            </w:pPr>
            <w:r w:rsidRPr="00264C3E">
              <w:t>6. World import volumes, excluding EU</w:t>
            </w:r>
          </w:p>
        </w:tc>
        <w:tc>
          <w:tcPr>
            <w:tcW w:w="2246" w:type="dxa"/>
            <w:tcBorders>
              <w:top w:val="nil"/>
              <w:left w:val="nil"/>
              <w:bottom w:val="single" w:sz="4" w:space="0" w:color="FFFFFF"/>
            </w:tcBorders>
            <w:shd w:val="clear" w:color="000000" w:fill="D9D9D9"/>
            <w:vAlign w:val="center"/>
            <w:hideMark/>
          </w:tcPr>
          <w:p w14:paraId="4B989499" w14:textId="77777777" w:rsidR="009B2283" w:rsidRPr="00264C3E" w:rsidRDefault="009B2283" w:rsidP="00D955E8">
            <w:pPr>
              <w:pStyle w:val="Tabletext"/>
            </w:pPr>
            <w:r w:rsidRPr="00264C3E">
              <w:t>(growth rate)</w:t>
            </w:r>
          </w:p>
        </w:tc>
        <w:tc>
          <w:tcPr>
            <w:tcW w:w="1128" w:type="dxa"/>
            <w:tcBorders>
              <w:top w:val="single" w:sz="4" w:space="0" w:color="FFFFFF"/>
              <w:bottom w:val="single" w:sz="4" w:space="0" w:color="FFFFFF"/>
            </w:tcBorders>
            <w:shd w:val="clear" w:color="000000" w:fill="D9D9D9"/>
            <w:vAlign w:val="center"/>
            <w:hideMark/>
          </w:tcPr>
          <w:p w14:paraId="37898846" w14:textId="77777777" w:rsidR="009B2283" w:rsidRPr="00264C3E" w:rsidRDefault="009B2283" w:rsidP="00D955E8">
            <w:pPr>
              <w:pStyle w:val="Tabletext"/>
              <w:jc w:val="center"/>
            </w:pPr>
            <w:r w:rsidRPr="00264C3E">
              <w:t>3.2</w:t>
            </w:r>
          </w:p>
        </w:tc>
        <w:tc>
          <w:tcPr>
            <w:tcW w:w="1128" w:type="dxa"/>
            <w:tcBorders>
              <w:top w:val="nil"/>
              <w:left w:val="nil"/>
              <w:bottom w:val="single" w:sz="4" w:space="0" w:color="FFFFFF"/>
              <w:right w:val="nil"/>
            </w:tcBorders>
            <w:shd w:val="clear" w:color="000000" w:fill="D9D9D9"/>
            <w:vAlign w:val="center"/>
            <w:hideMark/>
          </w:tcPr>
          <w:p w14:paraId="323DC557" w14:textId="77777777" w:rsidR="009B2283" w:rsidRPr="00264C3E" w:rsidRDefault="009B2283" w:rsidP="00D955E8">
            <w:pPr>
              <w:pStyle w:val="Tabletext"/>
              <w:jc w:val="center"/>
            </w:pPr>
            <w:r w:rsidRPr="00264C3E">
              <w:t>2.0</w:t>
            </w:r>
          </w:p>
        </w:tc>
        <w:tc>
          <w:tcPr>
            <w:tcW w:w="1128" w:type="dxa"/>
            <w:tcBorders>
              <w:top w:val="nil"/>
              <w:left w:val="nil"/>
              <w:bottom w:val="single" w:sz="4" w:space="0" w:color="FFFFFF"/>
              <w:right w:val="nil"/>
            </w:tcBorders>
            <w:shd w:val="clear" w:color="000000" w:fill="D9D9D9"/>
            <w:vAlign w:val="center"/>
            <w:hideMark/>
          </w:tcPr>
          <w:p w14:paraId="06C86144" w14:textId="77777777" w:rsidR="009B2283" w:rsidRPr="00264C3E" w:rsidRDefault="009B2283" w:rsidP="00D955E8">
            <w:pPr>
              <w:pStyle w:val="Tabletext"/>
              <w:jc w:val="center"/>
            </w:pPr>
            <w:r w:rsidRPr="00264C3E">
              <w:t>2.2</w:t>
            </w:r>
          </w:p>
        </w:tc>
      </w:tr>
      <w:tr w:rsidR="009B2283" w:rsidRPr="00264C3E" w14:paraId="2FA3FC72" w14:textId="77777777" w:rsidTr="00D955E8">
        <w:trPr>
          <w:trHeight w:val="404"/>
          <w:jc w:val="center"/>
        </w:trPr>
        <w:tc>
          <w:tcPr>
            <w:tcW w:w="3272" w:type="dxa"/>
            <w:tcBorders>
              <w:top w:val="single" w:sz="4" w:space="0" w:color="FFFFFF"/>
              <w:left w:val="nil"/>
              <w:bottom w:val="single" w:sz="18" w:space="0" w:color="4F81BD" w:themeColor="accent1"/>
              <w:right w:val="nil"/>
            </w:tcBorders>
            <w:shd w:val="clear" w:color="000000" w:fill="F2F2F2"/>
            <w:vAlign w:val="center"/>
            <w:hideMark/>
          </w:tcPr>
          <w:p w14:paraId="7BD4405E" w14:textId="77777777" w:rsidR="009B2283" w:rsidRPr="00264C3E" w:rsidRDefault="009B2283" w:rsidP="00D955E8">
            <w:pPr>
              <w:pStyle w:val="Tabletext"/>
            </w:pPr>
            <w:r w:rsidRPr="00264C3E">
              <w:t>7. Oil prices</w:t>
            </w:r>
          </w:p>
        </w:tc>
        <w:tc>
          <w:tcPr>
            <w:tcW w:w="2246" w:type="dxa"/>
            <w:tcBorders>
              <w:top w:val="single" w:sz="4" w:space="0" w:color="FFFFFF"/>
              <w:left w:val="nil"/>
              <w:bottom w:val="single" w:sz="18" w:space="0" w:color="4F81BD" w:themeColor="accent1"/>
            </w:tcBorders>
            <w:shd w:val="clear" w:color="000000" w:fill="F2F2F2"/>
            <w:vAlign w:val="center"/>
            <w:hideMark/>
          </w:tcPr>
          <w:p w14:paraId="18B65DEC" w14:textId="77777777" w:rsidR="009B2283" w:rsidRPr="00264C3E" w:rsidRDefault="009B2283" w:rsidP="00D955E8">
            <w:pPr>
              <w:pStyle w:val="Tabletext"/>
            </w:pPr>
            <w:r w:rsidRPr="00264C3E">
              <w:t>(Brent, USD/barrel)</w:t>
            </w:r>
          </w:p>
        </w:tc>
        <w:tc>
          <w:tcPr>
            <w:tcW w:w="1128" w:type="dxa"/>
            <w:tcBorders>
              <w:top w:val="single" w:sz="4" w:space="0" w:color="FFFFFF"/>
              <w:bottom w:val="single" w:sz="18" w:space="0" w:color="4F81BD" w:themeColor="accent1"/>
            </w:tcBorders>
            <w:shd w:val="clear" w:color="000000" w:fill="F2F2F2"/>
            <w:vAlign w:val="center"/>
            <w:hideMark/>
          </w:tcPr>
          <w:p w14:paraId="273DDF4F" w14:textId="77777777" w:rsidR="009B2283" w:rsidRPr="00264C3E" w:rsidRDefault="009B2283" w:rsidP="00D955E8">
            <w:pPr>
              <w:pStyle w:val="Tabletext"/>
              <w:jc w:val="center"/>
            </w:pPr>
            <w:r w:rsidRPr="00264C3E">
              <w:t>80.5</w:t>
            </w:r>
          </w:p>
        </w:tc>
        <w:tc>
          <w:tcPr>
            <w:tcW w:w="1128" w:type="dxa"/>
            <w:tcBorders>
              <w:top w:val="single" w:sz="4" w:space="0" w:color="FFFFFF"/>
              <w:left w:val="nil"/>
              <w:bottom w:val="single" w:sz="18" w:space="0" w:color="4F81BD" w:themeColor="accent1"/>
              <w:right w:val="nil"/>
            </w:tcBorders>
            <w:shd w:val="clear" w:color="000000" w:fill="F2F2F2"/>
            <w:vAlign w:val="center"/>
            <w:hideMark/>
          </w:tcPr>
          <w:p w14:paraId="0BAC9280" w14:textId="77777777" w:rsidR="009B2283" w:rsidRPr="00264C3E" w:rsidRDefault="009B2283" w:rsidP="00D955E8">
            <w:pPr>
              <w:pStyle w:val="Tabletext"/>
              <w:jc w:val="center"/>
            </w:pPr>
            <w:r w:rsidRPr="00264C3E">
              <w:t>67.7</w:t>
            </w:r>
          </w:p>
        </w:tc>
        <w:tc>
          <w:tcPr>
            <w:tcW w:w="1128" w:type="dxa"/>
            <w:tcBorders>
              <w:top w:val="single" w:sz="4" w:space="0" w:color="FFFFFF"/>
              <w:left w:val="nil"/>
              <w:bottom w:val="single" w:sz="18" w:space="0" w:color="4F81BD" w:themeColor="accent1"/>
              <w:right w:val="nil"/>
            </w:tcBorders>
            <w:shd w:val="clear" w:color="000000" w:fill="F2F2F2"/>
            <w:vAlign w:val="center"/>
            <w:hideMark/>
          </w:tcPr>
          <w:p w14:paraId="767CDFD6" w14:textId="77777777" w:rsidR="009B2283" w:rsidRPr="00264C3E" w:rsidRDefault="009B2283" w:rsidP="00D955E8">
            <w:pPr>
              <w:pStyle w:val="Tabletext"/>
              <w:jc w:val="center"/>
            </w:pPr>
            <w:r w:rsidRPr="00264C3E">
              <w:t>64.0</w:t>
            </w:r>
          </w:p>
        </w:tc>
      </w:tr>
    </w:tbl>
    <w:p w14:paraId="411863E0" w14:textId="77777777" w:rsidR="00615463" w:rsidRDefault="00615463" w:rsidP="00615463">
      <w:pPr>
        <w:rPr>
          <w:lang w:val="en-US" w:eastAsia="en-US"/>
        </w:rPr>
      </w:pPr>
    </w:p>
    <w:p w14:paraId="59BA4205" w14:textId="77777777" w:rsidR="00615463" w:rsidRDefault="00615463" w:rsidP="00615463">
      <w:pPr>
        <w:rPr>
          <w:lang w:val="en-US" w:eastAsia="en-US"/>
        </w:rPr>
      </w:pPr>
    </w:p>
    <w:p w14:paraId="5983AC9B" w14:textId="77777777" w:rsidR="00615463" w:rsidRDefault="00615463" w:rsidP="00615463">
      <w:pPr>
        <w:rPr>
          <w:lang w:val="en-US" w:eastAsia="en-US"/>
        </w:rPr>
      </w:pPr>
    </w:p>
    <w:p w14:paraId="2B819AA4" w14:textId="77777777" w:rsidR="00615463" w:rsidRDefault="00615463">
      <w:pPr>
        <w:spacing w:line="276" w:lineRule="auto"/>
        <w:jc w:val="left"/>
        <w:rPr>
          <w:lang w:val="en-US" w:eastAsia="en-US"/>
        </w:rPr>
      </w:pPr>
      <w:r>
        <w:rPr>
          <w:lang w:val="en-US" w:eastAsia="en-US"/>
        </w:rPr>
        <w:br w:type="page"/>
      </w:r>
    </w:p>
    <w:p w14:paraId="2616415F" w14:textId="46B82784" w:rsidR="00615463" w:rsidRDefault="00615463" w:rsidP="00615463">
      <w:pPr>
        <w:pStyle w:val="ae"/>
      </w:pPr>
      <w:bookmarkStart w:id="102" w:name="_Ref211086090"/>
      <w:bookmarkStart w:id="103" w:name="_Toc211355112"/>
      <w:r>
        <w:t xml:space="preserve">Table </w:t>
      </w:r>
      <w:r w:rsidR="00540C3A">
        <w:fldChar w:fldCharType="begin"/>
      </w:r>
      <w:r>
        <w:instrText xml:space="preserve"> SEQ Table \* ARABIC </w:instrText>
      </w:r>
      <w:r w:rsidR="00540C3A">
        <w:fldChar w:fldCharType="separate"/>
      </w:r>
      <w:r w:rsidR="00AF0E6B">
        <w:rPr>
          <w:noProof/>
        </w:rPr>
        <w:t>18</w:t>
      </w:r>
      <w:r w:rsidR="00540C3A">
        <w:fldChar w:fldCharType="end"/>
      </w:r>
      <w:bookmarkEnd w:id="102"/>
      <w:r w:rsidRPr="00827D9D">
        <w:t xml:space="preserve"> | Budgetary projections under unchanged policies</w:t>
      </w:r>
      <w:bookmarkEnd w:id="103"/>
    </w:p>
    <w:tbl>
      <w:tblPr>
        <w:tblW w:w="8941" w:type="dxa"/>
        <w:jc w:val="center"/>
        <w:tblLook w:val="04A0" w:firstRow="1" w:lastRow="0" w:firstColumn="1" w:lastColumn="0" w:noHBand="0" w:noVBand="1"/>
      </w:tblPr>
      <w:tblGrid>
        <w:gridCol w:w="3998"/>
        <w:gridCol w:w="1857"/>
        <w:gridCol w:w="977"/>
        <w:gridCol w:w="703"/>
        <w:gridCol w:w="703"/>
        <w:gridCol w:w="703"/>
      </w:tblGrid>
      <w:tr w:rsidR="00615463" w:rsidRPr="00D955E8" w14:paraId="262A3F06" w14:textId="77777777" w:rsidTr="00222043">
        <w:trPr>
          <w:trHeight w:val="397"/>
          <w:jc w:val="center"/>
        </w:trPr>
        <w:tc>
          <w:tcPr>
            <w:tcW w:w="4111" w:type="dxa"/>
            <w:tcBorders>
              <w:top w:val="nil"/>
              <w:left w:val="nil"/>
              <w:bottom w:val="nil"/>
              <w:right w:val="nil"/>
            </w:tcBorders>
            <w:shd w:val="clear" w:color="000000" w:fill="BFBFBF"/>
            <w:vAlign w:val="center"/>
            <w:hideMark/>
          </w:tcPr>
          <w:p w14:paraId="3ED6B167" w14:textId="77777777" w:rsidR="00615463" w:rsidRPr="00D955E8" w:rsidRDefault="00615463" w:rsidP="005D6E2B">
            <w:pPr>
              <w:pStyle w:val="Tabletext"/>
              <w:spacing w:line="260" w:lineRule="exact"/>
              <w:rPr>
                <w:b/>
                <w:sz w:val="24"/>
              </w:rPr>
            </w:pPr>
            <w:r w:rsidRPr="00D955E8">
              <w:rPr>
                <w:b/>
                <w:sz w:val="24"/>
              </w:rPr>
              <w:t> </w:t>
            </w:r>
          </w:p>
        </w:tc>
        <w:tc>
          <w:tcPr>
            <w:tcW w:w="1857" w:type="dxa"/>
            <w:tcBorders>
              <w:top w:val="nil"/>
              <w:left w:val="nil"/>
              <w:bottom w:val="nil"/>
              <w:right w:val="nil"/>
            </w:tcBorders>
            <w:shd w:val="clear" w:color="000000" w:fill="BFBFBF"/>
            <w:vAlign w:val="center"/>
            <w:hideMark/>
          </w:tcPr>
          <w:p w14:paraId="4D6098BB" w14:textId="77777777" w:rsidR="00615463" w:rsidRPr="00D955E8" w:rsidRDefault="00615463" w:rsidP="005D6E2B">
            <w:pPr>
              <w:pStyle w:val="Tabletext"/>
              <w:spacing w:line="260" w:lineRule="exact"/>
              <w:rPr>
                <w:b/>
                <w:sz w:val="24"/>
              </w:rPr>
            </w:pPr>
            <w:r w:rsidRPr="00D955E8">
              <w:rPr>
                <w:b/>
                <w:sz w:val="24"/>
              </w:rPr>
              <w:t>ESA Code</w:t>
            </w:r>
          </w:p>
        </w:tc>
        <w:tc>
          <w:tcPr>
            <w:tcW w:w="975" w:type="dxa"/>
            <w:tcBorders>
              <w:top w:val="nil"/>
              <w:left w:val="single" w:sz="4" w:space="0" w:color="FFFFFF"/>
              <w:bottom w:val="nil"/>
              <w:right w:val="single" w:sz="4" w:space="0" w:color="FFFFFF"/>
            </w:tcBorders>
            <w:shd w:val="clear" w:color="000000" w:fill="BFBFBF"/>
            <w:vAlign w:val="center"/>
            <w:hideMark/>
          </w:tcPr>
          <w:p w14:paraId="0DD00F62" w14:textId="77777777" w:rsidR="00615463" w:rsidRPr="00D955E8" w:rsidRDefault="00615463" w:rsidP="005D6E2B">
            <w:pPr>
              <w:pStyle w:val="Tabletext"/>
              <w:spacing w:line="260" w:lineRule="exact"/>
              <w:jc w:val="center"/>
              <w:rPr>
                <w:b/>
                <w:sz w:val="24"/>
              </w:rPr>
            </w:pPr>
            <w:r w:rsidRPr="00D955E8">
              <w:rPr>
                <w:b/>
                <w:sz w:val="24"/>
              </w:rPr>
              <w:t>2024 (Levels)</w:t>
            </w:r>
          </w:p>
        </w:tc>
        <w:tc>
          <w:tcPr>
            <w:tcW w:w="666" w:type="dxa"/>
            <w:tcBorders>
              <w:top w:val="nil"/>
              <w:left w:val="nil"/>
              <w:bottom w:val="nil"/>
              <w:right w:val="nil"/>
            </w:tcBorders>
            <w:shd w:val="clear" w:color="000000" w:fill="BFBFBF"/>
            <w:vAlign w:val="center"/>
            <w:hideMark/>
          </w:tcPr>
          <w:p w14:paraId="01EAE717" w14:textId="77777777" w:rsidR="00615463" w:rsidRPr="00D955E8" w:rsidRDefault="00615463" w:rsidP="005D6E2B">
            <w:pPr>
              <w:pStyle w:val="Tabletext"/>
              <w:spacing w:line="260" w:lineRule="exact"/>
              <w:jc w:val="center"/>
              <w:rPr>
                <w:b/>
                <w:sz w:val="24"/>
              </w:rPr>
            </w:pPr>
            <w:r w:rsidRPr="00D955E8">
              <w:rPr>
                <w:b/>
                <w:sz w:val="24"/>
              </w:rPr>
              <w:t>2024</w:t>
            </w:r>
          </w:p>
        </w:tc>
        <w:tc>
          <w:tcPr>
            <w:tcW w:w="666" w:type="dxa"/>
            <w:tcBorders>
              <w:top w:val="nil"/>
              <w:left w:val="nil"/>
              <w:bottom w:val="nil"/>
              <w:right w:val="nil"/>
            </w:tcBorders>
            <w:shd w:val="clear" w:color="000000" w:fill="BFBFBF"/>
            <w:vAlign w:val="center"/>
            <w:hideMark/>
          </w:tcPr>
          <w:p w14:paraId="2BB01195" w14:textId="77777777" w:rsidR="00615463" w:rsidRPr="00D955E8" w:rsidRDefault="00615463" w:rsidP="005D6E2B">
            <w:pPr>
              <w:pStyle w:val="Tabletext"/>
              <w:spacing w:line="260" w:lineRule="exact"/>
              <w:jc w:val="center"/>
              <w:rPr>
                <w:b/>
                <w:sz w:val="24"/>
              </w:rPr>
            </w:pPr>
            <w:r w:rsidRPr="00D955E8">
              <w:rPr>
                <w:b/>
                <w:sz w:val="24"/>
              </w:rPr>
              <w:t>2025</w:t>
            </w:r>
          </w:p>
        </w:tc>
        <w:tc>
          <w:tcPr>
            <w:tcW w:w="666" w:type="dxa"/>
            <w:tcBorders>
              <w:top w:val="nil"/>
              <w:left w:val="nil"/>
              <w:bottom w:val="nil"/>
              <w:right w:val="nil"/>
            </w:tcBorders>
            <w:shd w:val="clear" w:color="000000" w:fill="BFBFBF"/>
            <w:vAlign w:val="center"/>
            <w:hideMark/>
          </w:tcPr>
          <w:p w14:paraId="1C9F4BC3" w14:textId="77777777" w:rsidR="00615463" w:rsidRPr="00D955E8" w:rsidRDefault="00615463" w:rsidP="005D6E2B">
            <w:pPr>
              <w:pStyle w:val="Tabletext"/>
              <w:spacing w:line="260" w:lineRule="exact"/>
              <w:jc w:val="center"/>
              <w:rPr>
                <w:b/>
                <w:sz w:val="24"/>
              </w:rPr>
            </w:pPr>
            <w:r w:rsidRPr="00D955E8">
              <w:rPr>
                <w:b/>
                <w:sz w:val="24"/>
              </w:rPr>
              <w:t>2026</w:t>
            </w:r>
          </w:p>
        </w:tc>
      </w:tr>
      <w:tr w:rsidR="00615463" w:rsidRPr="00D955E8" w14:paraId="0D524764" w14:textId="77777777" w:rsidTr="00222043">
        <w:trPr>
          <w:trHeight w:val="397"/>
          <w:jc w:val="center"/>
        </w:trPr>
        <w:tc>
          <w:tcPr>
            <w:tcW w:w="4111" w:type="dxa"/>
            <w:tcBorders>
              <w:top w:val="nil"/>
              <w:left w:val="nil"/>
              <w:right w:val="nil"/>
            </w:tcBorders>
            <w:shd w:val="clear" w:color="000000" w:fill="C0C0C0"/>
            <w:vAlign w:val="center"/>
            <w:hideMark/>
          </w:tcPr>
          <w:p w14:paraId="3DC09216" w14:textId="77777777" w:rsidR="00615463" w:rsidRPr="00D955E8" w:rsidRDefault="00615463" w:rsidP="005D6E2B">
            <w:pPr>
              <w:pStyle w:val="Tabletext"/>
              <w:spacing w:line="260" w:lineRule="exact"/>
              <w:jc w:val="center"/>
            </w:pPr>
          </w:p>
        </w:tc>
        <w:tc>
          <w:tcPr>
            <w:tcW w:w="1857" w:type="dxa"/>
            <w:tcBorders>
              <w:top w:val="nil"/>
              <w:left w:val="nil"/>
              <w:right w:val="nil"/>
            </w:tcBorders>
            <w:shd w:val="clear" w:color="000000" w:fill="C0C0C0"/>
            <w:vAlign w:val="center"/>
            <w:hideMark/>
          </w:tcPr>
          <w:p w14:paraId="1FB125B8" w14:textId="77777777" w:rsidR="00615463" w:rsidRPr="00D955E8" w:rsidRDefault="00615463" w:rsidP="005D6E2B">
            <w:pPr>
              <w:pStyle w:val="Tabletext"/>
              <w:spacing w:line="260" w:lineRule="exact"/>
              <w:jc w:val="center"/>
            </w:pPr>
          </w:p>
        </w:tc>
        <w:tc>
          <w:tcPr>
            <w:tcW w:w="975" w:type="dxa"/>
            <w:tcBorders>
              <w:top w:val="nil"/>
              <w:left w:val="single" w:sz="4" w:space="0" w:color="FFFFFF"/>
              <w:right w:val="single" w:sz="4" w:space="0" w:color="FFFFFF"/>
            </w:tcBorders>
            <w:shd w:val="clear" w:color="000000" w:fill="BFBFBF"/>
            <w:vAlign w:val="center"/>
            <w:hideMark/>
          </w:tcPr>
          <w:p w14:paraId="6A00C182" w14:textId="77777777" w:rsidR="00615463" w:rsidRPr="00D955E8" w:rsidRDefault="00615463" w:rsidP="005D6E2B">
            <w:pPr>
              <w:pStyle w:val="Tabletext"/>
              <w:spacing w:line="260" w:lineRule="exact"/>
              <w:jc w:val="center"/>
            </w:pPr>
            <w:r w:rsidRPr="00D955E8">
              <w:t>bn EUR</w:t>
            </w:r>
          </w:p>
        </w:tc>
        <w:tc>
          <w:tcPr>
            <w:tcW w:w="1998" w:type="dxa"/>
            <w:gridSpan w:val="3"/>
            <w:tcBorders>
              <w:top w:val="nil"/>
              <w:left w:val="nil"/>
              <w:right w:val="nil"/>
            </w:tcBorders>
            <w:shd w:val="clear" w:color="000000" w:fill="BFBFBF"/>
            <w:vAlign w:val="center"/>
            <w:hideMark/>
          </w:tcPr>
          <w:p w14:paraId="3A0C84E0" w14:textId="77777777" w:rsidR="00615463" w:rsidRPr="00D955E8" w:rsidRDefault="00615463" w:rsidP="005D6E2B">
            <w:pPr>
              <w:pStyle w:val="Tabletext"/>
              <w:spacing w:line="260" w:lineRule="exact"/>
              <w:jc w:val="center"/>
            </w:pPr>
            <w:r w:rsidRPr="00D955E8">
              <w:t>% GDP</w:t>
            </w:r>
          </w:p>
        </w:tc>
      </w:tr>
      <w:tr w:rsidR="00615463" w:rsidRPr="00D955E8" w14:paraId="0A1B2873" w14:textId="77777777" w:rsidTr="00222043">
        <w:trPr>
          <w:trHeight w:val="581"/>
          <w:jc w:val="center"/>
        </w:trPr>
        <w:tc>
          <w:tcPr>
            <w:tcW w:w="4111" w:type="dxa"/>
            <w:tcBorders>
              <w:top w:val="nil"/>
              <w:left w:val="nil"/>
              <w:bottom w:val="nil"/>
            </w:tcBorders>
            <w:shd w:val="clear" w:color="000000" w:fill="BFBFBF"/>
            <w:vAlign w:val="center"/>
            <w:hideMark/>
          </w:tcPr>
          <w:p w14:paraId="28897BC8" w14:textId="77777777" w:rsidR="00615463" w:rsidRPr="00D955E8" w:rsidRDefault="00615463" w:rsidP="005D6E2B">
            <w:pPr>
              <w:pStyle w:val="Tabletext"/>
              <w:spacing w:line="260" w:lineRule="exact"/>
              <w:rPr>
                <w:b/>
                <w:sz w:val="24"/>
              </w:rPr>
            </w:pPr>
            <w:r w:rsidRPr="00D955E8">
              <w:rPr>
                <w:b/>
                <w:sz w:val="24"/>
              </w:rPr>
              <w:t>Revenue</w:t>
            </w:r>
          </w:p>
        </w:tc>
        <w:tc>
          <w:tcPr>
            <w:tcW w:w="1857" w:type="dxa"/>
            <w:tcBorders>
              <w:top w:val="nil"/>
              <w:bottom w:val="nil"/>
            </w:tcBorders>
            <w:shd w:val="clear" w:color="000000" w:fill="BFBFBF"/>
            <w:vAlign w:val="center"/>
            <w:hideMark/>
          </w:tcPr>
          <w:p w14:paraId="3D5E60D4" w14:textId="77777777" w:rsidR="00615463" w:rsidRPr="00D955E8" w:rsidRDefault="00615463" w:rsidP="005D6E2B">
            <w:pPr>
              <w:pStyle w:val="Tabletext"/>
              <w:spacing w:line="260" w:lineRule="exact"/>
              <w:rPr>
                <w:b/>
                <w:sz w:val="24"/>
              </w:rPr>
            </w:pPr>
            <w:r w:rsidRPr="00D955E8">
              <w:rPr>
                <w:b/>
                <w:sz w:val="24"/>
              </w:rPr>
              <w:t> </w:t>
            </w:r>
          </w:p>
        </w:tc>
        <w:tc>
          <w:tcPr>
            <w:tcW w:w="975" w:type="dxa"/>
            <w:tcBorders>
              <w:top w:val="nil"/>
              <w:bottom w:val="nil"/>
            </w:tcBorders>
            <w:shd w:val="clear" w:color="000000" w:fill="BFBFBF"/>
            <w:vAlign w:val="center"/>
            <w:hideMark/>
          </w:tcPr>
          <w:p w14:paraId="68B56F31" w14:textId="77777777" w:rsidR="00615463" w:rsidRPr="00D955E8" w:rsidRDefault="00615463" w:rsidP="005D6E2B">
            <w:pPr>
              <w:pStyle w:val="Tabletext"/>
              <w:spacing w:line="260" w:lineRule="exact"/>
              <w:jc w:val="center"/>
              <w:rPr>
                <w:b/>
                <w:sz w:val="24"/>
              </w:rPr>
            </w:pPr>
          </w:p>
        </w:tc>
        <w:tc>
          <w:tcPr>
            <w:tcW w:w="666" w:type="dxa"/>
            <w:tcBorders>
              <w:top w:val="nil"/>
              <w:bottom w:val="nil"/>
            </w:tcBorders>
            <w:shd w:val="clear" w:color="000000" w:fill="BFBFBF"/>
            <w:vAlign w:val="center"/>
            <w:hideMark/>
          </w:tcPr>
          <w:p w14:paraId="1377A443" w14:textId="77777777" w:rsidR="00615463" w:rsidRPr="00D955E8" w:rsidRDefault="00615463" w:rsidP="005D6E2B">
            <w:pPr>
              <w:pStyle w:val="Tabletext"/>
              <w:spacing w:line="260" w:lineRule="exact"/>
              <w:jc w:val="center"/>
              <w:rPr>
                <w:b/>
                <w:sz w:val="24"/>
              </w:rPr>
            </w:pPr>
          </w:p>
        </w:tc>
        <w:tc>
          <w:tcPr>
            <w:tcW w:w="666" w:type="dxa"/>
            <w:tcBorders>
              <w:top w:val="nil"/>
              <w:bottom w:val="nil"/>
            </w:tcBorders>
            <w:shd w:val="clear" w:color="000000" w:fill="BFBFBF"/>
            <w:vAlign w:val="center"/>
            <w:hideMark/>
          </w:tcPr>
          <w:p w14:paraId="6FE562AC" w14:textId="77777777" w:rsidR="00615463" w:rsidRPr="00D955E8" w:rsidRDefault="00615463" w:rsidP="005D6E2B">
            <w:pPr>
              <w:pStyle w:val="Tabletext"/>
              <w:spacing w:line="260" w:lineRule="exact"/>
              <w:jc w:val="center"/>
              <w:rPr>
                <w:b/>
                <w:sz w:val="24"/>
              </w:rPr>
            </w:pPr>
          </w:p>
        </w:tc>
        <w:tc>
          <w:tcPr>
            <w:tcW w:w="666" w:type="dxa"/>
            <w:tcBorders>
              <w:top w:val="nil"/>
              <w:bottom w:val="nil"/>
              <w:right w:val="nil"/>
            </w:tcBorders>
            <w:shd w:val="clear" w:color="000000" w:fill="BFBFBF"/>
            <w:vAlign w:val="center"/>
            <w:hideMark/>
          </w:tcPr>
          <w:p w14:paraId="4E075380" w14:textId="77777777" w:rsidR="00615463" w:rsidRPr="00D955E8" w:rsidRDefault="00615463" w:rsidP="005D6E2B">
            <w:pPr>
              <w:pStyle w:val="Tabletext"/>
              <w:spacing w:line="260" w:lineRule="exact"/>
              <w:jc w:val="center"/>
              <w:rPr>
                <w:b/>
                <w:sz w:val="24"/>
              </w:rPr>
            </w:pPr>
          </w:p>
        </w:tc>
      </w:tr>
      <w:tr w:rsidR="00615463" w:rsidRPr="00827D9D" w14:paraId="32A4C3B1"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4EEB7A2D" w14:textId="77777777" w:rsidR="00615463" w:rsidRPr="00827D9D" w:rsidRDefault="00615463" w:rsidP="005D6E2B">
            <w:pPr>
              <w:pStyle w:val="Tabletext"/>
              <w:spacing w:line="260" w:lineRule="exact"/>
              <w:rPr>
                <w:rFonts w:cs="Calibri"/>
              </w:rPr>
            </w:pPr>
            <w:r w:rsidRPr="00827D9D">
              <w:rPr>
                <w:rFonts w:cs="Calibri"/>
              </w:rPr>
              <w:t>1. Taxes on production and imports</w:t>
            </w:r>
          </w:p>
        </w:tc>
        <w:tc>
          <w:tcPr>
            <w:tcW w:w="1857" w:type="dxa"/>
            <w:tcBorders>
              <w:top w:val="nil"/>
              <w:left w:val="nil"/>
              <w:bottom w:val="single" w:sz="4" w:space="0" w:color="FFFFFF"/>
              <w:right w:val="nil"/>
            </w:tcBorders>
            <w:shd w:val="clear" w:color="000000" w:fill="F2F2F2"/>
            <w:vAlign w:val="center"/>
            <w:hideMark/>
          </w:tcPr>
          <w:p w14:paraId="3ABAE53E" w14:textId="77777777" w:rsidR="00615463" w:rsidRPr="00827D9D" w:rsidRDefault="00615463" w:rsidP="005D6E2B">
            <w:pPr>
              <w:pStyle w:val="Tabletext"/>
              <w:spacing w:line="260" w:lineRule="exact"/>
              <w:rPr>
                <w:rFonts w:cs="Calibri"/>
              </w:rPr>
            </w:pPr>
            <w:r w:rsidRPr="00827D9D">
              <w:rPr>
                <w:rFonts w:cs="Calibri"/>
              </w:rPr>
              <w:t>D.2</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2EF94DA5" w14:textId="77777777" w:rsidR="00615463" w:rsidRPr="00827D9D" w:rsidRDefault="00615463" w:rsidP="005D6E2B">
            <w:pPr>
              <w:pStyle w:val="Tabletext"/>
              <w:spacing w:line="260" w:lineRule="exact"/>
              <w:jc w:val="center"/>
              <w:rPr>
                <w:rFonts w:cs="Calibri"/>
              </w:rPr>
            </w:pPr>
            <w:r w:rsidRPr="00827D9D">
              <w:rPr>
                <w:rFonts w:cs="Calibri"/>
              </w:rPr>
              <w:t>40.0</w:t>
            </w:r>
          </w:p>
        </w:tc>
        <w:tc>
          <w:tcPr>
            <w:tcW w:w="666" w:type="dxa"/>
            <w:tcBorders>
              <w:top w:val="nil"/>
              <w:left w:val="nil"/>
              <w:bottom w:val="single" w:sz="4" w:space="0" w:color="FFFFFF"/>
              <w:right w:val="nil"/>
            </w:tcBorders>
            <w:shd w:val="clear" w:color="000000" w:fill="F2F2F2"/>
            <w:vAlign w:val="center"/>
            <w:hideMark/>
          </w:tcPr>
          <w:p w14:paraId="2D248FC7" w14:textId="77777777" w:rsidR="00615463" w:rsidRPr="00827D9D" w:rsidRDefault="00615463" w:rsidP="005D6E2B">
            <w:pPr>
              <w:pStyle w:val="Tabletext"/>
              <w:spacing w:line="260" w:lineRule="exact"/>
              <w:jc w:val="center"/>
              <w:rPr>
                <w:rFonts w:cs="Calibri"/>
              </w:rPr>
            </w:pPr>
            <w:r w:rsidRPr="00827D9D">
              <w:rPr>
                <w:rFonts w:cs="Calibri"/>
              </w:rPr>
              <w:t>16.9</w:t>
            </w:r>
          </w:p>
        </w:tc>
        <w:tc>
          <w:tcPr>
            <w:tcW w:w="666" w:type="dxa"/>
            <w:tcBorders>
              <w:top w:val="nil"/>
              <w:left w:val="nil"/>
              <w:bottom w:val="single" w:sz="4" w:space="0" w:color="FFFFFF"/>
              <w:right w:val="nil"/>
            </w:tcBorders>
            <w:shd w:val="clear" w:color="000000" w:fill="F2F2F2"/>
            <w:vAlign w:val="center"/>
            <w:hideMark/>
          </w:tcPr>
          <w:p w14:paraId="6EACA127" w14:textId="77777777" w:rsidR="00615463" w:rsidRPr="00827D9D" w:rsidRDefault="00615463" w:rsidP="005D6E2B">
            <w:pPr>
              <w:pStyle w:val="Tabletext"/>
              <w:spacing w:line="260" w:lineRule="exact"/>
              <w:jc w:val="center"/>
              <w:rPr>
                <w:rFonts w:cs="Calibri"/>
              </w:rPr>
            </w:pPr>
            <w:r w:rsidRPr="00827D9D">
              <w:rPr>
                <w:rFonts w:cs="Calibri"/>
              </w:rPr>
              <w:t>17.0</w:t>
            </w:r>
          </w:p>
        </w:tc>
        <w:tc>
          <w:tcPr>
            <w:tcW w:w="666" w:type="dxa"/>
            <w:tcBorders>
              <w:top w:val="nil"/>
              <w:left w:val="nil"/>
              <w:bottom w:val="single" w:sz="4" w:space="0" w:color="FFFFFF"/>
              <w:right w:val="nil"/>
            </w:tcBorders>
            <w:shd w:val="clear" w:color="000000" w:fill="F2F2F2"/>
            <w:vAlign w:val="center"/>
            <w:hideMark/>
          </w:tcPr>
          <w:p w14:paraId="6FAF4987" w14:textId="77777777" w:rsidR="00615463" w:rsidRPr="00827D9D" w:rsidRDefault="00615463" w:rsidP="005D6E2B">
            <w:pPr>
              <w:pStyle w:val="Tabletext"/>
              <w:spacing w:line="260" w:lineRule="exact"/>
              <w:jc w:val="center"/>
              <w:rPr>
                <w:rFonts w:cs="Calibri"/>
              </w:rPr>
            </w:pPr>
            <w:r w:rsidRPr="00827D9D">
              <w:rPr>
                <w:rFonts w:cs="Calibri"/>
              </w:rPr>
              <w:t>16.9</w:t>
            </w:r>
          </w:p>
        </w:tc>
      </w:tr>
      <w:tr w:rsidR="00615463" w:rsidRPr="00827D9D" w14:paraId="63BA0A1F" w14:textId="77777777" w:rsidTr="00222043">
        <w:trPr>
          <w:trHeight w:val="397"/>
          <w:jc w:val="center"/>
        </w:trPr>
        <w:tc>
          <w:tcPr>
            <w:tcW w:w="4111" w:type="dxa"/>
            <w:tcBorders>
              <w:top w:val="nil"/>
              <w:left w:val="nil"/>
              <w:bottom w:val="single" w:sz="4" w:space="0" w:color="FFFFFF"/>
              <w:right w:val="nil"/>
            </w:tcBorders>
            <w:shd w:val="clear" w:color="000000" w:fill="D9D9D9"/>
            <w:vAlign w:val="center"/>
            <w:hideMark/>
          </w:tcPr>
          <w:p w14:paraId="75F43CAE" w14:textId="77777777" w:rsidR="00615463" w:rsidRPr="00827D9D" w:rsidRDefault="00615463" w:rsidP="005D6E2B">
            <w:pPr>
              <w:pStyle w:val="Tabletext"/>
              <w:spacing w:line="260" w:lineRule="exact"/>
              <w:rPr>
                <w:rFonts w:cs="Calibri"/>
              </w:rPr>
            </w:pPr>
            <w:r w:rsidRPr="00827D9D">
              <w:rPr>
                <w:rFonts w:cs="Calibri"/>
              </w:rPr>
              <w:t>2. Current taxes on income, wealth, etc</w:t>
            </w:r>
          </w:p>
        </w:tc>
        <w:tc>
          <w:tcPr>
            <w:tcW w:w="1857" w:type="dxa"/>
            <w:tcBorders>
              <w:top w:val="nil"/>
              <w:left w:val="nil"/>
              <w:bottom w:val="single" w:sz="4" w:space="0" w:color="FFFFFF"/>
              <w:right w:val="nil"/>
            </w:tcBorders>
            <w:shd w:val="clear" w:color="000000" w:fill="D9D9D9"/>
            <w:vAlign w:val="center"/>
            <w:hideMark/>
          </w:tcPr>
          <w:p w14:paraId="35C8E82E" w14:textId="77777777" w:rsidR="00615463" w:rsidRPr="00827D9D" w:rsidRDefault="00615463" w:rsidP="005D6E2B">
            <w:pPr>
              <w:pStyle w:val="Tabletext"/>
              <w:spacing w:line="260" w:lineRule="exact"/>
              <w:rPr>
                <w:rFonts w:cs="Calibri"/>
              </w:rPr>
            </w:pPr>
            <w:r w:rsidRPr="00827D9D">
              <w:rPr>
                <w:rFonts w:cs="Calibri"/>
              </w:rPr>
              <w:t>D.5</w:t>
            </w:r>
          </w:p>
        </w:tc>
        <w:tc>
          <w:tcPr>
            <w:tcW w:w="975" w:type="dxa"/>
            <w:tcBorders>
              <w:top w:val="nil"/>
              <w:left w:val="single" w:sz="4" w:space="0" w:color="FFFFFF"/>
              <w:bottom w:val="single" w:sz="4" w:space="0" w:color="FFFFFF"/>
              <w:right w:val="single" w:sz="4" w:space="0" w:color="FFFFFF"/>
            </w:tcBorders>
            <w:shd w:val="clear" w:color="000000" w:fill="D9D9D9"/>
            <w:vAlign w:val="center"/>
            <w:hideMark/>
          </w:tcPr>
          <w:p w14:paraId="7780080C" w14:textId="77777777" w:rsidR="00615463" w:rsidRPr="00827D9D" w:rsidRDefault="00615463" w:rsidP="005D6E2B">
            <w:pPr>
              <w:pStyle w:val="Tabletext"/>
              <w:spacing w:line="260" w:lineRule="exact"/>
              <w:jc w:val="center"/>
              <w:rPr>
                <w:rFonts w:cs="Calibri"/>
              </w:rPr>
            </w:pPr>
            <w:r w:rsidRPr="00827D9D">
              <w:rPr>
                <w:rFonts w:cs="Calibri"/>
              </w:rPr>
              <w:t>26.4</w:t>
            </w:r>
          </w:p>
        </w:tc>
        <w:tc>
          <w:tcPr>
            <w:tcW w:w="666" w:type="dxa"/>
            <w:tcBorders>
              <w:top w:val="nil"/>
              <w:left w:val="nil"/>
              <w:bottom w:val="single" w:sz="4" w:space="0" w:color="FFFFFF"/>
              <w:right w:val="nil"/>
            </w:tcBorders>
            <w:shd w:val="clear" w:color="000000" w:fill="D9D9D9"/>
            <w:vAlign w:val="center"/>
            <w:hideMark/>
          </w:tcPr>
          <w:p w14:paraId="05C19E50" w14:textId="77777777" w:rsidR="00615463" w:rsidRPr="00827D9D" w:rsidRDefault="00615463" w:rsidP="005D6E2B">
            <w:pPr>
              <w:pStyle w:val="Tabletext"/>
              <w:spacing w:line="260" w:lineRule="exact"/>
              <w:jc w:val="center"/>
              <w:rPr>
                <w:rFonts w:cs="Calibri"/>
              </w:rPr>
            </w:pPr>
            <w:r w:rsidRPr="00827D9D">
              <w:rPr>
                <w:rFonts w:cs="Calibri"/>
              </w:rPr>
              <w:t>11.1</w:t>
            </w:r>
          </w:p>
        </w:tc>
        <w:tc>
          <w:tcPr>
            <w:tcW w:w="666" w:type="dxa"/>
            <w:tcBorders>
              <w:top w:val="nil"/>
              <w:left w:val="nil"/>
              <w:bottom w:val="single" w:sz="4" w:space="0" w:color="FFFFFF"/>
              <w:right w:val="nil"/>
            </w:tcBorders>
            <w:shd w:val="clear" w:color="000000" w:fill="D9D9D9"/>
            <w:vAlign w:val="center"/>
            <w:hideMark/>
          </w:tcPr>
          <w:p w14:paraId="6FE3108B" w14:textId="77777777" w:rsidR="00615463" w:rsidRPr="00827D9D" w:rsidRDefault="00615463" w:rsidP="005D6E2B">
            <w:pPr>
              <w:pStyle w:val="Tabletext"/>
              <w:spacing w:line="260" w:lineRule="exact"/>
              <w:jc w:val="center"/>
              <w:rPr>
                <w:rFonts w:cs="Calibri"/>
              </w:rPr>
            </w:pPr>
            <w:r w:rsidRPr="00827D9D">
              <w:rPr>
                <w:rFonts w:cs="Calibri"/>
              </w:rPr>
              <w:t>10.7</w:t>
            </w:r>
          </w:p>
        </w:tc>
        <w:tc>
          <w:tcPr>
            <w:tcW w:w="666" w:type="dxa"/>
            <w:tcBorders>
              <w:top w:val="nil"/>
              <w:left w:val="nil"/>
              <w:bottom w:val="single" w:sz="4" w:space="0" w:color="FFFFFF"/>
              <w:right w:val="nil"/>
            </w:tcBorders>
            <w:shd w:val="clear" w:color="000000" w:fill="D9D9D9"/>
            <w:vAlign w:val="center"/>
            <w:hideMark/>
          </w:tcPr>
          <w:p w14:paraId="74FE8826" w14:textId="77777777" w:rsidR="00615463" w:rsidRPr="00827D9D" w:rsidRDefault="00615463" w:rsidP="005D6E2B">
            <w:pPr>
              <w:pStyle w:val="Tabletext"/>
              <w:spacing w:line="260" w:lineRule="exact"/>
              <w:jc w:val="center"/>
              <w:rPr>
                <w:rFonts w:cs="Calibri"/>
              </w:rPr>
            </w:pPr>
            <w:r w:rsidRPr="00827D9D">
              <w:rPr>
                <w:rFonts w:cs="Calibri"/>
              </w:rPr>
              <w:t>11.1</w:t>
            </w:r>
          </w:p>
        </w:tc>
      </w:tr>
      <w:tr w:rsidR="00615463" w:rsidRPr="00827D9D" w14:paraId="289628C4"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73232BE3" w14:textId="77777777" w:rsidR="00615463" w:rsidRPr="00827D9D" w:rsidRDefault="00615463" w:rsidP="005D6E2B">
            <w:pPr>
              <w:pStyle w:val="Tabletext"/>
              <w:spacing w:line="260" w:lineRule="exact"/>
              <w:rPr>
                <w:rFonts w:cs="Calibri"/>
              </w:rPr>
            </w:pPr>
            <w:r w:rsidRPr="00827D9D">
              <w:rPr>
                <w:rFonts w:cs="Calibri"/>
              </w:rPr>
              <w:t>3. Social contributions</w:t>
            </w:r>
          </w:p>
        </w:tc>
        <w:tc>
          <w:tcPr>
            <w:tcW w:w="1857" w:type="dxa"/>
            <w:tcBorders>
              <w:top w:val="nil"/>
              <w:left w:val="nil"/>
              <w:bottom w:val="single" w:sz="4" w:space="0" w:color="FFFFFF"/>
              <w:right w:val="nil"/>
            </w:tcBorders>
            <w:shd w:val="clear" w:color="000000" w:fill="F2F2F2"/>
            <w:vAlign w:val="center"/>
            <w:hideMark/>
          </w:tcPr>
          <w:p w14:paraId="2757A17F" w14:textId="77777777" w:rsidR="00615463" w:rsidRPr="00827D9D" w:rsidRDefault="00615463" w:rsidP="005D6E2B">
            <w:pPr>
              <w:pStyle w:val="Tabletext"/>
              <w:spacing w:line="260" w:lineRule="exact"/>
              <w:rPr>
                <w:rFonts w:cs="Calibri"/>
              </w:rPr>
            </w:pPr>
            <w:r w:rsidRPr="00827D9D">
              <w:rPr>
                <w:rFonts w:cs="Calibri"/>
              </w:rPr>
              <w:t>D.61</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67DB4CB1" w14:textId="77777777" w:rsidR="00615463" w:rsidRPr="00827D9D" w:rsidRDefault="00615463" w:rsidP="005D6E2B">
            <w:pPr>
              <w:pStyle w:val="Tabletext"/>
              <w:spacing w:line="260" w:lineRule="exact"/>
              <w:jc w:val="center"/>
              <w:rPr>
                <w:rFonts w:cs="Calibri"/>
              </w:rPr>
            </w:pPr>
            <w:r w:rsidRPr="00827D9D">
              <w:rPr>
                <w:rFonts w:cs="Calibri"/>
              </w:rPr>
              <w:t>31.5</w:t>
            </w:r>
          </w:p>
        </w:tc>
        <w:tc>
          <w:tcPr>
            <w:tcW w:w="666" w:type="dxa"/>
            <w:tcBorders>
              <w:top w:val="nil"/>
              <w:left w:val="nil"/>
              <w:bottom w:val="single" w:sz="4" w:space="0" w:color="FFFFFF"/>
              <w:right w:val="nil"/>
            </w:tcBorders>
            <w:shd w:val="clear" w:color="000000" w:fill="F2F2F2"/>
            <w:vAlign w:val="center"/>
            <w:hideMark/>
          </w:tcPr>
          <w:p w14:paraId="631A0E0C" w14:textId="77777777" w:rsidR="00615463" w:rsidRPr="00827D9D" w:rsidRDefault="00615463" w:rsidP="005D6E2B">
            <w:pPr>
              <w:pStyle w:val="Tabletext"/>
              <w:spacing w:line="260" w:lineRule="exact"/>
              <w:jc w:val="center"/>
              <w:rPr>
                <w:rFonts w:cs="Calibri"/>
              </w:rPr>
            </w:pPr>
            <w:r w:rsidRPr="00827D9D">
              <w:rPr>
                <w:rFonts w:cs="Calibri"/>
              </w:rPr>
              <w:t>13.3</w:t>
            </w:r>
          </w:p>
        </w:tc>
        <w:tc>
          <w:tcPr>
            <w:tcW w:w="666" w:type="dxa"/>
            <w:tcBorders>
              <w:top w:val="nil"/>
              <w:left w:val="nil"/>
              <w:bottom w:val="single" w:sz="4" w:space="0" w:color="FFFFFF"/>
              <w:right w:val="nil"/>
            </w:tcBorders>
            <w:shd w:val="clear" w:color="000000" w:fill="F2F2F2"/>
            <w:vAlign w:val="center"/>
            <w:hideMark/>
          </w:tcPr>
          <w:p w14:paraId="7999C3D7" w14:textId="77777777" w:rsidR="00615463" w:rsidRPr="00827D9D" w:rsidRDefault="00615463" w:rsidP="005D6E2B">
            <w:pPr>
              <w:pStyle w:val="Tabletext"/>
              <w:spacing w:line="260" w:lineRule="exact"/>
              <w:jc w:val="center"/>
              <w:rPr>
                <w:rFonts w:cs="Calibri"/>
              </w:rPr>
            </w:pPr>
            <w:r w:rsidRPr="00827D9D">
              <w:rPr>
                <w:rFonts w:cs="Calibri"/>
              </w:rPr>
              <w:t>13.0</w:t>
            </w:r>
          </w:p>
        </w:tc>
        <w:tc>
          <w:tcPr>
            <w:tcW w:w="666" w:type="dxa"/>
            <w:tcBorders>
              <w:top w:val="nil"/>
              <w:left w:val="nil"/>
              <w:bottom w:val="single" w:sz="4" w:space="0" w:color="FFFFFF"/>
              <w:right w:val="nil"/>
            </w:tcBorders>
            <w:shd w:val="clear" w:color="000000" w:fill="F2F2F2"/>
            <w:vAlign w:val="center"/>
            <w:hideMark/>
          </w:tcPr>
          <w:p w14:paraId="1AFAF503" w14:textId="77777777" w:rsidR="00615463" w:rsidRPr="00827D9D" w:rsidRDefault="00615463" w:rsidP="005D6E2B">
            <w:pPr>
              <w:pStyle w:val="Tabletext"/>
              <w:spacing w:line="260" w:lineRule="exact"/>
              <w:jc w:val="center"/>
              <w:rPr>
                <w:rFonts w:cs="Calibri"/>
              </w:rPr>
            </w:pPr>
            <w:r w:rsidRPr="00827D9D">
              <w:rPr>
                <w:rFonts w:cs="Calibri"/>
              </w:rPr>
              <w:t>12.9</w:t>
            </w:r>
          </w:p>
        </w:tc>
      </w:tr>
      <w:tr w:rsidR="00615463" w:rsidRPr="00827D9D" w14:paraId="36F1FA25" w14:textId="77777777" w:rsidTr="00222043">
        <w:trPr>
          <w:trHeight w:val="397"/>
          <w:jc w:val="center"/>
        </w:trPr>
        <w:tc>
          <w:tcPr>
            <w:tcW w:w="4111" w:type="dxa"/>
            <w:tcBorders>
              <w:top w:val="nil"/>
              <w:left w:val="nil"/>
              <w:bottom w:val="single" w:sz="4" w:space="0" w:color="FFFFFF"/>
              <w:right w:val="nil"/>
            </w:tcBorders>
            <w:shd w:val="clear" w:color="000000" w:fill="D9D9D9"/>
            <w:vAlign w:val="center"/>
            <w:hideMark/>
          </w:tcPr>
          <w:p w14:paraId="23A6B548" w14:textId="77777777" w:rsidR="00615463" w:rsidRPr="00827D9D" w:rsidRDefault="00615463" w:rsidP="005D6E2B">
            <w:pPr>
              <w:pStyle w:val="Tabletext"/>
              <w:spacing w:line="260" w:lineRule="exact"/>
              <w:rPr>
                <w:rFonts w:cs="Calibri"/>
              </w:rPr>
            </w:pPr>
            <w:r w:rsidRPr="00827D9D">
              <w:rPr>
                <w:rFonts w:cs="Calibri"/>
              </w:rPr>
              <w:t>4. Other current revenue</w:t>
            </w:r>
          </w:p>
        </w:tc>
        <w:tc>
          <w:tcPr>
            <w:tcW w:w="1857" w:type="dxa"/>
            <w:tcBorders>
              <w:top w:val="nil"/>
              <w:left w:val="nil"/>
              <w:bottom w:val="single" w:sz="4" w:space="0" w:color="FFFFFF"/>
              <w:right w:val="nil"/>
            </w:tcBorders>
            <w:shd w:val="clear" w:color="000000" w:fill="D9D9D9"/>
            <w:vAlign w:val="center"/>
            <w:hideMark/>
          </w:tcPr>
          <w:p w14:paraId="4D8548F9" w14:textId="77777777" w:rsidR="00615463" w:rsidRPr="00827D9D" w:rsidRDefault="00615463" w:rsidP="005D6E2B">
            <w:pPr>
              <w:pStyle w:val="Tabletext"/>
              <w:spacing w:line="260" w:lineRule="exact"/>
              <w:rPr>
                <w:rFonts w:cs="Calibri"/>
              </w:rPr>
            </w:pPr>
            <w:r w:rsidRPr="00827D9D">
              <w:rPr>
                <w:rFonts w:cs="Calibri"/>
              </w:rPr>
              <w:t>(P.11+P.12+P.131) + D.39 + D.4 + D.7</w:t>
            </w:r>
          </w:p>
        </w:tc>
        <w:tc>
          <w:tcPr>
            <w:tcW w:w="975" w:type="dxa"/>
            <w:tcBorders>
              <w:top w:val="nil"/>
              <w:left w:val="single" w:sz="4" w:space="0" w:color="FFFFFF"/>
              <w:bottom w:val="single" w:sz="4" w:space="0" w:color="FFFFFF"/>
              <w:right w:val="single" w:sz="4" w:space="0" w:color="FFFFFF"/>
            </w:tcBorders>
            <w:shd w:val="clear" w:color="000000" w:fill="D9D9D9"/>
            <w:vAlign w:val="center"/>
            <w:hideMark/>
          </w:tcPr>
          <w:p w14:paraId="0D4D4CAE" w14:textId="77777777" w:rsidR="00615463" w:rsidRPr="00827D9D" w:rsidRDefault="00615463" w:rsidP="005D6E2B">
            <w:pPr>
              <w:pStyle w:val="Tabletext"/>
              <w:spacing w:line="260" w:lineRule="exact"/>
              <w:jc w:val="center"/>
              <w:rPr>
                <w:rFonts w:cs="Calibri"/>
              </w:rPr>
            </w:pPr>
            <w:r w:rsidRPr="00827D9D">
              <w:rPr>
                <w:rFonts w:cs="Calibri"/>
              </w:rPr>
              <w:t>13.2</w:t>
            </w:r>
          </w:p>
        </w:tc>
        <w:tc>
          <w:tcPr>
            <w:tcW w:w="666" w:type="dxa"/>
            <w:tcBorders>
              <w:top w:val="nil"/>
              <w:left w:val="nil"/>
              <w:bottom w:val="single" w:sz="4" w:space="0" w:color="FFFFFF"/>
              <w:right w:val="nil"/>
            </w:tcBorders>
            <w:shd w:val="clear" w:color="000000" w:fill="D9D9D9"/>
            <w:vAlign w:val="center"/>
            <w:hideMark/>
          </w:tcPr>
          <w:p w14:paraId="698368FA" w14:textId="77777777" w:rsidR="00615463" w:rsidRPr="00827D9D" w:rsidRDefault="00615463" w:rsidP="005D6E2B">
            <w:pPr>
              <w:pStyle w:val="Tabletext"/>
              <w:spacing w:line="260" w:lineRule="exact"/>
              <w:jc w:val="center"/>
              <w:rPr>
                <w:rFonts w:cs="Calibri"/>
              </w:rPr>
            </w:pPr>
            <w:r w:rsidRPr="00827D9D">
              <w:rPr>
                <w:rFonts w:cs="Calibri"/>
              </w:rPr>
              <w:t>5.6</w:t>
            </w:r>
          </w:p>
        </w:tc>
        <w:tc>
          <w:tcPr>
            <w:tcW w:w="666" w:type="dxa"/>
            <w:tcBorders>
              <w:top w:val="nil"/>
              <w:left w:val="nil"/>
              <w:bottom w:val="single" w:sz="4" w:space="0" w:color="FFFFFF"/>
              <w:right w:val="nil"/>
            </w:tcBorders>
            <w:shd w:val="clear" w:color="000000" w:fill="D9D9D9"/>
            <w:vAlign w:val="center"/>
            <w:hideMark/>
          </w:tcPr>
          <w:p w14:paraId="715F40BE" w14:textId="77777777" w:rsidR="00615463" w:rsidRPr="00827D9D" w:rsidRDefault="00615463" w:rsidP="005D6E2B">
            <w:pPr>
              <w:pStyle w:val="Tabletext"/>
              <w:spacing w:line="260" w:lineRule="exact"/>
              <w:jc w:val="center"/>
              <w:rPr>
                <w:rFonts w:cs="Calibri"/>
              </w:rPr>
            </w:pPr>
            <w:r w:rsidRPr="00827D9D">
              <w:rPr>
                <w:rFonts w:cs="Calibri"/>
              </w:rPr>
              <w:t>5.5</w:t>
            </w:r>
          </w:p>
        </w:tc>
        <w:tc>
          <w:tcPr>
            <w:tcW w:w="666" w:type="dxa"/>
            <w:tcBorders>
              <w:top w:val="nil"/>
              <w:left w:val="nil"/>
              <w:bottom w:val="single" w:sz="4" w:space="0" w:color="FFFFFF"/>
              <w:right w:val="nil"/>
            </w:tcBorders>
            <w:shd w:val="clear" w:color="000000" w:fill="D9D9D9"/>
            <w:vAlign w:val="center"/>
            <w:hideMark/>
          </w:tcPr>
          <w:p w14:paraId="6E43B7E0" w14:textId="77777777" w:rsidR="00615463" w:rsidRPr="00827D9D" w:rsidRDefault="00615463" w:rsidP="005D6E2B">
            <w:pPr>
              <w:pStyle w:val="Tabletext"/>
              <w:spacing w:line="260" w:lineRule="exact"/>
              <w:jc w:val="center"/>
              <w:rPr>
                <w:rFonts w:cs="Calibri"/>
              </w:rPr>
            </w:pPr>
            <w:r w:rsidRPr="00827D9D">
              <w:rPr>
                <w:rFonts w:cs="Calibri"/>
              </w:rPr>
              <w:t>4.9</w:t>
            </w:r>
          </w:p>
        </w:tc>
      </w:tr>
      <w:tr w:rsidR="00615463" w:rsidRPr="00827D9D" w14:paraId="68FDC6D1"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7C163B53" w14:textId="77777777" w:rsidR="00615463" w:rsidRPr="00827D9D" w:rsidRDefault="00615463" w:rsidP="005D6E2B">
            <w:pPr>
              <w:pStyle w:val="Tabletext"/>
              <w:spacing w:line="260" w:lineRule="exact"/>
              <w:rPr>
                <w:rFonts w:cs="Calibri"/>
              </w:rPr>
            </w:pPr>
            <w:r w:rsidRPr="00827D9D">
              <w:rPr>
                <w:rFonts w:cs="Calibri"/>
              </w:rPr>
              <w:t>5. Capital taxes</w:t>
            </w:r>
          </w:p>
        </w:tc>
        <w:tc>
          <w:tcPr>
            <w:tcW w:w="1857" w:type="dxa"/>
            <w:tcBorders>
              <w:top w:val="nil"/>
              <w:left w:val="nil"/>
              <w:bottom w:val="single" w:sz="4" w:space="0" w:color="FFFFFF"/>
              <w:right w:val="nil"/>
            </w:tcBorders>
            <w:shd w:val="clear" w:color="000000" w:fill="F2F2F2"/>
            <w:vAlign w:val="center"/>
            <w:hideMark/>
          </w:tcPr>
          <w:p w14:paraId="7BEECFD7" w14:textId="77777777" w:rsidR="00615463" w:rsidRPr="00827D9D" w:rsidRDefault="00615463" w:rsidP="005D6E2B">
            <w:pPr>
              <w:pStyle w:val="Tabletext"/>
              <w:spacing w:line="260" w:lineRule="exact"/>
              <w:rPr>
                <w:rFonts w:cs="Calibri"/>
              </w:rPr>
            </w:pPr>
            <w:r w:rsidRPr="00827D9D">
              <w:rPr>
                <w:rFonts w:cs="Calibri"/>
              </w:rPr>
              <w:t>D.91</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13A87281" w14:textId="77777777" w:rsidR="00615463" w:rsidRPr="00827D9D" w:rsidRDefault="00615463" w:rsidP="005D6E2B">
            <w:pPr>
              <w:pStyle w:val="Tabletext"/>
              <w:spacing w:line="260" w:lineRule="exact"/>
              <w:jc w:val="center"/>
              <w:rPr>
                <w:rFonts w:cs="Calibri"/>
              </w:rPr>
            </w:pPr>
            <w:r w:rsidRPr="00827D9D">
              <w:rPr>
                <w:rFonts w:cs="Calibri"/>
              </w:rPr>
              <w:t>0.3</w:t>
            </w:r>
          </w:p>
        </w:tc>
        <w:tc>
          <w:tcPr>
            <w:tcW w:w="666" w:type="dxa"/>
            <w:tcBorders>
              <w:top w:val="nil"/>
              <w:left w:val="nil"/>
              <w:bottom w:val="single" w:sz="4" w:space="0" w:color="FFFFFF"/>
              <w:right w:val="nil"/>
            </w:tcBorders>
            <w:shd w:val="clear" w:color="000000" w:fill="F2F2F2"/>
            <w:vAlign w:val="center"/>
            <w:hideMark/>
          </w:tcPr>
          <w:p w14:paraId="403D7B08" w14:textId="77777777" w:rsidR="00615463" w:rsidRPr="00827D9D" w:rsidRDefault="00615463" w:rsidP="005D6E2B">
            <w:pPr>
              <w:pStyle w:val="Tabletext"/>
              <w:spacing w:line="260" w:lineRule="exact"/>
              <w:jc w:val="center"/>
              <w:rPr>
                <w:rFonts w:cs="Calibri"/>
              </w:rPr>
            </w:pPr>
            <w:r w:rsidRPr="00827D9D">
              <w:rPr>
                <w:rFonts w:cs="Calibri"/>
              </w:rPr>
              <w:t>0.1</w:t>
            </w:r>
          </w:p>
        </w:tc>
        <w:tc>
          <w:tcPr>
            <w:tcW w:w="666" w:type="dxa"/>
            <w:tcBorders>
              <w:top w:val="nil"/>
              <w:left w:val="nil"/>
              <w:bottom w:val="single" w:sz="4" w:space="0" w:color="FFFFFF"/>
              <w:right w:val="nil"/>
            </w:tcBorders>
            <w:shd w:val="clear" w:color="000000" w:fill="F2F2F2"/>
            <w:vAlign w:val="center"/>
            <w:hideMark/>
          </w:tcPr>
          <w:p w14:paraId="11A5B647" w14:textId="77777777" w:rsidR="00615463" w:rsidRPr="00827D9D" w:rsidRDefault="00615463" w:rsidP="005D6E2B">
            <w:pPr>
              <w:pStyle w:val="Tabletext"/>
              <w:spacing w:line="260" w:lineRule="exact"/>
              <w:jc w:val="center"/>
              <w:rPr>
                <w:rFonts w:cs="Calibri"/>
              </w:rPr>
            </w:pPr>
            <w:r w:rsidRPr="00827D9D">
              <w:rPr>
                <w:rFonts w:cs="Calibri"/>
              </w:rPr>
              <w:t>0.1</w:t>
            </w:r>
          </w:p>
        </w:tc>
        <w:tc>
          <w:tcPr>
            <w:tcW w:w="666" w:type="dxa"/>
            <w:tcBorders>
              <w:top w:val="nil"/>
              <w:left w:val="nil"/>
              <w:bottom w:val="single" w:sz="4" w:space="0" w:color="FFFFFF"/>
              <w:right w:val="nil"/>
            </w:tcBorders>
            <w:shd w:val="clear" w:color="000000" w:fill="F2F2F2"/>
            <w:vAlign w:val="center"/>
            <w:hideMark/>
          </w:tcPr>
          <w:p w14:paraId="1D4E8980" w14:textId="77777777" w:rsidR="00615463" w:rsidRPr="00827D9D" w:rsidRDefault="00615463" w:rsidP="005D6E2B">
            <w:pPr>
              <w:pStyle w:val="Tabletext"/>
              <w:spacing w:line="260" w:lineRule="exact"/>
              <w:jc w:val="center"/>
              <w:rPr>
                <w:rFonts w:cs="Calibri"/>
              </w:rPr>
            </w:pPr>
            <w:r w:rsidRPr="00827D9D">
              <w:rPr>
                <w:rFonts w:cs="Calibri"/>
              </w:rPr>
              <w:t>0.1</w:t>
            </w:r>
          </w:p>
        </w:tc>
      </w:tr>
      <w:tr w:rsidR="00615463" w:rsidRPr="00827D9D" w14:paraId="614C1A3B" w14:textId="77777777" w:rsidTr="00222043">
        <w:trPr>
          <w:trHeight w:val="397"/>
          <w:jc w:val="center"/>
        </w:trPr>
        <w:tc>
          <w:tcPr>
            <w:tcW w:w="4111" w:type="dxa"/>
            <w:tcBorders>
              <w:top w:val="nil"/>
              <w:left w:val="nil"/>
              <w:bottom w:val="single" w:sz="4" w:space="0" w:color="FFFFFF"/>
              <w:right w:val="nil"/>
            </w:tcBorders>
            <w:shd w:val="clear" w:color="000000" w:fill="D9D9D9"/>
            <w:vAlign w:val="center"/>
            <w:hideMark/>
          </w:tcPr>
          <w:p w14:paraId="6AC13F87" w14:textId="77777777" w:rsidR="00615463" w:rsidRPr="00827D9D" w:rsidRDefault="00615463" w:rsidP="005D6E2B">
            <w:pPr>
              <w:pStyle w:val="Tabletext"/>
              <w:spacing w:line="260" w:lineRule="exact"/>
              <w:rPr>
                <w:rFonts w:cs="Calibri"/>
              </w:rPr>
            </w:pPr>
            <w:r w:rsidRPr="00827D9D">
              <w:rPr>
                <w:rFonts w:cs="Calibri"/>
              </w:rPr>
              <w:t>6. Other capital revenue</w:t>
            </w:r>
          </w:p>
        </w:tc>
        <w:tc>
          <w:tcPr>
            <w:tcW w:w="1857" w:type="dxa"/>
            <w:tcBorders>
              <w:top w:val="nil"/>
              <w:left w:val="nil"/>
              <w:bottom w:val="single" w:sz="4" w:space="0" w:color="FFFFFF"/>
              <w:right w:val="nil"/>
            </w:tcBorders>
            <w:shd w:val="clear" w:color="000000" w:fill="D9D9D9"/>
            <w:vAlign w:val="center"/>
            <w:hideMark/>
          </w:tcPr>
          <w:p w14:paraId="12AF04B3" w14:textId="77777777" w:rsidR="00615463" w:rsidRPr="00827D9D" w:rsidRDefault="00615463" w:rsidP="005D6E2B">
            <w:pPr>
              <w:pStyle w:val="Tabletext"/>
              <w:spacing w:line="260" w:lineRule="exact"/>
              <w:rPr>
                <w:rFonts w:cs="Calibri"/>
              </w:rPr>
            </w:pPr>
            <w:r w:rsidRPr="00827D9D">
              <w:rPr>
                <w:rFonts w:cs="Calibri"/>
              </w:rPr>
              <w:t>D.92+D.99</w:t>
            </w:r>
          </w:p>
        </w:tc>
        <w:tc>
          <w:tcPr>
            <w:tcW w:w="975" w:type="dxa"/>
            <w:tcBorders>
              <w:top w:val="nil"/>
              <w:left w:val="single" w:sz="4" w:space="0" w:color="FFFFFF"/>
              <w:bottom w:val="single" w:sz="4" w:space="0" w:color="FFFFFF"/>
              <w:right w:val="single" w:sz="4" w:space="0" w:color="FFFFFF"/>
            </w:tcBorders>
            <w:shd w:val="clear" w:color="000000" w:fill="D9D9D9"/>
            <w:vAlign w:val="center"/>
            <w:hideMark/>
          </w:tcPr>
          <w:p w14:paraId="5F53F4A8" w14:textId="77777777" w:rsidR="00615463" w:rsidRPr="00827D9D" w:rsidRDefault="00615463" w:rsidP="005D6E2B">
            <w:pPr>
              <w:pStyle w:val="Tabletext"/>
              <w:spacing w:line="260" w:lineRule="exact"/>
              <w:jc w:val="center"/>
              <w:rPr>
                <w:rFonts w:cs="Calibri"/>
              </w:rPr>
            </w:pPr>
            <w:r w:rsidRPr="00827D9D">
              <w:rPr>
                <w:rFonts w:cs="Calibri"/>
              </w:rPr>
              <w:t>6.0</w:t>
            </w:r>
          </w:p>
        </w:tc>
        <w:tc>
          <w:tcPr>
            <w:tcW w:w="666" w:type="dxa"/>
            <w:tcBorders>
              <w:top w:val="nil"/>
              <w:left w:val="nil"/>
              <w:bottom w:val="single" w:sz="4" w:space="0" w:color="FFFFFF"/>
              <w:right w:val="nil"/>
            </w:tcBorders>
            <w:shd w:val="clear" w:color="000000" w:fill="D9D9D9"/>
            <w:vAlign w:val="center"/>
            <w:hideMark/>
          </w:tcPr>
          <w:p w14:paraId="32DDC2A0" w14:textId="77777777" w:rsidR="00615463" w:rsidRPr="00827D9D" w:rsidRDefault="00615463" w:rsidP="005D6E2B">
            <w:pPr>
              <w:pStyle w:val="Tabletext"/>
              <w:spacing w:line="260" w:lineRule="exact"/>
              <w:jc w:val="center"/>
              <w:rPr>
                <w:rFonts w:cs="Calibri"/>
              </w:rPr>
            </w:pPr>
            <w:r w:rsidRPr="00827D9D">
              <w:rPr>
                <w:rFonts w:cs="Calibri"/>
              </w:rPr>
              <w:t>2.5</w:t>
            </w:r>
          </w:p>
        </w:tc>
        <w:tc>
          <w:tcPr>
            <w:tcW w:w="666" w:type="dxa"/>
            <w:tcBorders>
              <w:top w:val="nil"/>
              <w:left w:val="nil"/>
              <w:bottom w:val="single" w:sz="4" w:space="0" w:color="FFFFFF"/>
              <w:right w:val="nil"/>
            </w:tcBorders>
            <w:shd w:val="clear" w:color="000000" w:fill="D9D9D9"/>
            <w:vAlign w:val="center"/>
            <w:hideMark/>
          </w:tcPr>
          <w:p w14:paraId="008035B1" w14:textId="77777777" w:rsidR="00615463" w:rsidRPr="00827D9D" w:rsidRDefault="00615463" w:rsidP="005D6E2B">
            <w:pPr>
              <w:pStyle w:val="Tabletext"/>
              <w:spacing w:line="260" w:lineRule="exact"/>
              <w:jc w:val="center"/>
              <w:rPr>
                <w:rFonts w:cs="Calibri"/>
              </w:rPr>
            </w:pPr>
            <w:r w:rsidRPr="00827D9D">
              <w:rPr>
                <w:rFonts w:cs="Calibri"/>
              </w:rPr>
              <w:t>2.9</w:t>
            </w:r>
          </w:p>
        </w:tc>
        <w:tc>
          <w:tcPr>
            <w:tcW w:w="666" w:type="dxa"/>
            <w:tcBorders>
              <w:top w:val="nil"/>
              <w:left w:val="nil"/>
              <w:bottom w:val="single" w:sz="4" w:space="0" w:color="FFFFFF"/>
              <w:right w:val="nil"/>
            </w:tcBorders>
            <w:shd w:val="clear" w:color="000000" w:fill="D9D9D9"/>
            <w:vAlign w:val="center"/>
            <w:hideMark/>
          </w:tcPr>
          <w:p w14:paraId="5198784E" w14:textId="77777777" w:rsidR="00615463" w:rsidRPr="00827D9D" w:rsidRDefault="00615463" w:rsidP="005D6E2B">
            <w:pPr>
              <w:pStyle w:val="Tabletext"/>
              <w:spacing w:line="260" w:lineRule="exact"/>
              <w:jc w:val="center"/>
              <w:rPr>
                <w:rFonts w:cs="Calibri"/>
              </w:rPr>
            </w:pPr>
            <w:r w:rsidRPr="00827D9D">
              <w:rPr>
                <w:rFonts w:cs="Calibri"/>
              </w:rPr>
              <w:t>4.3</w:t>
            </w:r>
          </w:p>
        </w:tc>
      </w:tr>
      <w:tr w:rsidR="00615463" w:rsidRPr="00827D9D" w14:paraId="1A26FBD4" w14:textId="77777777" w:rsidTr="00222043">
        <w:trPr>
          <w:trHeight w:val="397"/>
          <w:jc w:val="center"/>
        </w:trPr>
        <w:tc>
          <w:tcPr>
            <w:tcW w:w="4111" w:type="dxa"/>
            <w:tcBorders>
              <w:top w:val="nil"/>
              <w:left w:val="nil"/>
              <w:right w:val="nil"/>
            </w:tcBorders>
            <w:shd w:val="clear" w:color="000000" w:fill="F2F2F2"/>
            <w:vAlign w:val="center"/>
            <w:hideMark/>
          </w:tcPr>
          <w:p w14:paraId="3F974331" w14:textId="77777777" w:rsidR="00615463" w:rsidRPr="00827D9D" w:rsidRDefault="00615463" w:rsidP="005D6E2B">
            <w:pPr>
              <w:pStyle w:val="Tabletext"/>
              <w:spacing w:line="260" w:lineRule="exact"/>
              <w:rPr>
                <w:rFonts w:cs="Calibri"/>
              </w:rPr>
            </w:pPr>
            <w:r w:rsidRPr="00827D9D">
              <w:rPr>
                <w:rFonts w:cs="Calibri"/>
              </w:rPr>
              <w:t>7. Total revenue (= 1+2+3+4+5+6)</w:t>
            </w:r>
          </w:p>
        </w:tc>
        <w:tc>
          <w:tcPr>
            <w:tcW w:w="1857" w:type="dxa"/>
            <w:tcBorders>
              <w:top w:val="nil"/>
              <w:left w:val="nil"/>
              <w:right w:val="nil"/>
            </w:tcBorders>
            <w:shd w:val="clear" w:color="000000" w:fill="F2F2F2"/>
            <w:vAlign w:val="center"/>
            <w:hideMark/>
          </w:tcPr>
          <w:p w14:paraId="28F98F03" w14:textId="77777777" w:rsidR="00615463" w:rsidRPr="00827D9D" w:rsidRDefault="00615463" w:rsidP="005D6E2B">
            <w:pPr>
              <w:pStyle w:val="Tabletext"/>
              <w:spacing w:line="260" w:lineRule="exact"/>
              <w:rPr>
                <w:rFonts w:cs="Calibri"/>
              </w:rPr>
            </w:pPr>
            <w:r w:rsidRPr="00827D9D">
              <w:rPr>
                <w:rFonts w:cs="Calibri"/>
              </w:rPr>
              <w:t>TR</w:t>
            </w:r>
          </w:p>
        </w:tc>
        <w:tc>
          <w:tcPr>
            <w:tcW w:w="975" w:type="dxa"/>
            <w:tcBorders>
              <w:top w:val="nil"/>
              <w:left w:val="single" w:sz="4" w:space="0" w:color="FFFFFF"/>
              <w:right w:val="single" w:sz="4" w:space="0" w:color="FFFFFF"/>
            </w:tcBorders>
            <w:shd w:val="clear" w:color="000000" w:fill="F2F2F2"/>
            <w:vAlign w:val="center"/>
            <w:hideMark/>
          </w:tcPr>
          <w:p w14:paraId="08F02243" w14:textId="77777777" w:rsidR="00615463" w:rsidRPr="00827D9D" w:rsidRDefault="00615463" w:rsidP="005D6E2B">
            <w:pPr>
              <w:pStyle w:val="Tabletext"/>
              <w:spacing w:line="260" w:lineRule="exact"/>
              <w:jc w:val="center"/>
              <w:rPr>
                <w:rFonts w:cs="Calibri"/>
              </w:rPr>
            </w:pPr>
            <w:r w:rsidRPr="00827D9D">
              <w:rPr>
                <w:rFonts w:cs="Calibri"/>
              </w:rPr>
              <w:t>117.4</w:t>
            </w:r>
          </w:p>
        </w:tc>
        <w:tc>
          <w:tcPr>
            <w:tcW w:w="666" w:type="dxa"/>
            <w:tcBorders>
              <w:top w:val="nil"/>
              <w:left w:val="nil"/>
              <w:right w:val="nil"/>
            </w:tcBorders>
            <w:shd w:val="clear" w:color="000000" w:fill="F2F2F2"/>
            <w:vAlign w:val="center"/>
            <w:hideMark/>
          </w:tcPr>
          <w:p w14:paraId="7F5F1258" w14:textId="77777777" w:rsidR="00615463" w:rsidRPr="00827D9D" w:rsidRDefault="00615463" w:rsidP="005D6E2B">
            <w:pPr>
              <w:pStyle w:val="Tabletext"/>
              <w:spacing w:line="260" w:lineRule="exact"/>
              <w:jc w:val="center"/>
              <w:rPr>
                <w:rFonts w:cs="Calibri"/>
              </w:rPr>
            </w:pPr>
            <w:r w:rsidRPr="00827D9D">
              <w:rPr>
                <w:rFonts w:cs="Calibri"/>
              </w:rPr>
              <w:t>49.4</w:t>
            </w:r>
          </w:p>
        </w:tc>
        <w:tc>
          <w:tcPr>
            <w:tcW w:w="666" w:type="dxa"/>
            <w:tcBorders>
              <w:top w:val="nil"/>
              <w:left w:val="nil"/>
              <w:right w:val="nil"/>
            </w:tcBorders>
            <w:shd w:val="clear" w:color="000000" w:fill="F2F2F2"/>
            <w:vAlign w:val="center"/>
            <w:hideMark/>
          </w:tcPr>
          <w:p w14:paraId="7D4FA809" w14:textId="77777777" w:rsidR="00615463" w:rsidRPr="00827D9D" w:rsidRDefault="00615463" w:rsidP="005D6E2B">
            <w:pPr>
              <w:pStyle w:val="Tabletext"/>
              <w:spacing w:line="260" w:lineRule="exact"/>
              <w:jc w:val="center"/>
              <w:rPr>
                <w:rFonts w:cs="Calibri"/>
              </w:rPr>
            </w:pPr>
            <w:r w:rsidRPr="00827D9D">
              <w:rPr>
                <w:rFonts w:cs="Calibri"/>
              </w:rPr>
              <w:t>49.2</w:t>
            </w:r>
          </w:p>
        </w:tc>
        <w:tc>
          <w:tcPr>
            <w:tcW w:w="666" w:type="dxa"/>
            <w:tcBorders>
              <w:top w:val="nil"/>
              <w:left w:val="nil"/>
              <w:right w:val="nil"/>
            </w:tcBorders>
            <w:shd w:val="clear" w:color="000000" w:fill="F2F2F2"/>
            <w:vAlign w:val="center"/>
            <w:hideMark/>
          </w:tcPr>
          <w:p w14:paraId="73EE5B06" w14:textId="77777777" w:rsidR="00615463" w:rsidRPr="00827D9D" w:rsidRDefault="00615463" w:rsidP="005D6E2B">
            <w:pPr>
              <w:pStyle w:val="Tabletext"/>
              <w:spacing w:line="260" w:lineRule="exact"/>
              <w:jc w:val="center"/>
              <w:rPr>
                <w:rFonts w:cs="Calibri"/>
              </w:rPr>
            </w:pPr>
            <w:r w:rsidRPr="00827D9D">
              <w:rPr>
                <w:rFonts w:cs="Calibri"/>
              </w:rPr>
              <w:t>50.2</w:t>
            </w:r>
          </w:p>
        </w:tc>
      </w:tr>
      <w:tr w:rsidR="00615463" w:rsidRPr="00D955E8" w14:paraId="1A3743DC" w14:textId="77777777" w:rsidTr="00222043">
        <w:trPr>
          <w:trHeight w:val="628"/>
          <w:jc w:val="center"/>
        </w:trPr>
        <w:tc>
          <w:tcPr>
            <w:tcW w:w="4111" w:type="dxa"/>
            <w:tcBorders>
              <w:top w:val="nil"/>
              <w:left w:val="nil"/>
              <w:bottom w:val="nil"/>
            </w:tcBorders>
            <w:shd w:val="clear" w:color="000000" w:fill="BFBFBF"/>
            <w:vAlign w:val="center"/>
            <w:hideMark/>
          </w:tcPr>
          <w:p w14:paraId="6497B739" w14:textId="77777777" w:rsidR="00615463" w:rsidRPr="00D955E8" w:rsidRDefault="00615463" w:rsidP="005D6E2B">
            <w:pPr>
              <w:pStyle w:val="Tabletext"/>
              <w:spacing w:line="260" w:lineRule="exact"/>
              <w:rPr>
                <w:b/>
                <w:sz w:val="24"/>
              </w:rPr>
            </w:pPr>
            <w:r w:rsidRPr="00D955E8">
              <w:rPr>
                <w:b/>
                <w:sz w:val="24"/>
              </w:rPr>
              <w:t>Expenditure</w:t>
            </w:r>
          </w:p>
        </w:tc>
        <w:tc>
          <w:tcPr>
            <w:tcW w:w="1857" w:type="dxa"/>
            <w:tcBorders>
              <w:top w:val="nil"/>
              <w:bottom w:val="nil"/>
            </w:tcBorders>
            <w:shd w:val="clear" w:color="000000" w:fill="BFBFBF"/>
            <w:vAlign w:val="center"/>
            <w:hideMark/>
          </w:tcPr>
          <w:p w14:paraId="2B5D034A" w14:textId="77777777" w:rsidR="00615463" w:rsidRPr="00D955E8" w:rsidRDefault="00615463" w:rsidP="005D6E2B">
            <w:pPr>
              <w:pStyle w:val="Tabletext"/>
              <w:spacing w:line="260" w:lineRule="exact"/>
              <w:rPr>
                <w:b/>
                <w:sz w:val="24"/>
              </w:rPr>
            </w:pPr>
            <w:r w:rsidRPr="00D955E8">
              <w:rPr>
                <w:b/>
                <w:sz w:val="24"/>
              </w:rPr>
              <w:t> </w:t>
            </w:r>
          </w:p>
        </w:tc>
        <w:tc>
          <w:tcPr>
            <w:tcW w:w="975" w:type="dxa"/>
            <w:tcBorders>
              <w:top w:val="nil"/>
              <w:bottom w:val="nil"/>
            </w:tcBorders>
            <w:shd w:val="clear" w:color="000000" w:fill="BFBFBF"/>
            <w:vAlign w:val="center"/>
            <w:hideMark/>
          </w:tcPr>
          <w:p w14:paraId="2A53F1D8" w14:textId="77777777" w:rsidR="00615463" w:rsidRPr="00D955E8" w:rsidRDefault="00615463" w:rsidP="005D6E2B">
            <w:pPr>
              <w:pStyle w:val="Tabletext"/>
              <w:spacing w:line="260" w:lineRule="exact"/>
              <w:jc w:val="center"/>
              <w:rPr>
                <w:b/>
                <w:sz w:val="24"/>
              </w:rPr>
            </w:pPr>
          </w:p>
        </w:tc>
        <w:tc>
          <w:tcPr>
            <w:tcW w:w="666" w:type="dxa"/>
            <w:tcBorders>
              <w:top w:val="nil"/>
              <w:bottom w:val="nil"/>
            </w:tcBorders>
            <w:shd w:val="clear" w:color="000000" w:fill="BFBFBF"/>
            <w:vAlign w:val="center"/>
            <w:hideMark/>
          </w:tcPr>
          <w:p w14:paraId="7171BBA4" w14:textId="77777777" w:rsidR="00615463" w:rsidRPr="00D955E8" w:rsidRDefault="00615463" w:rsidP="005D6E2B">
            <w:pPr>
              <w:pStyle w:val="Tabletext"/>
              <w:spacing w:line="260" w:lineRule="exact"/>
              <w:jc w:val="center"/>
              <w:rPr>
                <w:b/>
                <w:sz w:val="24"/>
              </w:rPr>
            </w:pPr>
          </w:p>
        </w:tc>
        <w:tc>
          <w:tcPr>
            <w:tcW w:w="666" w:type="dxa"/>
            <w:tcBorders>
              <w:top w:val="nil"/>
              <w:bottom w:val="nil"/>
            </w:tcBorders>
            <w:shd w:val="clear" w:color="000000" w:fill="BFBFBF"/>
            <w:vAlign w:val="center"/>
            <w:hideMark/>
          </w:tcPr>
          <w:p w14:paraId="33386A0E" w14:textId="77777777" w:rsidR="00615463" w:rsidRPr="00D955E8" w:rsidRDefault="00615463" w:rsidP="005D6E2B">
            <w:pPr>
              <w:pStyle w:val="Tabletext"/>
              <w:spacing w:line="260" w:lineRule="exact"/>
              <w:jc w:val="center"/>
              <w:rPr>
                <w:b/>
                <w:sz w:val="24"/>
              </w:rPr>
            </w:pPr>
          </w:p>
        </w:tc>
        <w:tc>
          <w:tcPr>
            <w:tcW w:w="666" w:type="dxa"/>
            <w:tcBorders>
              <w:top w:val="nil"/>
              <w:bottom w:val="nil"/>
              <w:right w:val="nil"/>
            </w:tcBorders>
            <w:shd w:val="clear" w:color="000000" w:fill="BFBFBF"/>
            <w:vAlign w:val="center"/>
            <w:hideMark/>
          </w:tcPr>
          <w:p w14:paraId="16496F15" w14:textId="77777777" w:rsidR="00615463" w:rsidRPr="00D955E8" w:rsidRDefault="00615463" w:rsidP="005D6E2B">
            <w:pPr>
              <w:pStyle w:val="Tabletext"/>
              <w:spacing w:line="260" w:lineRule="exact"/>
              <w:jc w:val="center"/>
              <w:rPr>
                <w:b/>
                <w:sz w:val="24"/>
              </w:rPr>
            </w:pPr>
          </w:p>
        </w:tc>
      </w:tr>
      <w:tr w:rsidR="00615463" w:rsidRPr="00827D9D" w14:paraId="59FC413E"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5533107C" w14:textId="77777777" w:rsidR="00615463" w:rsidRPr="00827D9D" w:rsidRDefault="00615463" w:rsidP="005D6E2B">
            <w:pPr>
              <w:pStyle w:val="Tabletext"/>
              <w:spacing w:line="260" w:lineRule="exact"/>
              <w:rPr>
                <w:rFonts w:cs="Calibri"/>
              </w:rPr>
            </w:pPr>
            <w:r w:rsidRPr="00827D9D">
              <w:rPr>
                <w:rFonts w:cs="Calibri"/>
              </w:rPr>
              <w:t>8. Compensation of employees</w:t>
            </w:r>
          </w:p>
        </w:tc>
        <w:tc>
          <w:tcPr>
            <w:tcW w:w="1857" w:type="dxa"/>
            <w:tcBorders>
              <w:top w:val="nil"/>
              <w:left w:val="nil"/>
              <w:bottom w:val="single" w:sz="4" w:space="0" w:color="FFFFFF"/>
              <w:right w:val="nil"/>
            </w:tcBorders>
            <w:shd w:val="clear" w:color="000000" w:fill="F2F2F2"/>
            <w:vAlign w:val="center"/>
            <w:hideMark/>
          </w:tcPr>
          <w:p w14:paraId="230C3C6A" w14:textId="77777777" w:rsidR="00615463" w:rsidRPr="00827D9D" w:rsidRDefault="00615463" w:rsidP="005D6E2B">
            <w:pPr>
              <w:pStyle w:val="Tabletext"/>
              <w:spacing w:line="260" w:lineRule="exact"/>
              <w:rPr>
                <w:rFonts w:cs="Calibri"/>
              </w:rPr>
            </w:pPr>
            <w:r w:rsidRPr="00827D9D">
              <w:rPr>
                <w:rFonts w:cs="Calibri"/>
              </w:rPr>
              <w:t>D.1</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27768068" w14:textId="77777777" w:rsidR="00615463" w:rsidRPr="00827D9D" w:rsidRDefault="00615463" w:rsidP="005D6E2B">
            <w:pPr>
              <w:pStyle w:val="Tabletext"/>
              <w:spacing w:line="260" w:lineRule="exact"/>
              <w:jc w:val="center"/>
              <w:rPr>
                <w:rFonts w:cs="Calibri"/>
              </w:rPr>
            </w:pPr>
            <w:r w:rsidRPr="00827D9D">
              <w:rPr>
                <w:rFonts w:cs="Calibri"/>
              </w:rPr>
              <w:t>24.5</w:t>
            </w:r>
          </w:p>
        </w:tc>
        <w:tc>
          <w:tcPr>
            <w:tcW w:w="666" w:type="dxa"/>
            <w:tcBorders>
              <w:top w:val="nil"/>
              <w:left w:val="nil"/>
              <w:bottom w:val="single" w:sz="4" w:space="0" w:color="FFFFFF"/>
              <w:right w:val="nil"/>
            </w:tcBorders>
            <w:shd w:val="clear" w:color="000000" w:fill="F2F2F2"/>
            <w:vAlign w:val="center"/>
            <w:hideMark/>
          </w:tcPr>
          <w:p w14:paraId="0828DDB7" w14:textId="77777777" w:rsidR="00615463" w:rsidRPr="00827D9D" w:rsidRDefault="00615463" w:rsidP="005D6E2B">
            <w:pPr>
              <w:pStyle w:val="Tabletext"/>
              <w:spacing w:line="260" w:lineRule="exact"/>
              <w:jc w:val="center"/>
              <w:rPr>
                <w:rFonts w:cs="Calibri"/>
              </w:rPr>
            </w:pPr>
            <w:r w:rsidRPr="00827D9D">
              <w:rPr>
                <w:rFonts w:cs="Calibri"/>
              </w:rPr>
              <w:t>10.3</w:t>
            </w:r>
          </w:p>
        </w:tc>
        <w:tc>
          <w:tcPr>
            <w:tcW w:w="666" w:type="dxa"/>
            <w:tcBorders>
              <w:top w:val="nil"/>
              <w:left w:val="nil"/>
              <w:bottom w:val="single" w:sz="4" w:space="0" w:color="FFFFFF"/>
              <w:right w:val="nil"/>
            </w:tcBorders>
            <w:shd w:val="clear" w:color="000000" w:fill="F2F2F2"/>
            <w:vAlign w:val="center"/>
            <w:hideMark/>
          </w:tcPr>
          <w:p w14:paraId="22CE7758" w14:textId="77777777" w:rsidR="00615463" w:rsidRPr="00827D9D" w:rsidRDefault="00615463" w:rsidP="005D6E2B">
            <w:pPr>
              <w:pStyle w:val="Tabletext"/>
              <w:spacing w:line="260" w:lineRule="exact"/>
              <w:jc w:val="center"/>
              <w:rPr>
                <w:rFonts w:cs="Calibri"/>
              </w:rPr>
            </w:pPr>
            <w:r w:rsidRPr="00827D9D">
              <w:rPr>
                <w:rFonts w:cs="Calibri"/>
              </w:rPr>
              <w:t>10.2</w:t>
            </w:r>
          </w:p>
        </w:tc>
        <w:tc>
          <w:tcPr>
            <w:tcW w:w="666" w:type="dxa"/>
            <w:tcBorders>
              <w:top w:val="nil"/>
              <w:left w:val="nil"/>
              <w:bottom w:val="single" w:sz="4" w:space="0" w:color="FFFFFF"/>
              <w:right w:val="nil"/>
            </w:tcBorders>
            <w:shd w:val="clear" w:color="000000" w:fill="F2F2F2"/>
            <w:vAlign w:val="center"/>
            <w:hideMark/>
          </w:tcPr>
          <w:p w14:paraId="65C537D8" w14:textId="77777777" w:rsidR="00615463" w:rsidRPr="00827D9D" w:rsidRDefault="00615463" w:rsidP="005D6E2B">
            <w:pPr>
              <w:pStyle w:val="Tabletext"/>
              <w:spacing w:line="260" w:lineRule="exact"/>
              <w:jc w:val="center"/>
              <w:rPr>
                <w:rFonts w:cs="Calibri"/>
              </w:rPr>
            </w:pPr>
            <w:r w:rsidRPr="00827D9D">
              <w:rPr>
                <w:rFonts w:cs="Calibri"/>
              </w:rPr>
              <w:t>10.0</w:t>
            </w:r>
          </w:p>
        </w:tc>
      </w:tr>
      <w:tr w:rsidR="00615463" w:rsidRPr="00827D9D" w14:paraId="67596795" w14:textId="77777777" w:rsidTr="00222043">
        <w:trPr>
          <w:trHeight w:val="397"/>
          <w:jc w:val="center"/>
        </w:trPr>
        <w:tc>
          <w:tcPr>
            <w:tcW w:w="4111" w:type="dxa"/>
            <w:tcBorders>
              <w:top w:val="nil"/>
              <w:left w:val="nil"/>
              <w:bottom w:val="single" w:sz="4" w:space="0" w:color="FFFFFF"/>
              <w:right w:val="nil"/>
            </w:tcBorders>
            <w:shd w:val="clear" w:color="000000" w:fill="D9D9D9"/>
            <w:vAlign w:val="center"/>
            <w:hideMark/>
          </w:tcPr>
          <w:p w14:paraId="3D5FD751" w14:textId="77777777" w:rsidR="00615463" w:rsidRPr="00827D9D" w:rsidRDefault="00615463" w:rsidP="005D6E2B">
            <w:pPr>
              <w:pStyle w:val="Tabletext"/>
              <w:spacing w:line="260" w:lineRule="exact"/>
              <w:rPr>
                <w:rFonts w:cs="Calibri"/>
              </w:rPr>
            </w:pPr>
            <w:r w:rsidRPr="00827D9D">
              <w:rPr>
                <w:rFonts w:cs="Calibri"/>
              </w:rPr>
              <w:t>9. Intermediate consumption</w:t>
            </w:r>
          </w:p>
        </w:tc>
        <w:tc>
          <w:tcPr>
            <w:tcW w:w="1857" w:type="dxa"/>
            <w:tcBorders>
              <w:top w:val="nil"/>
              <w:left w:val="nil"/>
              <w:bottom w:val="single" w:sz="4" w:space="0" w:color="FFFFFF"/>
              <w:right w:val="nil"/>
            </w:tcBorders>
            <w:shd w:val="clear" w:color="000000" w:fill="D9D9D9"/>
            <w:vAlign w:val="center"/>
            <w:hideMark/>
          </w:tcPr>
          <w:p w14:paraId="20D41891" w14:textId="77777777" w:rsidR="00615463" w:rsidRPr="00827D9D" w:rsidRDefault="00615463" w:rsidP="005D6E2B">
            <w:pPr>
              <w:pStyle w:val="Tabletext"/>
              <w:spacing w:line="260" w:lineRule="exact"/>
              <w:rPr>
                <w:rFonts w:cs="Calibri"/>
              </w:rPr>
            </w:pPr>
            <w:r w:rsidRPr="00827D9D">
              <w:rPr>
                <w:rFonts w:cs="Calibri"/>
              </w:rPr>
              <w:t>P.2</w:t>
            </w:r>
          </w:p>
        </w:tc>
        <w:tc>
          <w:tcPr>
            <w:tcW w:w="975" w:type="dxa"/>
            <w:tcBorders>
              <w:top w:val="nil"/>
              <w:left w:val="single" w:sz="4" w:space="0" w:color="FFFFFF"/>
              <w:bottom w:val="single" w:sz="4" w:space="0" w:color="FFFFFF"/>
              <w:right w:val="single" w:sz="4" w:space="0" w:color="FFFFFF"/>
            </w:tcBorders>
            <w:shd w:val="clear" w:color="000000" w:fill="D9D9D9"/>
            <w:vAlign w:val="center"/>
            <w:hideMark/>
          </w:tcPr>
          <w:p w14:paraId="03BF39DD" w14:textId="77777777" w:rsidR="00615463" w:rsidRPr="00827D9D" w:rsidRDefault="00615463" w:rsidP="005D6E2B">
            <w:pPr>
              <w:pStyle w:val="Tabletext"/>
              <w:spacing w:line="260" w:lineRule="exact"/>
              <w:jc w:val="center"/>
              <w:rPr>
                <w:rFonts w:cs="Calibri"/>
              </w:rPr>
            </w:pPr>
            <w:r w:rsidRPr="00827D9D">
              <w:rPr>
                <w:rFonts w:cs="Calibri"/>
              </w:rPr>
              <w:t>12.3</w:t>
            </w:r>
          </w:p>
        </w:tc>
        <w:tc>
          <w:tcPr>
            <w:tcW w:w="666" w:type="dxa"/>
            <w:tcBorders>
              <w:top w:val="nil"/>
              <w:left w:val="nil"/>
              <w:bottom w:val="single" w:sz="4" w:space="0" w:color="FFFFFF"/>
              <w:right w:val="nil"/>
            </w:tcBorders>
            <w:shd w:val="clear" w:color="000000" w:fill="D9D9D9"/>
            <w:vAlign w:val="center"/>
            <w:hideMark/>
          </w:tcPr>
          <w:p w14:paraId="5A1B75D3" w14:textId="77777777" w:rsidR="00615463" w:rsidRPr="00827D9D" w:rsidRDefault="00615463" w:rsidP="005D6E2B">
            <w:pPr>
              <w:pStyle w:val="Tabletext"/>
              <w:spacing w:line="260" w:lineRule="exact"/>
              <w:jc w:val="center"/>
              <w:rPr>
                <w:rFonts w:cs="Calibri"/>
              </w:rPr>
            </w:pPr>
            <w:r w:rsidRPr="00827D9D">
              <w:rPr>
                <w:rFonts w:cs="Calibri"/>
              </w:rPr>
              <w:t>5.2</w:t>
            </w:r>
          </w:p>
        </w:tc>
        <w:tc>
          <w:tcPr>
            <w:tcW w:w="666" w:type="dxa"/>
            <w:tcBorders>
              <w:top w:val="nil"/>
              <w:left w:val="nil"/>
              <w:bottom w:val="single" w:sz="4" w:space="0" w:color="FFFFFF"/>
              <w:right w:val="nil"/>
            </w:tcBorders>
            <w:shd w:val="clear" w:color="000000" w:fill="D9D9D9"/>
            <w:vAlign w:val="center"/>
            <w:hideMark/>
          </w:tcPr>
          <w:p w14:paraId="6A8415BD" w14:textId="77777777" w:rsidR="00615463" w:rsidRPr="00827D9D" w:rsidRDefault="00615463" w:rsidP="005D6E2B">
            <w:pPr>
              <w:pStyle w:val="Tabletext"/>
              <w:spacing w:line="260" w:lineRule="exact"/>
              <w:jc w:val="center"/>
              <w:rPr>
                <w:rFonts w:cs="Calibri"/>
              </w:rPr>
            </w:pPr>
            <w:r w:rsidRPr="00827D9D">
              <w:rPr>
                <w:rFonts w:cs="Calibri"/>
              </w:rPr>
              <w:t>5.6</w:t>
            </w:r>
          </w:p>
        </w:tc>
        <w:tc>
          <w:tcPr>
            <w:tcW w:w="666" w:type="dxa"/>
            <w:tcBorders>
              <w:top w:val="nil"/>
              <w:left w:val="nil"/>
              <w:bottom w:val="single" w:sz="4" w:space="0" w:color="FFFFFF"/>
              <w:right w:val="nil"/>
            </w:tcBorders>
            <w:shd w:val="clear" w:color="000000" w:fill="D9D9D9"/>
            <w:vAlign w:val="center"/>
            <w:hideMark/>
          </w:tcPr>
          <w:p w14:paraId="6842D7B0" w14:textId="77777777" w:rsidR="00615463" w:rsidRPr="00827D9D" w:rsidRDefault="00615463" w:rsidP="005D6E2B">
            <w:pPr>
              <w:pStyle w:val="Tabletext"/>
              <w:spacing w:line="260" w:lineRule="exact"/>
              <w:jc w:val="center"/>
              <w:rPr>
                <w:rFonts w:cs="Calibri"/>
              </w:rPr>
            </w:pPr>
            <w:r w:rsidRPr="00827D9D">
              <w:rPr>
                <w:rFonts w:cs="Calibri"/>
              </w:rPr>
              <w:t>5.4</w:t>
            </w:r>
          </w:p>
        </w:tc>
      </w:tr>
      <w:tr w:rsidR="00615463" w:rsidRPr="00827D9D" w14:paraId="404C166E"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6BE7A780" w14:textId="77777777" w:rsidR="00615463" w:rsidRPr="00827D9D" w:rsidRDefault="00615463" w:rsidP="005D6E2B">
            <w:pPr>
              <w:pStyle w:val="Tabletext"/>
              <w:spacing w:line="260" w:lineRule="exact"/>
              <w:rPr>
                <w:rFonts w:cs="Calibri"/>
              </w:rPr>
            </w:pPr>
            <w:r w:rsidRPr="00827D9D">
              <w:rPr>
                <w:rFonts w:cs="Calibri"/>
              </w:rPr>
              <w:t>10. Interest expenditure</w:t>
            </w:r>
          </w:p>
        </w:tc>
        <w:tc>
          <w:tcPr>
            <w:tcW w:w="1857" w:type="dxa"/>
            <w:tcBorders>
              <w:top w:val="nil"/>
              <w:left w:val="nil"/>
              <w:bottom w:val="single" w:sz="4" w:space="0" w:color="FFFFFF"/>
              <w:right w:val="nil"/>
            </w:tcBorders>
            <w:shd w:val="clear" w:color="000000" w:fill="F2F2F2"/>
            <w:vAlign w:val="center"/>
            <w:hideMark/>
          </w:tcPr>
          <w:p w14:paraId="3111DAAD" w14:textId="77777777" w:rsidR="00615463" w:rsidRPr="00827D9D" w:rsidRDefault="00615463" w:rsidP="005D6E2B">
            <w:pPr>
              <w:pStyle w:val="Tabletext"/>
              <w:spacing w:line="260" w:lineRule="exact"/>
              <w:rPr>
                <w:rFonts w:cs="Calibri"/>
              </w:rPr>
            </w:pPr>
            <w:r w:rsidRPr="00827D9D">
              <w:rPr>
                <w:rFonts w:cs="Calibri"/>
              </w:rPr>
              <w:t>D.41</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14FEFE62" w14:textId="77777777" w:rsidR="00615463" w:rsidRPr="00827D9D" w:rsidRDefault="00615463" w:rsidP="005D6E2B">
            <w:pPr>
              <w:pStyle w:val="Tabletext"/>
              <w:spacing w:line="260" w:lineRule="exact"/>
              <w:jc w:val="center"/>
              <w:rPr>
                <w:rFonts w:cs="Calibri"/>
              </w:rPr>
            </w:pPr>
            <w:r w:rsidRPr="00827D9D">
              <w:rPr>
                <w:rFonts w:cs="Calibri"/>
              </w:rPr>
              <w:t>8.2</w:t>
            </w:r>
          </w:p>
        </w:tc>
        <w:tc>
          <w:tcPr>
            <w:tcW w:w="666" w:type="dxa"/>
            <w:tcBorders>
              <w:top w:val="nil"/>
              <w:left w:val="nil"/>
              <w:bottom w:val="single" w:sz="4" w:space="0" w:color="FFFFFF"/>
              <w:right w:val="nil"/>
            </w:tcBorders>
            <w:shd w:val="clear" w:color="000000" w:fill="F2F2F2"/>
            <w:vAlign w:val="center"/>
            <w:hideMark/>
          </w:tcPr>
          <w:p w14:paraId="1571BFC9" w14:textId="77777777" w:rsidR="00615463" w:rsidRPr="00827D9D" w:rsidRDefault="00615463" w:rsidP="005D6E2B">
            <w:pPr>
              <w:pStyle w:val="Tabletext"/>
              <w:spacing w:line="260" w:lineRule="exact"/>
              <w:jc w:val="center"/>
              <w:rPr>
                <w:rFonts w:cs="Calibri"/>
              </w:rPr>
            </w:pPr>
            <w:r w:rsidRPr="00827D9D">
              <w:rPr>
                <w:rFonts w:cs="Calibri"/>
              </w:rPr>
              <w:t>3.5</w:t>
            </w:r>
          </w:p>
        </w:tc>
        <w:tc>
          <w:tcPr>
            <w:tcW w:w="666" w:type="dxa"/>
            <w:tcBorders>
              <w:top w:val="nil"/>
              <w:left w:val="nil"/>
              <w:bottom w:val="single" w:sz="4" w:space="0" w:color="FFFFFF"/>
              <w:right w:val="nil"/>
            </w:tcBorders>
            <w:shd w:val="clear" w:color="000000" w:fill="F2F2F2"/>
            <w:vAlign w:val="center"/>
            <w:hideMark/>
          </w:tcPr>
          <w:p w14:paraId="47D72EC0" w14:textId="77777777" w:rsidR="00615463" w:rsidRPr="00827D9D" w:rsidRDefault="00615463" w:rsidP="005D6E2B">
            <w:pPr>
              <w:pStyle w:val="Tabletext"/>
              <w:spacing w:line="260" w:lineRule="exact"/>
              <w:jc w:val="center"/>
              <w:rPr>
                <w:rFonts w:cs="Calibri"/>
              </w:rPr>
            </w:pPr>
            <w:r w:rsidRPr="00827D9D">
              <w:rPr>
                <w:rFonts w:cs="Calibri"/>
              </w:rPr>
              <w:t>3.0</w:t>
            </w:r>
          </w:p>
        </w:tc>
        <w:tc>
          <w:tcPr>
            <w:tcW w:w="666" w:type="dxa"/>
            <w:tcBorders>
              <w:top w:val="nil"/>
              <w:left w:val="nil"/>
              <w:bottom w:val="single" w:sz="4" w:space="0" w:color="FFFFFF"/>
              <w:right w:val="nil"/>
            </w:tcBorders>
            <w:shd w:val="clear" w:color="000000" w:fill="F2F2F2"/>
            <w:vAlign w:val="center"/>
            <w:hideMark/>
          </w:tcPr>
          <w:p w14:paraId="25296673" w14:textId="77777777" w:rsidR="00615463" w:rsidRPr="00827D9D" w:rsidRDefault="00615463" w:rsidP="005D6E2B">
            <w:pPr>
              <w:pStyle w:val="Tabletext"/>
              <w:spacing w:line="260" w:lineRule="exact"/>
              <w:jc w:val="center"/>
              <w:rPr>
                <w:rFonts w:cs="Calibri"/>
              </w:rPr>
            </w:pPr>
            <w:r w:rsidRPr="00827D9D">
              <w:rPr>
                <w:rFonts w:cs="Calibri"/>
              </w:rPr>
              <w:t>2.9</w:t>
            </w:r>
          </w:p>
        </w:tc>
      </w:tr>
      <w:tr w:rsidR="00615463" w:rsidRPr="00827D9D" w14:paraId="2165F8E7" w14:textId="77777777" w:rsidTr="00222043">
        <w:trPr>
          <w:trHeight w:val="712"/>
          <w:jc w:val="center"/>
        </w:trPr>
        <w:tc>
          <w:tcPr>
            <w:tcW w:w="4111" w:type="dxa"/>
            <w:tcBorders>
              <w:top w:val="nil"/>
              <w:left w:val="nil"/>
              <w:bottom w:val="single" w:sz="4" w:space="0" w:color="FFFFFF"/>
              <w:right w:val="nil"/>
            </w:tcBorders>
            <w:shd w:val="clear" w:color="000000" w:fill="D9D9D9"/>
            <w:vAlign w:val="center"/>
            <w:hideMark/>
          </w:tcPr>
          <w:p w14:paraId="42054CD5" w14:textId="77777777" w:rsidR="00615463" w:rsidRPr="00827D9D" w:rsidRDefault="00615463" w:rsidP="005D6E2B">
            <w:pPr>
              <w:pStyle w:val="Tabletext"/>
              <w:spacing w:line="260" w:lineRule="exact"/>
              <w:ind w:left="321" w:hanging="321"/>
              <w:rPr>
                <w:rFonts w:cs="Calibri"/>
              </w:rPr>
            </w:pPr>
            <w:r w:rsidRPr="00827D9D">
              <w:rPr>
                <w:rFonts w:cs="Calibri"/>
              </w:rPr>
              <w:t>11. Social benefits other than social transfers in kind</w:t>
            </w:r>
          </w:p>
        </w:tc>
        <w:tc>
          <w:tcPr>
            <w:tcW w:w="1857" w:type="dxa"/>
            <w:tcBorders>
              <w:top w:val="nil"/>
              <w:left w:val="nil"/>
              <w:bottom w:val="single" w:sz="4" w:space="0" w:color="FFFFFF"/>
              <w:right w:val="nil"/>
            </w:tcBorders>
            <w:shd w:val="clear" w:color="000000" w:fill="D9D9D9"/>
            <w:vAlign w:val="center"/>
            <w:hideMark/>
          </w:tcPr>
          <w:p w14:paraId="60615D2C" w14:textId="77777777" w:rsidR="00615463" w:rsidRPr="00827D9D" w:rsidRDefault="00615463" w:rsidP="005D6E2B">
            <w:pPr>
              <w:pStyle w:val="Tabletext"/>
              <w:spacing w:line="260" w:lineRule="exact"/>
              <w:rPr>
                <w:rFonts w:cs="Calibri"/>
              </w:rPr>
            </w:pPr>
            <w:r w:rsidRPr="00827D9D">
              <w:rPr>
                <w:rFonts w:cs="Calibri"/>
              </w:rPr>
              <w:t>D.62</w:t>
            </w:r>
          </w:p>
        </w:tc>
        <w:tc>
          <w:tcPr>
            <w:tcW w:w="975" w:type="dxa"/>
            <w:tcBorders>
              <w:top w:val="nil"/>
              <w:left w:val="single" w:sz="4" w:space="0" w:color="FFFFFF"/>
              <w:bottom w:val="single" w:sz="4" w:space="0" w:color="FFFFFF"/>
              <w:right w:val="single" w:sz="4" w:space="0" w:color="FFFFFF"/>
            </w:tcBorders>
            <w:shd w:val="clear" w:color="000000" w:fill="D9D9D9"/>
            <w:vAlign w:val="center"/>
            <w:hideMark/>
          </w:tcPr>
          <w:p w14:paraId="12403A01" w14:textId="77777777" w:rsidR="00615463" w:rsidRPr="00827D9D" w:rsidRDefault="00615463" w:rsidP="005D6E2B">
            <w:pPr>
              <w:pStyle w:val="Tabletext"/>
              <w:spacing w:line="260" w:lineRule="exact"/>
              <w:jc w:val="center"/>
              <w:rPr>
                <w:rFonts w:cs="Calibri"/>
              </w:rPr>
            </w:pPr>
            <w:r w:rsidRPr="00827D9D">
              <w:rPr>
                <w:rFonts w:cs="Calibri"/>
              </w:rPr>
              <w:t>39.6</w:t>
            </w:r>
          </w:p>
        </w:tc>
        <w:tc>
          <w:tcPr>
            <w:tcW w:w="666" w:type="dxa"/>
            <w:tcBorders>
              <w:top w:val="nil"/>
              <w:left w:val="nil"/>
              <w:bottom w:val="single" w:sz="4" w:space="0" w:color="FFFFFF"/>
              <w:right w:val="nil"/>
            </w:tcBorders>
            <w:shd w:val="clear" w:color="000000" w:fill="D9D9D9"/>
            <w:vAlign w:val="center"/>
            <w:hideMark/>
          </w:tcPr>
          <w:p w14:paraId="44FDE3BF" w14:textId="77777777" w:rsidR="00615463" w:rsidRPr="00827D9D" w:rsidRDefault="00615463" w:rsidP="005D6E2B">
            <w:pPr>
              <w:pStyle w:val="Tabletext"/>
              <w:spacing w:line="260" w:lineRule="exact"/>
              <w:jc w:val="center"/>
              <w:rPr>
                <w:rFonts w:cs="Calibri"/>
              </w:rPr>
            </w:pPr>
            <w:r w:rsidRPr="00827D9D">
              <w:rPr>
                <w:rFonts w:cs="Calibri"/>
              </w:rPr>
              <w:t>16.7</w:t>
            </w:r>
          </w:p>
        </w:tc>
        <w:tc>
          <w:tcPr>
            <w:tcW w:w="666" w:type="dxa"/>
            <w:tcBorders>
              <w:top w:val="nil"/>
              <w:left w:val="nil"/>
              <w:bottom w:val="single" w:sz="4" w:space="0" w:color="FFFFFF"/>
              <w:right w:val="nil"/>
            </w:tcBorders>
            <w:shd w:val="clear" w:color="000000" w:fill="D9D9D9"/>
            <w:vAlign w:val="center"/>
            <w:hideMark/>
          </w:tcPr>
          <w:p w14:paraId="5B16F6BE" w14:textId="77777777" w:rsidR="00615463" w:rsidRPr="00827D9D" w:rsidRDefault="00615463" w:rsidP="005D6E2B">
            <w:pPr>
              <w:pStyle w:val="Tabletext"/>
              <w:spacing w:line="260" w:lineRule="exact"/>
              <w:jc w:val="center"/>
              <w:rPr>
                <w:rFonts w:cs="Calibri"/>
              </w:rPr>
            </w:pPr>
            <w:r w:rsidRPr="00827D9D">
              <w:rPr>
                <w:rFonts w:cs="Calibri"/>
              </w:rPr>
              <w:t>16.9</w:t>
            </w:r>
          </w:p>
        </w:tc>
        <w:tc>
          <w:tcPr>
            <w:tcW w:w="666" w:type="dxa"/>
            <w:tcBorders>
              <w:top w:val="nil"/>
              <w:left w:val="nil"/>
              <w:bottom w:val="single" w:sz="4" w:space="0" w:color="FFFFFF"/>
              <w:right w:val="nil"/>
            </w:tcBorders>
            <w:shd w:val="clear" w:color="000000" w:fill="D9D9D9"/>
            <w:vAlign w:val="center"/>
            <w:hideMark/>
          </w:tcPr>
          <w:p w14:paraId="1B04C77E" w14:textId="77777777" w:rsidR="00615463" w:rsidRPr="00827D9D" w:rsidRDefault="00615463" w:rsidP="005D6E2B">
            <w:pPr>
              <w:pStyle w:val="Tabletext"/>
              <w:spacing w:line="260" w:lineRule="exact"/>
              <w:jc w:val="center"/>
              <w:rPr>
                <w:rFonts w:cs="Calibri"/>
              </w:rPr>
            </w:pPr>
            <w:r w:rsidRPr="00827D9D">
              <w:rPr>
                <w:rFonts w:cs="Calibri"/>
              </w:rPr>
              <w:t>16.8</w:t>
            </w:r>
          </w:p>
        </w:tc>
      </w:tr>
      <w:tr w:rsidR="00615463" w:rsidRPr="00827D9D" w14:paraId="5EA48E5B"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600A7E5F" w14:textId="77777777" w:rsidR="00615463" w:rsidRPr="00827D9D" w:rsidRDefault="00615463" w:rsidP="005D6E2B">
            <w:pPr>
              <w:pStyle w:val="Tabletext"/>
              <w:spacing w:line="260" w:lineRule="exact"/>
              <w:ind w:left="321" w:hanging="321"/>
              <w:rPr>
                <w:rFonts w:cs="Calibri"/>
              </w:rPr>
            </w:pPr>
            <w:r w:rsidRPr="00827D9D">
              <w:rPr>
                <w:rFonts w:cs="Calibri"/>
              </w:rPr>
              <w:t>12. Social transfers in kind via market producers</w:t>
            </w:r>
          </w:p>
        </w:tc>
        <w:tc>
          <w:tcPr>
            <w:tcW w:w="1857" w:type="dxa"/>
            <w:tcBorders>
              <w:top w:val="nil"/>
              <w:left w:val="nil"/>
              <w:bottom w:val="single" w:sz="4" w:space="0" w:color="FFFFFF"/>
              <w:right w:val="nil"/>
            </w:tcBorders>
            <w:shd w:val="clear" w:color="000000" w:fill="F2F2F2"/>
            <w:vAlign w:val="center"/>
            <w:hideMark/>
          </w:tcPr>
          <w:p w14:paraId="0D9EF528" w14:textId="77777777" w:rsidR="00615463" w:rsidRPr="00827D9D" w:rsidRDefault="00615463" w:rsidP="005D6E2B">
            <w:pPr>
              <w:pStyle w:val="Tabletext"/>
              <w:spacing w:line="260" w:lineRule="exact"/>
              <w:rPr>
                <w:rFonts w:cs="Calibri"/>
              </w:rPr>
            </w:pPr>
            <w:r w:rsidRPr="00827D9D">
              <w:rPr>
                <w:rFonts w:cs="Calibri"/>
              </w:rPr>
              <w:t>D.632</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262FAF90" w14:textId="77777777" w:rsidR="00615463" w:rsidRPr="00827D9D" w:rsidRDefault="00615463" w:rsidP="005D6E2B">
            <w:pPr>
              <w:pStyle w:val="Tabletext"/>
              <w:spacing w:line="260" w:lineRule="exact"/>
              <w:jc w:val="center"/>
              <w:rPr>
                <w:rFonts w:cs="Calibri"/>
              </w:rPr>
            </w:pPr>
            <w:r w:rsidRPr="00827D9D">
              <w:rPr>
                <w:rFonts w:cs="Calibri"/>
              </w:rPr>
              <w:t>6.4</w:t>
            </w:r>
          </w:p>
        </w:tc>
        <w:tc>
          <w:tcPr>
            <w:tcW w:w="666" w:type="dxa"/>
            <w:tcBorders>
              <w:top w:val="nil"/>
              <w:left w:val="nil"/>
              <w:bottom w:val="single" w:sz="4" w:space="0" w:color="FFFFFF"/>
              <w:right w:val="nil"/>
            </w:tcBorders>
            <w:shd w:val="clear" w:color="000000" w:fill="F2F2F2"/>
            <w:vAlign w:val="center"/>
            <w:hideMark/>
          </w:tcPr>
          <w:p w14:paraId="0E6EEB5A" w14:textId="77777777" w:rsidR="00615463" w:rsidRPr="00827D9D" w:rsidRDefault="00615463" w:rsidP="005D6E2B">
            <w:pPr>
              <w:pStyle w:val="Tabletext"/>
              <w:spacing w:line="260" w:lineRule="exact"/>
              <w:jc w:val="center"/>
              <w:rPr>
                <w:rFonts w:cs="Calibri"/>
              </w:rPr>
            </w:pPr>
            <w:r w:rsidRPr="00827D9D">
              <w:rPr>
                <w:rFonts w:cs="Calibri"/>
              </w:rPr>
              <w:t>2.7</w:t>
            </w:r>
          </w:p>
        </w:tc>
        <w:tc>
          <w:tcPr>
            <w:tcW w:w="666" w:type="dxa"/>
            <w:tcBorders>
              <w:top w:val="nil"/>
              <w:left w:val="nil"/>
              <w:bottom w:val="single" w:sz="4" w:space="0" w:color="FFFFFF"/>
              <w:right w:val="nil"/>
            </w:tcBorders>
            <w:shd w:val="clear" w:color="000000" w:fill="F2F2F2"/>
            <w:vAlign w:val="center"/>
            <w:hideMark/>
          </w:tcPr>
          <w:p w14:paraId="50478C79" w14:textId="77777777" w:rsidR="00615463" w:rsidRPr="00827D9D" w:rsidRDefault="00615463" w:rsidP="005D6E2B">
            <w:pPr>
              <w:pStyle w:val="Tabletext"/>
              <w:spacing w:line="260" w:lineRule="exact"/>
              <w:jc w:val="center"/>
              <w:rPr>
                <w:rFonts w:cs="Calibri"/>
              </w:rPr>
            </w:pPr>
            <w:r w:rsidRPr="00827D9D">
              <w:rPr>
                <w:rFonts w:cs="Calibri"/>
              </w:rPr>
              <w:t>2.4</w:t>
            </w:r>
          </w:p>
        </w:tc>
        <w:tc>
          <w:tcPr>
            <w:tcW w:w="666" w:type="dxa"/>
            <w:tcBorders>
              <w:top w:val="nil"/>
              <w:left w:val="nil"/>
              <w:bottom w:val="single" w:sz="4" w:space="0" w:color="FFFFFF"/>
              <w:right w:val="nil"/>
            </w:tcBorders>
            <w:shd w:val="clear" w:color="000000" w:fill="F2F2F2"/>
            <w:vAlign w:val="center"/>
            <w:hideMark/>
          </w:tcPr>
          <w:p w14:paraId="63E4E14F" w14:textId="77777777" w:rsidR="00615463" w:rsidRPr="00827D9D" w:rsidRDefault="00615463" w:rsidP="005D6E2B">
            <w:pPr>
              <w:pStyle w:val="Tabletext"/>
              <w:spacing w:line="260" w:lineRule="exact"/>
              <w:jc w:val="center"/>
              <w:rPr>
                <w:rFonts w:cs="Calibri"/>
              </w:rPr>
            </w:pPr>
            <w:r w:rsidRPr="00827D9D">
              <w:rPr>
                <w:rFonts w:cs="Calibri"/>
              </w:rPr>
              <w:t>2.3</w:t>
            </w:r>
          </w:p>
        </w:tc>
      </w:tr>
      <w:tr w:rsidR="00615463" w:rsidRPr="00827D9D" w14:paraId="270C9C0C" w14:textId="77777777" w:rsidTr="00222043">
        <w:trPr>
          <w:trHeight w:val="397"/>
          <w:jc w:val="center"/>
        </w:trPr>
        <w:tc>
          <w:tcPr>
            <w:tcW w:w="4111" w:type="dxa"/>
            <w:tcBorders>
              <w:top w:val="nil"/>
              <w:left w:val="nil"/>
              <w:bottom w:val="single" w:sz="4" w:space="0" w:color="FFFFFF"/>
              <w:right w:val="nil"/>
            </w:tcBorders>
            <w:shd w:val="clear" w:color="000000" w:fill="D9D9D9"/>
            <w:vAlign w:val="center"/>
            <w:hideMark/>
          </w:tcPr>
          <w:p w14:paraId="69F62028" w14:textId="77777777" w:rsidR="00615463" w:rsidRPr="00827D9D" w:rsidRDefault="00615463" w:rsidP="005D6E2B">
            <w:pPr>
              <w:pStyle w:val="Tabletext"/>
              <w:spacing w:line="260" w:lineRule="exact"/>
              <w:rPr>
                <w:rFonts w:cs="Calibri"/>
              </w:rPr>
            </w:pPr>
            <w:r w:rsidRPr="00827D9D">
              <w:rPr>
                <w:rFonts w:cs="Calibri"/>
              </w:rPr>
              <w:t>13. Subsidies</w:t>
            </w:r>
          </w:p>
        </w:tc>
        <w:tc>
          <w:tcPr>
            <w:tcW w:w="1857" w:type="dxa"/>
            <w:tcBorders>
              <w:top w:val="nil"/>
              <w:left w:val="nil"/>
              <w:bottom w:val="single" w:sz="4" w:space="0" w:color="FFFFFF"/>
              <w:right w:val="nil"/>
            </w:tcBorders>
            <w:shd w:val="clear" w:color="000000" w:fill="D9D9D9"/>
            <w:vAlign w:val="center"/>
            <w:hideMark/>
          </w:tcPr>
          <w:p w14:paraId="223C9C57" w14:textId="77777777" w:rsidR="00615463" w:rsidRPr="00827D9D" w:rsidRDefault="00615463" w:rsidP="005D6E2B">
            <w:pPr>
              <w:pStyle w:val="Tabletext"/>
              <w:spacing w:line="260" w:lineRule="exact"/>
              <w:rPr>
                <w:rFonts w:cs="Calibri"/>
              </w:rPr>
            </w:pPr>
            <w:r w:rsidRPr="00827D9D">
              <w:rPr>
                <w:rFonts w:cs="Calibri"/>
              </w:rPr>
              <w:t>D.3</w:t>
            </w:r>
          </w:p>
        </w:tc>
        <w:tc>
          <w:tcPr>
            <w:tcW w:w="975" w:type="dxa"/>
            <w:tcBorders>
              <w:top w:val="nil"/>
              <w:left w:val="single" w:sz="4" w:space="0" w:color="FFFFFF"/>
              <w:bottom w:val="single" w:sz="4" w:space="0" w:color="FFFFFF"/>
              <w:right w:val="single" w:sz="4" w:space="0" w:color="FFFFFF"/>
            </w:tcBorders>
            <w:shd w:val="clear" w:color="000000" w:fill="D9D9D9"/>
            <w:vAlign w:val="center"/>
            <w:hideMark/>
          </w:tcPr>
          <w:p w14:paraId="0A46681C" w14:textId="77777777" w:rsidR="00615463" w:rsidRPr="00827D9D" w:rsidRDefault="00615463" w:rsidP="005D6E2B">
            <w:pPr>
              <w:pStyle w:val="Tabletext"/>
              <w:spacing w:line="260" w:lineRule="exact"/>
              <w:jc w:val="center"/>
              <w:rPr>
                <w:rFonts w:cs="Calibri"/>
              </w:rPr>
            </w:pPr>
            <w:r w:rsidRPr="00827D9D">
              <w:rPr>
                <w:rFonts w:cs="Calibri"/>
              </w:rPr>
              <w:t>3.4</w:t>
            </w:r>
          </w:p>
        </w:tc>
        <w:tc>
          <w:tcPr>
            <w:tcW w:w="666" w:type="dxa"/>
            <w:tcBorders>
              <w:top w:val="nil"/>
              <w:left w:val="nil"/>
              <w:bottom w:val="single" w:sz="4" w:space="0" w:color="FFFFFF"/>
              <w:right w:val="nil"/>
            </w:tcBorders>
            <w:shd w:val="clear" w:color="000000" w:fill="D9D9D9"/>
            <w:vAlign w:val="center"/>
            <w:hideMark/>
          </w:tcPr>
          <w:p w14:paraId="4A14BDFB" w14:textId="77777777" w:rsidR="00615463" w:rsidRPr="00827D9D" w:rsidRDefault="00615463" w:rsidP="005D6E2B">
            <w:pPr>
              <w:pStyle w:val="Tabletext"/>
              <w:spacing w:line="260" w:lineRule="exact"/>
              <w:jc w:val="center"/>
              <w:rPr>
                <w:rFonts w:cs="Calibri"/>
              </w:rPr>
            </w:pPr>
            <w:r w:rsidRPr="00827D9D">
              <w:rPr>
                <w:rFonts w:cs="Calibri"/>
              </w:rPr>
              <w:t>1.4</w:t>
            </w:r>
          </w:p>
        </w:tc>
        <w:tc>
          <w:tcPr>
            <w:tcW w:w="666" w:type="dxa"/>
            <w:tcBorders>
              <w:top w:val="nil"/>
              <w:left w:val="nil"/>
              <w:bottom w:val="single" w:sz="4" w:space="0" w:color="FFFFFF"/>
              <w:right w:val="nil"/>
            </w:tcBorders>
            <w:shd w:val="clear" w:color="000000" w:fill="D9D9D9"/>
            <w:vAlign w:val="center"/>
            <w:hideMark/>
          </w:tcPr>
          <w:p w14:paraId="18C92EC9" w14:textId="77777777" w:rsidR="00615463" w:rsidRPr="00827D9D" w:rsidRDefault="00615463" w:rsidP="005D6E2B">
            <w:pPr>
              <w:pStyle w:val="Tabletext"/>
              <w:spacing w:line="260" w:lineRule="exact"/>
              <w:jc w:val="center"/>
              <w:rPr>
                <w:rFonts w:cs="Calibri"/>
              </w:rPr>
            </w:pPr>
            <w:r w:rsidRPr="00827D9D">
              <w:rPr>
                <w:rFonts w:cs="Calibri"/>
              </w:rPr>
              <w:t>1.3</w:t>
            </w:r>
          </w:p>
        </w:tc>
        <w:tc>
          <w:tcPr>
            <w:tcW w:w="666" w:type="dxa"/>
            <w:tcBorders>
              <w:top w:val="nil"/>
              <w:left w:val="nil"/>
              <w:bottom w:val="single" w:sz="4" w:space="0" w:color="FFFFFF"/>
              <w:right w:val="nil"/>
            </w:tcBorders>
            <w:shd w:val="clear" w:color="000000" w:fill="D9D9D9"/>
            <w:vAlign w:val="center"/>
            <w:hideMark/>
          </w:tcPr>
          <w:p w14:paraId="79149E5F" w14:textId="77777777" w:rsidR="00615463" w:rsidRPr="00827D9D" w:rsidRDefault="00615463" w:rsidP="005D6E2B">
            <w:pPr>
              <w:pStyle w:val="Tabletext"/>
              <w:spacing w:line="260" w:lineRule="exact"/>
              <w:jc w:val="center"/>
              <w:rPr>
                <w:rFonts w:cs="Calibri"/>
              </w:rPr>
            </w:pPr>
            <w:r w:rsidRPr="00827D9D">
              <w:rPr>
                <w:rFonts w:cs="Calibri"/>
              </w:rPr>
              <w:t>1.3</w:t>
            </w:r>
          </w:p>
        </w:tc>
      </w:tr>
      <w:tr w:rsidR="00615463" w:rsidRPr="00827D9D" w14:paraId="7FB2B1C5"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29CB43D0" w14:textId="77777777" w:rsidR="00615463" w:rsidRPr="00827D9D" w:rsidRDefault="00615463" w:rsidP="005D6E2B">
            <w:pPr>
              <w:pStyle w:val="Tabletext"/>
              <w:spacing w:line="260" w:lineRule="exact"/>
              <w:rPr>
                <w:rFonts w:cs="Calibri"/>
              </w:rPr>
            </w:pPr>
            <w:r w:rsidRPr="00827D9D">
              <w:rPr>
                <w:rFonts w:cs="Calibri"/>
              </w:rPr>
              <w:t>14. Other current expenditure</w:t>
            </w:r>
          </w:p>
        </w:tc>
        <w:tc>
          <w:tcPr>
            <w:tcW w:w="1857" w:type="dxa"/>
            <w:tcBorders>
              <w:top w:val="nil"/>
              <w:left w:val="nil"/>
              <w:bottom w:val="single" w:sz="4" w:space="0" w:color="FFFFFF"/>
              <w:right w:val="nil"/>
            </w:tcBorders>
            <w:shd w:val="clear" w:color="000000" w:fill="F2F2F2"/>
            <w:vAlign w:val="center"/>
            <w:hideMark/>
          </w:tcPr>
          <w:p w14:paraId="75F55907" w14:textId="77777777" w:rsidR="00615463" w:rsidRPr="00827D9D" w:rsidRDefault="00615463" w:rsidP="005D6E2B">
            <w:pPr>
              <w:pStyle w:val="Tabletext"/>
              <w:spacing w:line="260" w:lineRule="exact"/>
              <w:rPr>
                <w:rFonts w:cs="Calibri"/>
              </w:rPr>
            </w:pPr>
            <w:r w:rsidRPr="00827D9D">
              <w:rPr>
                <w:rFonts w:cs="Calibri"/>
              </w:rPr>
              <w:t>D.29 + (D.4-D.41) + D.5 + D.7 + D.8</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606552E8" w14:textId="77777777" w:rsidR="00615463" w:rsidRPr="00827D9D" w:rsidRDefault="00615463" w:rsidP="005D6E2B">
            <w:pPr>
              <w:pStyle w:val="Tabletext"/>
              <w:spacing w:line="260" w:lineRule="exact"/>
              <w:jc w:val="center"/>
              <w:rPr>
                <w:rFonts w:cs="Calibri"/>
              </w:rPr>
            </w:pPr>
            <w:r w:rsidRPr="00827D9D">
              <w:rPr>
                <w:rFonts w:cs="Calibri"/>
              </w:rPr>
              <w:t>3.8</w:t>
            </w:r>
          </w:p>
        </w:tc>
        <w:tc>
          <w:tcPr>
            <w:tcW w:w="666" w:type="dxa"/>
            <w:tcBorders>
              <w:top w:val="nil"/>
              <w:left w:val="nil"/>
              <w:bottom w:val="single" w:sz="4" w:space="0" w:color="FFFFFF"/>
              <w:right w:val="nil"/>
            </w:tcBorders>
            <w:shd w:val="clear" w:color="000000" w:fill="F2F2F2"/>
            <w:vAlign w:val="center"/>
            <w:hideMark/>
          </w:tcPr>
          <w:p w14:paraId="2A2A87BE" w14:textId="77777777" w:rsidR="00615463" w:rsidRPr="00827D9D" w:rsidRDefault="00615463" w:rsidP="005D6E2B">
            <w:pPr>
              <w:pStyle w:val="Tabletext"/>
              <w:spacing w:line="260" w:lineRule="exact"/>
              <w:jc w:val="center"/>
              <w:rPr>
                <w:rFonts w:cs="Calibri"/>
              </w:rPr>
            </w:pPr>
            <w:r w:rsidRPr="00827D9D">
              <w:rPr>
                <w:rFonts w:cs="Calibri"/>
              </w:rPr>
              <w:t>1.6</w:t>
            </w:r>
          </w:p>
        </w:tc>
        <w:tc>
          <w:tcPr>
            <w:tcW w:w="666" w:type="dxa"/>
            <w:tcBorders>
              <w:top w:val="nil"/>
              <w:left w:val="nil"/>
              <w:bottom w:val="single" w:sz="4" w:space="0" w:color="FFFFFF"/>
              <w:right w:val="nil"/>
            </w:tcBorders>
            <w:shd w:val="clear" w:color="000000" w:fill="F2F2F2"/>
            <w:vAlign w:val="center"/>
            <w:hideMark/>
          </w:tcPr>
          <w:p w14:paraId="3CA6485C" w14:textId="77777777" w:rsidR="00615463" w:rsidRPr="00827D9D" w:rsidRDefault="00615463" w:rsidP="005D6E2B">
            <w:pPr>
              <w:pStyle w:val="Tabletext"/>
              <w:spacing w:line="260" w:lineRule="exact"/>
              <w:jc w:val="center"/>
              <w:rPr>
                <w:rFonts w:cs="Calibri"/>
              </w:rPr>
            </w:pPr>
            <w:r w:rsidRPr="00827D9D">
              <w:rPr>
                <w:rFonts w:cs="Calibri"/>
              </w:rPr>
              <w:t>1.6</w:t>
            </w:r>
          </w:p>
        </w:tc>
        <w:tc>
          <w:tcPr>
            <w:tcW w:w="666" w:type="dxa"/>
            <w:tcBorders>
              <w:top w:val="nil"/>
              <w:left w:val="nil"/>
              <w:bottom w:val="single" w:sz="4" w:space="0" w:color="FFFFFF"/>
              <w:right w:val="nil"/>
            </w:tcBorders>
            <w:shd w:val="clear" w:color="000000" w:fill="F2F2F2"/>
            <w:vAlign w:val="center"/>
            <w:hideMark/>
          </w:tcPr>
          <w:p w14:paraId="5232BE13" w14:textId="77777777" w:rsidR="00615463" w:rsidRPr="00827D9D" w:rsidRDefault="00615463" w:rsidP="005D6E2B">
            <w:pPr>
              <w:pStyle w:val="Tabletext"/>
              <w:spacing w:line="260" w:lineRule="exact"/>
              <w:jc w:val="center"/>
              <w:rPr>
                <w:rFonts w:cs="Calibri"/>
              </w:rPr>
            </w:pPr>
            <w:r w:rsidRPr="00827D9D">
              <w:rPr>
                <w:rFonts w:cs="Calibri"/>
              </w:rPr>
              <w:t>2.3</w:t>
            </w:r>
          </w:p>
        </w:tc>
      </w:tr>
      <w:tr w:rsidR="00615463" w:rsidRPr="00827D9D" w14:paraId="3996D1F1" w14:textId="77777777" w:rsidTr="00222043">
        <w:trPr>
          <w:trHeight w:val="397"/>
          <w:jc w:val="center"/>
        </w:trPr>
        <w:tc>
          <w:tcPr>
            <w:tcW w:w="4111" w:type="dxa"/>
            <w:tcBorders>
              <w:top w:val="nil"/>
              <w:left w:val="nil"/>
              <w:bottom w:val="single" w:sz="4" w:space="0" w:color="FFFFFF"/>
              <w:right w:val="nil"/>
            </w:tcBorders>
            <w:shd w:val="clear" w:color="000000" w:fill="D9D9D9"/>
            <w:vAlign w:val="center"/>
            <w:hideMark/>
          </w:tcPr>
          <w:p w14:paraId="055ACEBA" w14:textId="77777777" w:rsidR="00615463" w:rsidRPr="00827D9D" w:rsidRDefault="00615463" w:rsidP="005D6E2B">
            <w:pPr>
              <w:pStyle w:val="Tabletext"/>
              <w:spacing w:line="260" w:lineRule="exact"/>
              <w:rPr>
                <w:rFonts w:cs="Calibri"/>
              </w:rPr>
            </w:pPr>
            <w:r w:rsidRPr="00827D9D">
              <w:rPr>
                <w:rFonts w:cs="Calibri"/>
              </w:rPr>
              <w:t>15. Gross fixed capital formation</w:t>
            </w:r>
          </w:p>
        </w:tc>
        <w:tc>
          <w:tcPr>
            <w:tcW w:w="1857" w:type="dxa"/>
            <w:tcBorders>
              <w:top w:val="nil"/>
              <w:left w:val="nil"/>
              <w:bottom w:val="single" w:sz="4" w:space="0" w:color="FFFFFF"/>
              <w:right w:val="nil"/>
            </w:tcBorders>
            <w:shd w:val="clear" w:color="000000" w:fill="D9D9D9"/>
            <w:vAlign w:val="center"/>
            <w:hideMark/>
          </w:tcPr>
          <w:p w14:paraId="07B9684D" w14:textId="77777777" w:rsidR="00615463" w:rsidRPr="00827D9D" w:rsidRDefault="00615463" w:rsidP="005D6E2B">
            <w:pPr>
              <w:pStyle w:val="Tabletext"/>
              <w:spacing w:line="260" w:lineRule="exact"/>
              <w:rPr>
                <w:rFonts w:cs="Calibri"/>
              </w:rPr>
            </w:pPr>
            <w:r w:rsidRPr="00827D9D">
              <w:rPr>
                <w:rFonts w:cs="Calibri"/>
              </w:rPr>
              <w:t>P.51</w:t>
            </w:r>
          </w:p>
        </w:tc>
        <w:tc>
          <w:tcPr>
            <w:tcW w:w="975" w:type="dxa"/>
            <w:tcBorders>
              <w:top w:val="nil"/>
              <w:left w:val="single" w:sz="4" w:space="0" w:color="FFFFFF"/>
              <w:bottom w:val="single" w:sz="4" w:space="0" w:color="FFFFFF"/>
              <w:right w:val="single" w:sz="4" w:space="0" w:color="FFFFFF"/>
            </w:tcBorders>
            <w:shd w:val="clear" w:color="000000" w:fill="D9D9D9"/>
            <w:vAlign w:val="center"/>
            <w:hideMark/>
          </w:tcPr>
          <w:p w14:paraId="6EE30452" w14:textId="77777777" w:rsidR="00615463" w:rsidRPr="00827D9D" w:rsidRDefault="00615463" w:rsidP="005D6E2B">
            <w:pPr>
              <w:pStyle w:val="Tabletext"/>
              <w:spacing w:line="260" w:lineRule="exact"/>
              <w:jc w:val="center"/>
              <w:rPr>
                <w:rFonts w:cs="Calibri"/>
              </w:rPr>
            </w:pPr>
            <w:r w:rsidRPr="00827D9D">
              <w:rPr>
                <w:rFonts w:cs="Calibri"/>
              </w:rPr>
              <w:t>8.8</w:t>
            </w:r>
          </w:p>
        </w:tc>
        <w:tc>
          <w:tcPr>
            <w:tcW w:w="666" w:type="dxa"/>
            <w:tcBorders>
              <w:top w:val="nil"/>
              <w:left w:val="nil"/>
              <w:bottom w:val="single" w:sz="4" w:space="0" w:color="FFFFFF"/>
              <w:right w:val="nil"/>
            </w:tcBorders>
            <w:shd w:val="clear" w:color="000000" w:fill="D9D9D9"/>
            <w:vAlign w:val="center"/>
            <w:hideMark/>
          </w:tcPr>
          <w:p w14:paraId="1629C064" w14:textId="77777777" w:rsidR="00615463" w:rsidRPr="00827D9D" w:rsidRDefault="00615463" w:rsidP="005D6E2B">
            <w:pPr>
              <w:pStyle w:val="Tabletext"/>
              <w:spacing w:line="260" w:lineRule="exact"/>
              <w:jc w:val="center"/>
              <w:rPr>
                <w:rFonts w:cs="Calibri"/>
              </w:rPr>
            </w:pPr>
            <w:r w:rsidRPr="00827D9D">
              <w:rPr>
                <w:rFonts w:cs="Calibri"/>
              </w:rPr>
              <w:t>3.7</w:t>
            </w:r>
          </w:p>
        </w:tc>
        <w:tc>
          <w:tcPr>
            <w:tcW w:w="666" w:type="dxa"/>
            <w:tcBorders>
              <w:top w:val="nil"/>
              <w:left w:val="nil"/>
              <w:bottom w:val="single" w:sz="4" w:space="0" w:color="FFFFFF"/>
              <w:right w:val="nil"/>
            </w:tcBorders>
            <w:shd w:val="clear" w:color="000000" w:fill="D9D9D9"/>
            <w:vAlign w:val="center"/>
            <w:hideMark/>
          </w:tcPr>
          <w:p w14:paraId="5AC686E1" w14:textId="77777777" w:rsidR="00615463" w:rsidRPr="00827D9D" w:rsidRDefault="00615463" w:rsidP="005D6E2B">
            <w:pPr>
              <w:pStyle w:val="Tabletext"/>
              <w:spacing w:line="260" w:lineRule="exact"/>
              <w:jc w:val="center"/>
              <w:rPr>
                <w:rFonts w:cs="Calibri"/>
              </w:rPr>
            </w:pPr>
            <w:r w:rsidRPr="00827D9D">
              <w:rPr>
                <w:rFonts w:cs="Calibri"/>
              </w:rPr>
              <w:t>5.7</w:t>
            </w:r>
          </w:p>
        </w:tc>
        <w:tc>
          <w:tcPr>
            <w:tcW w:w="666" w:type="dxa"/>
            <w:tcBorders>
              <w:top w:val="nil"/>
              <w:left w:val="nil"/>
              <w:bottom w:val="single" w:sz="4" w:space="0" w:color="FFFFFF"/>
              <w:right w:val="nil"/>
            </w:tcBorders>
            <w:shd w:val="clear" w:color="000000" w:fill="D9D9D9"/>
            <w:vAlign w:val="center"/>
            <w:hideMark/>
          </w:tcPr>
          <w:p w14:paraId="0D315BAE" w14:textId="77777777" w:rsidR="00615463" w:rsidRPr="00827D9D" w:rsidRDefault="00615463" w:rsidP="005D6E2B">
            <w:pPr>
              <w:pStyle w:val="Tabletext"/>
              <w:spacing w:line="260" w:lineRule="exact"/>
              <w:jc w:val="center"/>
              <w:rPr>
                <w:rFonts w:cs="Calibri"/>
              </w:rPr>
            </w:pPr>
            <w:r w:rsidRPr="00827D9D">
              <w:rPr>
                <w:rFonts w:cs="Calibri"/>
              </w:rPr>
              <w:t>6.9</w:t>
            </w:r>
          </w:p>
        </w:tc>
      </w:tr>
      <w:tr w:rsidR="00615463" w:rsidRPr="00827D9D" w14:paraId="7E313EAF"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6A00D913" w14:textId="683EA5E0" w:rsidR="00615463" w:rsidRPr="00827D9D" w:rsidRDefault="00615463" w:rsidP="005D6E2B">
            <w:pPr>
              <w:pStyle w:val="Tabletext"/>
              <w:spacing w:line="260" w:lineRule="exact"/>
              <w:ind w:left="321" w:hanging="321"/>
              <w:rPr>
                <w:rFonts w:cs="Calibri"/>
              </w:rPr>
            </w:pPr>
            <w:r w:rsidRPr="00827D9D">
              <w:rPr>
                <w:rFonts w:cs="Calibri"/>
              </w:rPr>
              <w:t>16. Of which:</w:t>
            </w:r>
            <w:r w:rsidR="00E55C87">
              <w:rPr>
                <w:rFonts w:cs="Calibri"/>
              </w:rPr>
              <w:t xml:space="preserve"> </w:t>
            </w:r>
            <w:r w:rsidRPr="00827D9D">
              <w:rPr>
                <w:rFonts w:cs="Calibri"/>
              </w:rPr>
              <w:t>Nationally financed public investment</w:t>
            </w:r>
          </w:p>
        </w:tc>
        <w:tc>
          <w:tcPr>
            <w:tcW w:w="1857" w:type="dxa"/>
            <w:tcBorders>
              <w:top w:val="nil"/>
              <w:left w:val="nil"/>
              <w:bottom w:val="single" w:sz="4" w:space="0" w:color="FFFFFF"/>
              <w:right w:val="nil"/>
            </w:tcBorders>
            <w:shd w:val="clear" w:color="000000" w:fill="F2F2F2"/>
            <w:vAlign w:val="center"/>
            <w:hideMark/>
          </w:tcPr>
          <w:p w14:paraId="3D949587" w14:textId="77777777" w:rsidR="00615463" w:rsidRPr="00827D9D" w:rsidRDefault="00615463" w:rsidP="005D6E2B">
            <w:pPr>
              <w:pStyle w:val="Tabletext"/>
              <w:spacing w:line="260" w:lineRule="exact"/>
              <w:rPr>
                <w:rFonts w:cs="Calibri"/>
              </w:rPr>
            </w:pPr>
            <w:r w:rsidRPr="00827D9D">
              <w:rPr>
                <w:rFonts w:cs="Calibri"/>
              </w:rPr>
              <w:t> </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08393DE7" w14:textId="073F1613" w:rsidR="00615463" w:rsidRPr="00827D9D" w:rsidRDefault="00263979" w:rsidP="005D6E2B">
            <w:pPr>
              <w:pStyle w:val="Tabletext"/>
              <w:spacing w:line="260" w:lineRule="exact"/>
              <w:jc w:val="center"/>
              <w:rPr>
                <w:rFonts w:cs="Calibri"/>
              </w:rPr>
            </w:pPr>
            <w:r>
              <w:rPr>
                <w:rFonts w:cs="Calibri"/>
              </w:rPr>
              <w:t>5</w:t>
            </w:r>
            <w:r w:rsidR="00615463" w:rsidRPr="00827D9D">
              <w:rPr>
                <w:rFonts w:cs="Calibri"/>
              </w:rPr>
              <w:t>.</w:t>
            </w:r>
            <w:r>
              <w:rPr>
                <w:rFonts w:cs="Calibri"/>
              </w:rPr>
              <w:t>3</w:t>
            </w:r>
          </w:p>
        </w:tc>
        <w:tc>
          <w:tcPr>
            <w:tcW w:w="666" w:type="dxa"/>
            <w:tcBorders>
              <w:top w:val="nil"/>
              <w:left w:val="nil"/>
              <w:bottom w:val="single" w:sz="4" w:space="0" w:color="FFFFFF"/>
              <w:right w:val="nil"/>
            </w:tcBorders>
            <w:shd w:val="clear" w:color="000000" w:fill="F2F2F2"/>
            <w:vAlign w:val="center"/>
            <w:hideMark/>
          </w:tcPr>
          <w:p w14:paraId="170882F0" w14:textId="559858A8" w:rsidR="00615463" w:rsidRPr="00827D9D" w:rsidRDefault="00263979" w:rsidP="005D6E2B">
            <w:pPr>
              <w:pStyle w:val="Tabletext"/>
              <w:spacing w:line="260" w:lineRule="exact"/>
              <w:jc w:val="center"/>
              <w:rPr>
                <w:rFonts w:cs="Calibri"/>
              </w:rPr>
            </w:pPr>
            <w:r>
              <w:rPr>
                <w:rFonts w:cs="Calibri"/>
              </w:rPr>
              <w:t>2</w:t>
            </w:r>
            <w:r w:rsidR="00615463" w:rsidRPr="00827D9D">
              <w:rPr>
                <w:rFonts w:cs="Calibri"/>
              </w:rPr>
              <w:t>.</w:t>
            </w:r>
            <w:r>
              <w:rPr>
                <w:rFonts w:cs="Calibri"/>
              </w:rPr>
              <w:t>2</w:t>
            </w:r>
          </w:p>
        </w:tc>
        <w:tc>
          <w:tcPr>
            <w:tcW w:w="666" w:type="dxa"/>
            <w:tcBorders>
              <w:top w:val="nil"/>
              <w:left w:val="nil"/>
              <w:bottom w:val="single" w:sz="4" w:space="0" w:color="FFFFFF"/>
              <w:right w:val="nil"/>
            </w:tcBorders>
            <w:shd w:val="clear" w:color="000000" w:fill="F2F2F2"/>
            <w:vAlign w:val="center"/>
            <w:hideMark/>
          </w:tcPr>
          <w:p w14:paraId="3C93F79F" w14:textId="77777777" w:rsidR="00615463" w:rsidRPr="00827D9D" w:rsidRDefault="00615463" w:rsidP="005D6E2B">
            <w:pPr>
              <w:pStyle w:val="Tabletext"/>
              <w:spacing w:line="260" w:lineRule="exact"/>
              <w:jc w:val="center"/>
              <w:rPr>
                <w:rFonts w:cs="Calibri"/>
              </w:rPr>
            </w:pPr>
            <w:r w:rsidRPr="00827D9D">
              <w:rPr>
                <w:rFonts w:cs="Calibri"/>
              </w:rPr>
              <w:t>3.3</w:t>
            </w:r>
          </w:p>
        </w:tc>
        <w:tc>
          <w:tcPr>
            <w:tcW w:w="666" w:type="dxa"/>
            <w:tcBorders>
              <w:top w:val="nil"/>
              <w:left w:val="nil"/>
              <w:bottom w:val="single" w:sz="4" w:space="0" w:color="FFFFFF"/>
              <w:right w:val="nil"/>
            </w:tcBorders>
            <w:shd w:val="clear" w:color="000000" w:fill="F2F2F2"/>
            <w:vAlign w:val="center"/>
            <w:hideMark/>
          </w:tcPr>
          <w:p w14:paraId="138F5EB7" w14:textId="2DEDD818" w:rsidR="00615463" w:rsidRPr="00827D9D" w:rsidRDefault="00615463" w:rsidP="005D6E2B">
            <w:pPr>
              <w:pStyle w:val="Tabletext"/>
              <w:spacing w:line="260" w:lineRule="exact"/>
              <w:jc w:val="center"/>
              <w:rPr>
                <w:rFonts w:cs="Calibri"/>
              </w:rPr>
            </w:pPr>
            <w:r w:rsidRPr="00827D9D">
              <w:rPr>
                <w:rFonts w:cs="Calibri"/>
              </w:rPr>
              <w:t>3.</w:t>
            </w:r>
            <w:r w:rsidR="004B0E7C">
              <w:rPr>
                <w:rFonts w:cs="Calibri"/>
              </w:rPr>
              <w:t>4</w:t>
            </w:r>
          </w:p>
        </w:tc>
      </w:tr>
      <w:tr w:rsidR="00615463" w:rsidRPr="00827D9D" w14:paraId="778742DE" w14:textId="77777777" w:rsidTr="00222043">
        <w:trPr>
          <w:trHeight w:val="397"/>
          <w:jc w:val="center"/>
        </w:trPr>
        <w:tc>
          <w:tcPr>
            <w:tcW w:w="4111" w:type="dxa"/>
            <w:tcBorders>
              <w:top w:val="nil"/>
              <w:left w:val="nil"/>
              <w:bottom w:val="single" w:sz="4" w:space="0" w:color="FFFFFF"/>
              <w:right w:val="nil"/>
            </w:tcBorders>
            <w:shd w:val="clear" w:color="000000" w:fill="D9D9D9"/>
            <w:vAlign w:val="center"/>
            <w:hideMark/>
          </w:tcPr>
          <w:p w14:paraId="423EC638" w14:textId="77777777" w:rsidR="00615463" w:rsidRPr="00827D9D" w:rsidRDefault="00615463" w:rsidP="005D6E2B">
            <w:pPr>
              <w:pStyle w:val="Tabletext"/>
              <w:spacing w:line="260" w:lineRule="exact"/>
              <w:rPr>
                <w:rFonts w:cs="Calibri"/>
              </w:rPr>
            </w:pPr>
            <w:r w:rsidRPr="00827D9D">
              <w:rPr>
                <w:rFonts w:cs="Calibri"/>
              </w:rPr>
              <w:t>17. Capital transfers</w:t>
            </w:r>
          </w:p>
        </w:tc>
        <w:tc>
          <w:tcPr>
            <w:tcW w:w="1857" w:type="dxa"/>
            <w:tcBorders>
              <w:top w:val="nil"/>
              <w:left w:val="nil"/>
              <w:bottom w:val="single" w:sz="4" w:space="0" w:color="FFFFFF"/>
              <w:right w:val="nil"/>
            </w:tcBorders>
            <w:shd w:val="clear" w:color="000000" w:fill="D9D9D9"/>
            <w:vAlign w:val="center"/>
            <w:hideMark/>
          </w:tcPr>
          <w:p w14:paraId="7D473BEA" w14:textId="77777777" w:rsidR="00615463" w:rsidRPr="00827D9D" w:rsidRDefault="00615463" w:rsidP="005D6E2B">
            <w:pPr>
              <w:pStyle w:val="Tabletext"/>
              <w:spacing w:line="260" w:lineRule="exact"/>
              <w:rPr>
                <w:rFonts w:cs="Calibri"/>
              </w:rPr>
            </w:pPr>
            <w:r w:rsidRPr="00827D9D">
              <w:rPr>
                <w:rFonts w:cs="Calibri"/>
              </w:rPr>
              <w:t>D.9</w:t>
            </w:r>
          </w:p>
        </w:tc>
        <w:tc>
          <w:tcPr>
            <w:tcW w:w="975" w:type="dxa"/>
            <w:tcBorders>
              <w:top w:val="nil"/>
              <w:left w:val="single" w:sz="4" w:space="0" w:color="FFFFFF"/>
              <w:bottom w:val="single" w:sz="4" w:space="0" w:color="FFFFFF"/>
              <w:right w:val="single" w:sz="4" w:space="0" w:color="FFFFFF"/>
            </w:tcBorders>
            <w:shd w:val="clear" w:color="000000" w:fill="D9D9D9"/>
            <w:vAlign w:val="center"/>
            <w:hideMark/>
          </w:tcPr>
          <w:p w14:paraId="30D27D97" w14:textId="77777777" w:rsidR="00615463" w:rsidRPr="00827D9D" w:rsidRDefault="00615463" w:rsidP="005D6E2B">
            <w:pPr>
              <w:pStyle w:val="Tabletext"/>
              <w:spacing w:line="260" w:lineRule="exact"/>
              <w:jc w:val="center"/>
              <w:rPr>
                <w:rFonts w:cs="Calibri"/>
              </w:rPr>
            </w:pPr>
            <w:r w:rsidRPr="00827D9D">
              <w:rPr>
                <w:rFonts w:cs="Calibri"/>
              </w:rPr>
              <w:t>6.8</w:t>
            </w:r>
          </w:p>
        </w:tc>
        <w:tc>
          <w:tcPr>
            <w:tcW w:w="666" w:type="dxa"/>
            <w:tcBorders>
              <w:top w:val="nil"/>
              <w:left w:val="nil"/>
              <w:bottom w:val="single" w:sz="4" w:space="0" w:color="FFFFFF"/>
              <w:right w:val="nil"/>
            </w:tcBorders>
            <w:shd w:val="clear" w:color="000000" w:fill="D9D9D9"/>
            <w:vAlign w:val="center"/>
            <w:hideMark/>
          </w:tcPr>
          <w:p w14:paraId="1628CDD1" w14:textId="77777777" w:rsidR="00615463" w:rsidRPr="00827D9D" w:rsidRDefault="00615463" w:rsidP="005D6E2B">
            <w:pPr>
              <w:pStyle w:val="Tabletext"/>
              <w:spacing w:line="260" w:lineRule="exact"/>
              <w:jc w:val="center"/>
              <w:rPr>
                <w:rFonts w:cs="Calibri"/>
              </w:rPr>
            </w:pPr>
            <w:r w:rsidRPr="00827D9D">
              <w:rPr>
                <w:rFonts w:cs="Calibri"/>
              </w:rPr>
              <w:t>2.8</w:t>
            </w:r>
          </w:p>
        </w:tc>
        <w:tc>
          <w:tcPr>
            <w:tcW w:w="666" w:type="dxa"/>
            <w:tcBorders>
              <w:top w:val="nil"/>
              <w:left w:val="nil"/>
              <w:bottom w:val="single" w:sz="4" w:space="0" w:color="FFFFFF"/>
              <w:right w:val="nil"/>
            </w:tcBorders>
            <w:shd w:val="clear" w:color="000000" w:fill="D9D9D9"/>
            <w:vAlign w:val="center"/>
            <w:hideMark/>
          </w:tcPr>
          <w:p w14:paraId="366C9B1A" w14:textId="77777777" w:rsidR="00615463" w:rsidRPr="00827D9D" w:rsidRDefault="00615463" w:rsidP="005D6E2B">
            <w:pPr>
              <w:pStyle w:val="Tabletext"/>
              <w:spacing w:line="260" w:lineRule="exact"/>
              <w:jc w:val="center"/>
              <w:rPr>
                <w:rFonts w:cs="Calibri"/>
              </w:rPr>
            </w:pPr>
            <w:r w:rsidRPr="00827D9D">
              <w:rPr>
                <w:rFonts w:cs="Calibri"/>
              </w:rPr>
              <w:t>1.8</w:t>
            </w:r>
          </w:p>
        </w:tc>
        <w:tc>
          <w:tcPr>
            <w:tcW w:w="666" w:type="dxa"/>
            <w:tcBorders>
              <w:top w:val="nil"/>
              <w:left w:val="nil"/>
              <w:bottom w:val="single" w:sz="4" w:space="0" w:color="FFFFFF"/>
              <w:right w:val="nil"/>
            </w:tcBorders>
            <w:shd w:val="clear" w:color="000000" w:fill="D9D9D9"/>
            <w:vAlign w:val="center"/>
            <w:hideMark/>
          </w:tcPr>
          <w:p w14:paraId="7F86F58E" w14:textId="77777777" w:rsidR="00615463" w:rsidRPr="00827D9D" w:rsidRDefault="00615463" w:rsidP="005D6E2B">
            <w:pPr>
              <w:pStyle w:val="Tabletext"/>
              <w:spacing w:line="260" w:lineRule="exact"/>
              <w:jc w:val="center"/>
              <w:rPr>
                <w:rFonts w:cs="Calibri"/>
              </w:rPr>
            </w:pPr>
            <w:r w:rsidRPr="00827D9D">
              <w:rPr>
                <w:rFonts w:cs="Calibri"/>
              </w:rPr>
              <w:t>1.9</w:t>
            </w:r>
          </w:p>
        </w:tc>
      </w:tr>
      <w:tr w:rsidR="00615463" w:rsidRPr="00827D9D" w14:paraId="450F61F5" w14:textId="77777777" w:rsidTr="00222043">
        <w:trPr>
          <w:trHeight w:val="397"/>
          <w:jc w:val="center"/>
        </w:trPr>
        <w:tc>
          <w:tcPr>
            <w:tcW w:w="4111" w:type="dxa"/>
            <w:tcBorders>
              <w:top w:val="nil"/>
              <w:left w:val="nil"/>
              <w:bottom w:val="single" w:sz="4" w:space="0" w:color="FFFFFF"/>
              <w:right w:val="nil"/>
            </w:tcBorders>
            <w:shd w:val="clear" w:color="000000" w:fill="F2F2F2"/>
            <w:vAlign w:val="center"/>
            <w:hideMark/>
          </w:tcPr>
          <w:p w14:paraId="1B1D2946" w14:textId="77777777" w:rsidR="00615463" w:rsidRPr="00827D9D" w:rsidRDefault="00615463" w:rsidP="005D6E2B">
            <w:pPr>
              <w:pStyle w:val="Tabletext"/>
              <w:spacing w:line="260" w:lineRule="exact"/>
              <w:rPr>
                <w:rFonts w:cs="Calibri"/>
              </w:rPr>
            </w:pPr>
            <w:r w:rsidRPr="00827D9D">
              <w:rPr>
                <w:rFonts w:cs="Calibri"/>
              </w:rPr>
              <w:t>18. Other capital expenditure</w:t>
            </w:r>
          </w:p>
        </w:tc>
        <w:tc>
          <w:tcPr>
            <w:tcW w:w="1857" w:type="dxa"/>
            <w:tcBorders>
              <w:top w:val="nil"/>
              <w:left w:val="nil"/>
              <w:bottom w:val="single" w:sz="4" w:space="0" w:color="FFFFFF"/>
              <w:right w:val="nil"/>
            </w:tcBorders>
            <w:shd w:val="clear" w:color="000000" w:fill="F2F2F2"/>
            <w:vAlign w:val="center"/>
            <w:hideMark/>
          </w:tcPr>
          <w:p w14:paraId="48C52830" w14:textId="77777777" w:rsidR="00615463" w:rsidRPr="00827D9D" w:rsidRDefault="00615463" w:rsidP="005D6E2B">
            <w:pPr>
              <w:pStyle w:val="Tabletext"/>
              <w:spacing w:line="260" w:lineRule="exact"/>
              <w:rPr>
                <w:rFonts w:cs="Calibri"/>
              </w:rPr>
            </w:pPr>
            <w:r w:rsidRPr="00827D9D">
              <w:rPr>
                <w:rFonts w:cs="Calibri"/>
              </w:rPr>
              <w:t>P.52+P.53+NP</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4EA39766" w14:textId="77777777" w:rsidR="00615463" w:rsidRPr="00827D9D" w:rsidRDefault="00615463" w:rsidP="005D6E2B">
            <w:pPr>
              <w:pStyle w:val="Tabletext"/>
              <w:spacing w:line="260" w:lineRule="exact"/>
              <w:jc w:val="center"/>
              <w:rPr>
                <w:rFonts w:cs="Calibri"/>
              </w:rPr>
            </w:pPr>
            <w:r w:rsidRPr="00827D9D">
              <w:rPr>
                <w:rFonts w:cs="Calibri"/>
              </w:rPr>
              <w:t>0.4</w:t>
            </w:r>
          </w:p>
        </w:tc>
        <w:tc>
          <w:tcPr>
            <w:tcW w:w="666" w:type="dxa"/>
            <w:tcBorders>
              <w:top w:val="nil"/>
              <w:left w:val="nil"/>
              <w:bottom w:val="single" w:sz="4" w:space="0" w:color="FFFFFF"/>
              <w:right w:val="nil"/>
            </w:tcBorders>
            <w:shd w:val="clear" w:color="000000" w:fill="F2F2F2"/>
            <w:vAlign w:val="center"/>
            <w:hideMark/>
          </w:tcPr>
          <w:p w14:paraId="74F3F559" w14:textId="77777777" w:rsidR="00615463" w:rsidRPr="00827D9D" w:rsidRDefault="00615463" w:rsidP="005D6E2B">
            <w:pPr>
              <w:pStyle w:val="Tabletext"/>
              <w:spacing w:line="260" w:lineRule="exact"/>
              <w:jc w:val="center"/>
              <w:rPr>
                <w:rFonts w:cs="Calibri"/>
              </w:rPr>
            </w:pPr>
            <w:r w:rsidRPr="00827D9D">
              <w:rPr>
                <w:rFonts w:cs="Calibri"/>
              </w:rPr>
              <w:t>0.2</w:t>
            </w:r>
          </w:p>
        </w:tc>
        <w:tc>
          <w:tcPr>
            <w:tcW w:w="666" w:type="dxa"/>
            <w:tcBorders>
              <w:top w:val="nil"/>
              <w:left w:val="nil"/>
              <w:bottom w:val="single" w:sz="4" w:space="0" w:color="FFFFFF"/>
              <w:right w:val="nil"/>
            </w:tcBorders>
            <w:shd w:val="clear" w:color="000000" w:fill="F2F2F2"/>
            <w:vAlign w:val="center"/>
            <w:hideMark/>
          </w:tcPr>
          <w:p w14:paraId="4E185A9B" w14:textId="77777777" w:rsidR="00615463" w:rsidRPr="00827D9D" w:rsidRDefault="00615463" w:rsidP="005D6E2B">
            <w:pPr>
              <w:pStyle w:val="Tabletext"/>
              <w:spacing w:line="260" w:lineRule="exact"/>
              <w:jc w:val="center"/>
              <w:rPr>
                <w:rFonts w:cs="Calibri"/>
              </w:rPr>
            </w:pPr>
            <w:r w:rsidRPr="00827D9D">
              <w:rPr>
                <w:rFonts w:cs="Calibri"/>
              </w:rPr>
              <w:t>0.0</w:t>
            </w:r>
          </w:p>
        </w:tc>
        <w:tc>
          <w:tcPr>
            <w:tcW w:w="666" w:type="dxa"/>
            <w:tcBorders>
              <w:top w:val="nil"/>
              <w:left w:val="nil"/>
              <w:bottom w:val="single" w:sz="4" w:space="0" w:color="FFFFFF"/>
              <w:right w:val="nil"/>
            </w:tcBorders>
            <w:shd w:val="clear" w:color="000000" w:fill="F2F2F2"/>
            <w:vAlign w:val="center"/>
            <w:hideMark/>
          </w:tcPr>
          <w:p w14:paraId="1758CF24" w14:textId="77777777" w:rsidR="00615463" w:rsidRPr="00827D9D" w:rsidRDefault="00615463" w:rsidP="005D6E2B">
            <w:pPr>
              <w:pStyle w:val="Tabletext"/>
              <w:spacing w:line="260" w:lineRule="exact"/>
              <w:jc w:val="center"/>
              <w:rPr>
                <w:rFonts w:cs="Calibri"/>
              </w:rPr>
            </w:pPr>
            <w:r w:rsidRPr="00827D9D">
              <w:rPr>
                <w:rFonts w:cs="Calibri"/>
              </w:rPr>
              <w:t>0.0</w:t>
            </w:r>
          </w:p>
        </w:tc>
      </w:tr>
      <w:tr w:rsidR="00615463" w:rsidRPr="00827D9D" w14:paraId="6CD40A01" w14:textId="77777777" w:rsidTr="00222043">
        <w:trPr>
          <w:trHeight w:val="740"/>
          <w:jc w:val="center"/>
        </w:trPr>
        <w:tc>
          <w:tcPr>
            <w:tcW w:w="4111" w:type="dxa"/>
            <w:tcBorders>
              <w:top w:val="nil"/>
              <w:left w:val="nil"/>
              <w:right w:val="nil"/>
            </w:tcBorders>
            <w:shd w:val="clear" w:color="000000" w:fill="D9D9D9"/>
            <w:vAlign w:val="center"/>
            <w:hideMark/>
          </w:tcPr>
          <w:p w14:paraId="7A2DD196" w14:textId="77777777" w:rsidR="00615463" w:rsidRPr="00827D9D" w:rsidRDefault="00615463" w:rsidP="005D6E2B">
            <w:pPr>
              <w:pStyle w:val="Tabletext"/>
              <w:spacing w:line="260" w:lineRule="exact"/>
              <w:ind w:left="321" w:hanging="321"/>
              <w:rPr>
                <w:rFonts w:cs="Calibri"/>
              </w:rPr>
            </w:pPr>
            <w:r w:rsidRPr="00827D9D">
              <w:rPr>
                <w:rFonts w:cs="Calibri"/>
              </w:rPr>
              <w:t xml:space="preserve">19. Total expenditure </w:t>
            </w:r>
            <w:r>
              <w:rPr>
                <w:rFonts w:cs="Calibri"/>
              </w:rPr>
              <w:br/>
            </w:r>
            <w:r w:rsidRPr="00827D9D">
              <w:rPr>
                <w:rFonts w:cs="Calibri"/>
              </w:rPr>
              <w:t>(= 8+9+10+11+12+13+14+15+17+18)</w:t>
            </w:r>
          </w:p>
        </w:tc>
        <w:tc>
          <w:tcPr>
            <w:tcW w:w="1857" w:type="dxa"/>
            <w:tcBorders>
              <w:top w:val="nil"/>
              <w:left w:val="nil"/>
              <w:right w:val="nil"/>
            </w:tcBorders>
            <w:shd w:val="clear" w:color="000000" w:fill="D9D9D9"/>
            <w:vAlign w:val="center"/>
            <w:hideMark/>
          </w:tcPr>
          <w:p w14:paraId="4ACE62AD" w14:textId="77777777" w:rsidR="00615463" w:rsidRPr="00827D9D" w:rsidRDefault="00615463" w:rsidP="005D6E2B">
            <w:pPr>
              <w:pStyle w:val="Tabletext"/>
              <w:spacing w:line="260" w:lineRule="exact"/>
              <w:rPr>
                <w:rFonts w:cs="Calibri"/>
              </w:rPr>
            </w:pPr>
            <w:r w:rsidRPr="00827D9D">
              <w:rPr>
                <w:rFonts w:cs="Calibri"/>
              </w:rPr>
              <w:t>TE</w:t>
            </w:r>
          </w:p>
        </w:tc>
        <w:tc>
          <w:tcPr>
            <w:tcW w:w="975" w:type="dxa"/>
            <w:tcBorders>
              <w:top w:val="nil"/>
              <w:left w:val="single" w:sz="4" w:space="0" w:color="FFFFFF"/>
              <w:right w:val="single" w:sz="4" w:space="0" w:color="FFFFFF"/>
            </w:tcBorders>
            <w:shd w:val="clear" w:color="000000" w:fill="D9D9D9"/>
            <w:vAlign w:val="center"/>
            <w:hideMark/>
          </w:tcPr>
          <w:p w14:paraId="6AAC5200" w14:textId="77777777" w:rsidR="00615463" w:rsidRPr="00827D9D" w:rsidRDefault="00615463" w:rsidP="005D6E2B">
            <w:pPr>
              <w:pStyle w:val="Tabletext"/>
              <w:spacing w:line="260" w:lineRule="exact"/>
              <w:jc w:val="center"/>
              <w:rPr>
                <w:rFonts w:cs="Calibri"/>
              </w:rPr>
            </w:pPr>
            <w:r w:rsidRPr="00827D9D">
              <w:rPr>
                <w:rFonts w:cs="Calibri"/>
              </w:rPr>
              <w:t>114.2</w:t>
            </w:r>
          </w:p>
        </w:tc>
        <w:tc>
          <w:tcPr>
            <w:tcW w:w="666" w:type="dxa"/>
            <w:tcBorders>
              <w:top w:val="nil"/>
              <w:left w:val="nil"/>
              <w:right w:val="nil"/>
            </w:tcBorders>
            <w:shd w:val="clear" w:color="000000" w:fill="D9D9D9"/>
            <w:vAlign w:val="center"/>
            <w:hideMark/>
          </w:tcPr>
          <w:p w14:paraId="6FD2AAF4" w14:textId="77777777" w:rsidR="00615463" w:rsidRPr="00827D9D" w:rsidRDefault="00615463" w:rsidP="005D6E2B">
            <w:pPr>
              <w:pStyle w:val="Tabletext"/>
              <w:spacing w:line="260" w:lineRule="exact"/>
              <w:jc w:val="center"/>
              <w:rPr>
                <w:rFonts w:cs="Calibri"/>
              </w:rPr>
            </w:pPr>
            <w:r w:rsidRPr="00827D9D">
              <w:rPr>
                <w:rFonts w:cs="Calibri"/>
              </w:rPr>
              <w:t>48.1</w:t>
            </w:r>
          </w:p>
        </w:tc>
        <w:tc>
          <w:tcPr>
            <w:tcW w:w="666" w:type="dxa"/>
            <w:tcBorders>
              <w:top w:val="nil"/>
              <w:left w:val="nil"/>
              <w:right w:val="nil"/>
            </w:tcBorders>
            <w:shd w:val="clear" w:color="000000" w:fill="D9D9D9"/>
            <w:vAlign w:val="center"/>
            <w:hideMark/>
          </w:tcPr>
          <w:p w14:paraId="7FF5547D" w14:textId="77777777" w:rsidR="00615463" w:rsidRPr="00827D9D" w:rsidRDefault="00615463" w:rsidP="005D6E2B">
            <w:pPr>
              <w:pStyle w:val="Tabletext"/>
              <w:spacing w:line="260" w:lineRule="exact"/>
              <w:jc w:val="center"/>
              <w:rPr>
                <w:rFonts w:cs="Calibri"/>
              </w:rPr>
            </w:pPr>
            <w:r w:rsidRPr="00827D9D">
              <w:rPr>
                <w:rFonts w:cs="Calibri"/>
              </w:rPr>
              <w:t>48.5</w:t>
            </w:r>
          </w:p>
        </w:tc>
        <w:tc>
          <w:tcPr>
            <w:tcW w:w="666" w:type="dxa"/>
            <w:tcBorders>
              <w:top w:val="nil"/>
              <w:left w:val="nil"/>
              <w:right w:val="nil"/>
            </w:tcBorders>
            <w:shd w:val="clear" w:color="000000" w:fill="D9D9D9"/>
            <w:vAlign w:val="center"/>
            <w:hideMark/>
          </w:tcPr>
          <w:p w14:paraId="01B73760" w14:textId="77777777" w:rsidR="00615463" w:rsidRPr="00827D9D" w:rsidRDefault="00615463" w:rsidP="005D6E2B">
            <w:pPr>
              <w:pStyle w:val="Tabletext"/>
              <w:spacing w:line="260" w:lineRule="exact"/>
              <w:jc w:val="center"/>
              <w:rPr>
                <w:rFonts w:cs="Calibri"/>
              </w:rPr>
            </w:pPr>
            <w:r w:rsidRPr="00827D9D">
              <w:rPr>
                <w:rFonts w:cs="Calibri"/>
              </w:rPr>
              <w:t>49.6</w:t>
            </w:r>
          </w:p>
        </w:tc>
      </w:tr>
      <w:tr w:rsidR="00615463" w:rsidRPr="00D955E8" w14:paraId="2EB8AC82" w14:textId="77777777" w:rsidTr="00222043">
        <w:trPr>
          <w:trHeight w:val="562"/>
          <w:jc w:val="center"/>
        </w:trPr>
        <w:tc>
          <w:tcPr>
            <w:tcW w:w="4111" w:type="dxa"/>
            <w:tcBorders>
              <w:top w:val="nil"/>
              <w:left w:val="nil"/>
              <w:bottom w:val="nil"/>
            </w:tcBorders>
            <w:shd w:val="clear" w:color="000000" w:fill="BFBFBF"/>
            <w:vAlign w:val="center"/>
            <w:hideMark/>
          </w:tcPr>
          <w:p w14:paraId="1D90C80C" w14:textId="77777777" w:rsidR="00615463" w:rsidRPr="00D955E8" w:rsidRDefault="00615463" w:rsidP="005D6E2B">
            <w:pPr>
              <w:pStyle w:val="Tabletext"/>
              <w:spacing w:line="260" w:lineRule="exact"/>
              <w:rPr>
                <w:b/>
                <w:sz w:val="24"/>
              </w:rPr>
            </w:pPr>
            <w:r w:rsidRPr="00D955E8">
              <w:rPr>
                <w:b/>
                <w:sz w:val="24"/>
              </w:rPr>
              <w:t>Balances</w:t>
            </w:r>
          </w:p>
        </w:tc>
        <w:tc>
          <w:tcPr>
            <w:tcW w:w="1857" w:type="dxa"/>
            <w:tcBorders>
              <w:top w:val="nil"/>
              <w:bottom w:val="nil"/>
            </w:tcBorders>
            <w:shd w:val="clear" w:color="000000" w:fill="BFBFBF"/>
            <w:vAlign w:val="center"/>
            <w:hideMark/>
          </w:tcPr>
          <w:p w14:paraId="56572C54" w14:textId="77777777" w:rsidR="00615463" w:rsidRPr="00D955E8" w:rsidRDefault="00615463" w:rsidP="005D6E2B">
            <w:pPr>
              <w:pStyle w:val="Tabletext"/>
              <w:spacing w:line="260" w:lineRule="exact"/>
              <w:rPr>
                <w:b/>
                <w:sz w:val="24"/>
              </w:rPr>
            </w:pPr>
            <w:r w:rsidRPr="00D955E8">
              <w:rPr>
                <w:b/>
                <w:sz w:val="24"/>
              </w:rPr>
              <w:t> </w:t>
            </w:r>
          </w:p>
        </w:tc>
        <w:tc>
          <w:tcPr>
            <w:tcW w:w="975" w:type="dxa"/>
            <w:tcBorders>
              <w:top w:val="nil"/>
              <w:bottom w:val="nil"/>
            </w:tcBorders>
            <w:shd w:val="clear" w:color="000000" w:fill="BFBFBF"/>
            <w:vAlign w:val="center"/>
            <w:hideMark/>
          </w:tcPr>
          <w:p w14:paraId="694C86A7" w14:textId="77777777" w:rsidR="00615463" w:rsidRPr="00D955E8" w:rsidRDefault="00615463" w:rsidP="005D6E2B">
            <w:pPr>
              <w:pStyle w:val="Tabletext"/>
              <w:spacing w:line="260" w:lineRule="exact"/>
              <w:jc w:val="center"/>
              <w:rPr>
                <w:b/>
                <w:sz w:val="24"/>
              </w:rPr>
            </w:pPr>
          </w:p>
        </w:tc>
        <w:tc>
          <w:tcPr>
            <w:tcW w:w="666" w:type="dxa"/>
            <w:tcBorders>
              <w:top w:val="nil"/>
              <w:bottom w:val="nil"/>
            </w:tcBorders>
            <w:shd w:val="clear" w:color="000000" w:fill="BFBFBF"/>
            <w:vAlign w:val="center"/>
            <w:hideMark/>
          </w:tcPr>
          <w:p w14:paraId="37D6A356" w14:textId="77777777" w:rsidR="00615463" w:rsidRPr="00D955E8" w:rsidRDefault="00615463" w:rsidP="005D6E2B">
            <w:pPr>
              <w:pStyle w:val="Tabletext"/>
              <w:spacing w:line="260" w:lineRule="exact"/>
              <w:jc w:val="center"/>
              <w:rPr>
                <w:b/>
                <w:sz w:val="24"/>
              </w:rPr>
            </w:pPr>
          </w:p>
        </w:tc>
        <w:tc>
          <w:tcPr>
            <w:tcW w:w="666" w:type="dxa"/>
            <w:tcBorders>
              <w:top w:val="nil"/>
              <w:bottom w:val="nil"/>
            </w:tcBorders>
            <w:shd w:val="clear" w:color="000000" w:fill="BFBFBF"/>
            <w:vAlign w:val="center"/>
            <w:hideMark/>
          </w:tcPr>
          <w:p w14:paraId="4044FEF2" w14:textId="77777777" w:rsidR="00615463" w:rsidRPr="00D955E8" w:rsidRDefault="00615463" w:rsidP="005D6E2B">
            <w:pPr>
              <w:pStyle w:val="Tabletext"/>
              <w:spacing w:line="260" w:lineRule="exact"/>
              <w:jc w:val="center"/>
              <w:rPr>
                <w:b/>
                <w:sz w:val="24"/>
              </w:rPr>
            </w:pPr>
          </w:p>
        </w:tc>
        <w:tc>
          <w:tcPr>
            <w:tcW w:w="666" w:type="dxa"/>
            <w:tcBorders>
              <w:top w:val="nil"/>
              <w:bottom w:val="nil"/>
              <w:right w:val="nil"/>
            </w:tcBorders>
            <w:shd w:val="clear" w:color="000000" w:fill="BFBFBF"/>
            <w:vAlign w:val="center"/>
            <w:hideMark/>
          </w:tcPr>
          <w:p w14:paraId="31F5688D" w14:textId="77777777" w:rsidR="00615463" w:rsidRPr="00D955E8" w:rsidRDefault="00615463" w:rsidP="005D6E2B">
            <w:pPr>
              <w:pStyle w:val="Tabletext"/>
              <w:spacing w:line="260" w:lineRule="exact"/>
              <w:jc w:val="center"/>
              <w:rPr>
                <w:b/>
                <w:sz w:val="24"/>
              </w:rPr>
            </w:pPr>
          </w:p>
        </w:tc>
      </w:tr>
      <w:tr w:rsidR="00615463" w:rsidRPr="00827D9D" w14:paraId="09DBCBDE" w14:textId="77777777" w:rsidTr="00222043">
        <w:trPr>
          <w:trHeight w:val="455"/>
          <w:jc w:val="center"/>
        </w:trPr>
        <w:tc>
          <w:tcPr>
            <w:tcW w:w="4111" w:type="dxa"/>
            <w:tcBorders>
              <w:top w:val="nil"/>
              <w:left w:val="nil"/>
              <w:bottom w:val="single" w:sz="4" w:space="0" w:color="FFFFFF"/>
              <w:right w:val="nil"/>
            </w:tcBorders>
            <w:shd w:val="clear" w:color="000000" w:fill="F2F2F2"/>
            <w:vAlign w:val="center"/>
            <w:hideMark/>
          </w:tcPr>
          <w:p w14:paraId="7DBED568" w14:textId="77777777" w:rsidR="00615463" w:rsidRPr="00827D9D" w:rsidRDefault="00615463" w:rsidP="005D6E2B">
            <w:pPr>
              <w:pStyle w:val="Tabletext"/>
              <w:spacing w:line="260" w:lineRule="exact"/>
              <w:rPr>
                <w:rFonts w:cs="Calibri"/>
              </w:rPr>
            </w:pPr>
            <w:r w:rsidRPr="00827D9D">
              <w:rPr>
                <w:rFonts w:cs="Calibri"/>
              </w:rPr>
              <w:t>20. Net lending/borrowing (= 7-19)</w:t>
            </w:r>
          </w:p>
        </w:tc>
        <w:tc>
          <w:tcPr>
            <w:tcW w:w="1857" w:type="dxa"/>
            <w:tcBorders>
              <w:top w:val="nil"/>
              <w:left w:val="nil"/>
              <w:bottom w:val="single" w:sz="4" w:space="0" w:color="FFFFFF"/>
              <w:right w:val="nil"/>
            </w:tcBorders>
            <w:shd w:val="clear" w:color="000000" w:fill="F2F2F2"/>
            <w:vAlign w:val="center"/>
            <w:hideMark/>
          </w:tcPr>
          <w:p w14:paraId="1D0E0359" w14:textId="77777777" w:rsidR="00615463" w:rsidRPr="00827D9D" w:rsidRDefault="00615463" w:rsidP="005D6E2B">
            <w:pPr>
              <w:pStyle w:val="Tabletext"/>
              <w:spacing w:line="260" w:lineRule="exact"/>
              <w:rPr>
                <w:rFonts w:cs="Calibri"/>
              </w:rPr>
            </w:pPr>
            <w:r w:rsidRPr="00827D9D">
              <w:rPr>
                <w:rFonts w:cs="Calibri"/>
              </w:rPr>
              <w:t>B.9</w:t>
            </w:r>
          </w:p>
        </w:tc>
        <w:tc>
          <w:tcPr>
            <w:tcW w:w="975" w:type="dxa"/>
            <w:tcBorders>
              <w:top w:val="nil"/>
              <w:left w:val="single" w:sz="4" w:space="0" w:color="FFFFFF"/>
              <w:bottom w:val="single" w:sz="4" w:space="0" w:color="FFFFFF"/>
              <w:right w:val="single" w:sz="4" w:space="0" w:color="FFFFFF"/>
            </w:tcBorders>
            <w:shd w:val="clear" w:color="000000" w:fill="F2F2F2"/>
            <w:vAlign w:val="center"/>
            <w:hideMark/>
          </w:tcPr>
          <w:p w14:paraId="3DA33DE1" w14:textId="77777777" w:rsidR="00615463" w:rsidRPr="00827D9D" w:rsidRDefault="00615463" w:rsidP="005D6E2B">
            <w:pPr>
              <w:pStyle w:val="Tabletext"/>
              <w:spacing w:line="260" w:lineRule="exact"/>
              <w:jc w:val="center"/>
              <w:rPr>
                <w:rFonts w:cs="Calibri"/>
              </w:rPr>
            </w:pPr>
            <w:r w:rsidRPr="00827D9D">
              <w:rPr>
                <w:rFonts w:cs="Calibri"/>
              </w:rPr>
              <w:t>3.2</w:t>
            </w:r>
          </w:p>
        </w:tc>
        <w:tc>
          <w:tcPr>
            <w:tcW w:w="666" w:type="dxa"/>
            <w:tcBorders>
              <w:top w:val="nil"/>
              <w:left w:val="nil"/>
              <w:bottom w:val="single" w:sz="4" w:space="0" w:color="FFFFFF"/>
              <w:right w:val="nil"/>
            </w:tcBorders>
            <w:shd w:val="clear" w:color="000000" w:fill="F2F2F2"/>
            <w:vAlign w:val="center"/>
            <w:hideMark/>
          </w:tcPr>
          <w:p w14:paraId="3A89C4B1" w14:textId="77777777" w:rsidR="00615463" w:rsidRPr="00827D9D" w:rsidRDefault="00615463" w:rsidP="005D6E2B">
            <w:pPr>
              <w:pStyle w:val="Tabletext"/>
              <w:spacing w:line="260" w:lineRule="exact"/>
              <w:jc w:val="center"/>
              <w:rPr>
                <w:rFonts w:cs="Calibri"/>
              </w:rPr>
            </w:pPr>
            <w:r w:rsidRPr="00827D9D">
              <w:rPr>
                <w:rFonts w:cs="Calibri"/>
              </w:rPr>
              <w:t>1.3</w:t>
            </w:r>
          </w:p>
        </w:tc>
        <w:tc>
          <w:tcPr>
            <w:tcW w:w="666" w:type="dxa"/>
            <w:tcBorders>
              <w:top w:val="nil"/>
              <w:left w:val="nil"/>
              <w:bottom w:val="single" w:sz="4" w:space="0" w:color="FFFFFF"/>
              <w:right w:val="nil"/>
            </w:tcBorders>
            <w:shd w:val="clear" w:color="000000" w:fill="F2F2F2"/>
            <w:vAlign w:val="center"/>
            <w:hideMark/>
          </w:tcPr>
          <w:p w14:paraId="524B9FFA" w14:textId="77777777" w:rsidR="00615463" w:rsidRPr="00827D9D" w:rsidRDefault="00615463" w:rsidP="005D6E2B">
            <w:pPr>
              <w:pStyle w:val="Tabletext"/>
              <w:spacing w:line="260" w:lineRule="exact"/>
              <w:jc w:val="center"/>
              <w:rPr>
                <w:rFonts w:cs="Calibri"/>
              </w:rPr>
            </w:pPr>
            <w:r w:rsidRPr="00827D9D">
              <w:rPr>
                <w:rFonts w:cs="Calibri"/>
              </w:rPr>
              <w:t>0.6</w:t>
            </w:r>
          </w:p>
        </w:tc>
        <w:tc>
          <w:tcPr>
            <w:tcW w:w="666" w:type="dxa"/>
            <w:tcBorders>
              <w:top w:val="nil"/>
              <w:left w:val="nil"/>
              <w:bottom w:val="single" w:sz="4" w:space="0" w:color="FFFFFF"/>
              <w:right w:val="nil"/>
            </w:tcBorders>
            <w:shd w:val="clear" w:color="000000" w:fill="F2F2F2"/>
            <w:vAlign w:val="center"/>
            <w:hideMark/>
          </w:tcPr>
          <w:p w14:paraId="3A452651" w14:textId="77777777" w:rsidR="00615463" w:rsidRPr="00827D9D" w:rsidRDefault="00615463" w:rsidP="005D6E2B">
            <w:pPr>
              <w:pStyle w:val="Tabletext"/>
              <w:spacing w:line="260" w:lineRule="exact"/>
              <w:jc w:val="center"/>
              <w:rPr>
                <w:rFonts w:cs="Calibri"/>
              </w:rPr>
            </w:pPr>
            <w:r w:rsidRPr="00827D9D">
              <w:rPr>
                <w:rFonts w:cs="Calibri"/>
              </w:rPr>
              <w:t>0.5</w:t>
            </w:r>
          </w:p>
        </w:tc>
      </w:tr>
      <w:tr w:rsidR="00615463" w:rsidRPr="00827D9D" w14:paraId="5B2F3D5E" w14:textId="77777777" w:rsidTr="00222043">
        <w:trPr>
          <w:trHeight w:val="607"/>
          <w:jc w:val="center"/>
        </w:trPr>
        <w:tc>
          <w:tcPr>
            <w:tcW w:w="4111" w:type="dxa"/>
            <w:tcBorders>
              <w:top w:val="single" w:sz="4" w:space="0" w:color="FFFFFF"/>
              <w:left w:val="nil"/>
              <w:bottom w:val="single" w:sz="18" w:space="0" w:color="4F81BD" w:themeColor="accent1"/>
              <w:right w:val="nil"/>
            </w:tcBorders>
            <w:shd w:val="clear" w:color="000000" w:fill="D9D9D9"/>
            <w:vAlign w:val="center"/>
            <w:hideMark/>
          </w:tcPr>
          <w:p w14:paraId="5028C057" w14:textId="77777777" w:rsidR="00615463" w:rsidRPr="00827D9D" w:rsidRDefault="00615463" w:rsidP="005D6E2B">
            <w:pPr>
              <w:pStyle w:val="Tabletext"/>
              <w:spacing w:line="260" w:lineRule="exact"/>
              <w:rPr>
                <w:rFonts w:cs="Calibri"/>
              </w:rPr>
            </w:pPr>
            <w:r w:rsidRPr="00827D9D">
              <w:rPr>
                <w:rFonts w:cs="Calibri"/>
              </w:rPr>
              <w:t>21. Primary balance (= 20+10)</w:t>
            </w:r>
          </w:p>
        </w:tc>
        <w:tc>
          <w:tcPr>
            <w:tcW w:w="1857" w:type="dxa"/>
            <w:tcBorders>
              <w:top w:val="single" w:sz="4" w:space="0" w:color="FFFFFF"/>
              <w:left w:val="nil"/>
              <w:bottom w:val="single" w:sz="18" w:space="0" w:color="4F81BD" w:themeColor="accent1"/>
              <w:right w:val="nil"/>
            </w:tcBorders>
            <w:shd w:val="clear" w:color="000000" w:fill="D9D9D9"/>
            <w:vAlign w:val="center"/>
            <w:hideMark/>
          </w:tcPr>
          <w:p w14:paraId="4667A864" w14:textId="77777777" w:rsidR="00615463" w:rsidRPr="00827D9D" w:rsidRDefault="00615463" w:rsidP="005D6E2B">
            <w:pPr>
              <w:pStyle w:val="Tabletext"/>
              <w:spacing w:line="260" w:lineRule="exact"/>
              <w:rPr>
                <w:rFonts w:cs="Calibri"/>
              </w:rPr>
            </w:pPr>
            <w:r w:rsidRPr="00827D9D">
              <w:rPr>
                <w:rFonts w:cs="Calibri"/>
              </w:rPr>
              <w:t>B.9+D.41p</w:t>
            </w:r>
          </w:p>
        </w:tc>
        <w:tc>
          <w:tcPr>
            <w:tcW w:w="975" w:type="dxa"/>
            <w:tcBorders>
              <w:top w:val="single" w:sz="4" w:space="0" w:color="FFFFFF"/>
              <w:left w:val="single" w:sz="4" w:space="0" w:color="FFFFFF"/>
              <w:bottom w:val="single" w:sz="18" w:space="0" w:color="4F81BD" w:themeColor="accent1"/>
              <w:right w:val="single" w:sz="4" w:space="0" w:color="FFFFFF"/>
            </w:tcBorders>
            <w:shd w:val="clear" w:color="000000" w:fill="D9D9D9"/>
            <w:vAlign w:val="center"/>
            <w:hideMark/>
          </w:tcPr>
          <w:p w14:paraId="11B3D58E" w14:textId="77777777" w:rsidR="00615463" w:rsidRPr="00827D9D" w:rsidRDefault="00615463" w:rsidP="005D6E2B">
            <w:pPr>
              <w:pStyle w:val="Tabletext"/>
              <w:spacing w:line="260" w:lineRule="exact"/>
              <w:jc w:val="center"/>
              <w:rPr>
                <w:rFonts w:cs="Calibri"/>
              </w:rPr>
            </w:pPr>
            <w:r w:rsidRPr="00827D9D">
              <w:rPr>
                <w:rFonts w:cs="Calibri"/>
              </w:rPr>
              <w:t>11.4</w:t>
            </w:r>
          </w:p>
        </w:tc>
        <w:tc>
          <w:tcPr>
            <w:tcW w:w="666" w:type="dxa"/>
            <w:tcBorders>
              <w:top w:val="single" w:sz="4" w:space="0" w:color="FFFFFF"/>
              <w:left w:val="nil"/>
              <w:bottom w:val="single" w:sz="18" w:space="0" w:color="4F81BD" w:themeColor="accent1"/>
              <w:right w:val="nil"/>
            </w:tcBorders>
            <w:shd w:val="clear" w:color="000000" w:fill="D9D9D9"/>
            <w:vAlign w:val="center"/>
            <w:hideMark/>
          </w:tcPr>
          <w:p w14:paraId="3B14582B" w14:textId="77777777" w:rsidR="00615463" w:rsidRPr="00827D9D" w:rsidRDefault="00615463" w:rsidP="005D6E2B">
            <w:pPr>
              <w:pStyle w:val="Tabletext"/>
              <w:spacing w:line="260" w:lineRule="exact"/>
              <w:jc w:val="center"/>
              <w:rPr>
                <w:rFonts w:cs="Calibri"/>
              </w:rPr>
            </w:pPr>
            <w:r w:rsidRPr="00827D9D">
              <w:rPr>
                <w:rFonts w:cs="Calibri"/>
              </w:rPr>
              <w:t>4.8</w:t>
            </w:r>
          </w:p>
        </w:tc>
        <w:tc>
          <w:tcPr>
            <w:tcW w:w="666" w:type="dxa"/>
            <w:tcBorders>
              <w:top w:val="single" w:sz="4" w:space="0" w:color="FFFFFF"/>
              <w:left w:val="nil"/>
              <w:bottom w:val="single" w:sz="18" w:space="0" w:color="4F81BD" w:themeColor="accent1"/>
              <w:right w:val="nil"/>
            </w:tcBorders>
            <w:shd w:val="clear" w:color="000000" w:fill="D9D9D9"/>
            <w:vAlign w:val="center"/>
            <w:hideMark/>
          </w:tcPr>
          <w:p w14:paraId="16872A36" w14:textId="77777777" w:rsidR="00615463" w:rsidRPr="00827D9D" w:rsidRDefault="00615463" w:rsidP="005D6E2B">
            <w:pPr>
              <w:pStyle w:val="Tabletext"/>
              <w:spacing w:line="260" w:lineRule="exact"/>
              <w:jc w:val="center"/>
              <w:rPr>
                <w:rFonts w:cs="Calibri"/>
              </w:rPr>
            </w:pPr>
            <w:r w:rsidRPr="00827D9D">
              <w:rPr>
                <w:rFonts w:cs="Calibri"/>
              </w:rPr>
              <w:t>3.7</w:t>
            </w:r>
          </w:p>
        </w:tc>
        <w:tc>
          <w:tcPr>
            <w:tcW w:w="666" w:type="dxa"/>
            <w:tcBorders>
              <w:top w:val="single" w:sz="4" w:space="0" w:color="FFFFFF"/>
              <w:left w:val="nil"/>
              <w:bottom w:val="single" w:sz="18" w:space="0" w:color="4F81BD" w:themeColor="accent1"/>
              <w:right w:val="nil"/>
            </w:tcBorders>
            <w:shd w:val="clear" w:color="000000" w:fill="D9D9D9"/>
            <w:vAlign w:val="center"/>
            <w:hideMark/>
          </w:tcPr>
          <w:p w14:paraId="5A6B231F" w14:textId="77777777" w:rsidR="00615463" w:rsidRPr="00827D9D" w:rsidRDefault="00615463" w:rsidP="005D6E2B">
            <w:pPr>
              <w:pStyle w:val="Tabletext"/>
              <w:spacing w:line="260" w:lineRule="exact"/>
              <w:jc w:val="center"/>
              <w:rPr>
                <w:rFonts w:cs="Calibri"/>
              </w:rPr>
            </w:pPr>
            <w:r w:rsidRPr="00827D9D">
              <w:rPr>
                <w:rFonts w:cs="Calibri"/>
              </w:rPr>
              <w:t>3.5</w:t>
            </w:r>
          </w:p>
        </w:tc>
      </w:tr>
    </w:tbl>
    <w:p w14:paraId="3E522893" w14:textId="77777777" w:rsidR="00615463" w:rsidRPr="00615463" w:rsidRDefault="00615463" w:rsidP="00615463">
      <w:pPr>
        <w:rPr>
          <w:lang w:val="en-US" w:eastAsia="en-US"/>
        </w:rPr>
      </w:pPr>
    </w:p>
    <w:p w14:paraId="70EB58AE" w14:textId="77777777" w:rsidR="00C3562C" w:rsidRPr="009B6626" w:rsidRDefault="00C76181" w:rsidP="005116FC">
      <w:pPr>
        <w:pStyle w:val="1"/>
        <w:spacing w:after="480"/>
        <w:rPr>
          <w:lang w:val="en-US"/>
        </w:rPr>
      </w:pPr>
      <w:r w:rsidRPr="00CA6A40">
        <w:rPr>
          <w:lang w:val="en-US"/>
        </w:rPr>
        <w:br w:type="page"/>
      </w:r>
      <w:bookmarkStart w:id="104" w:name="_Toc211418451"/>
      <w:r w:rsidR="00CA6A40" w:rsidRPr="006157DA">
        <w:rPr>
          <w:lang w:val="en-US"/>
        </w:rPr>
        <w:t>A</w:t>
      </w:r>
      <w:r w:rsidR="00C3562C" w:rsidRPr="009B6626">
        <w:rPr>
          <w:lang w:val="en-US"/>
        </w:rPr>
        <w:t xml:space="preserve">nnex II: </w:t>
      </w:r>
      <w:r w:rsidR="009B6626" w:rsidRPr="009B6626">
        <w:rPr>
          <w:lang w:val="en-US"/>
        </w:rPr>
        <w:t>Measure tables</w:t>
      </w:r>
      <w:bookmarkEnd w:id="104"/>
    </w:p>
    <w:p w14:paraId="0FB5FDC8" w14:textId="526CFF97" w:rsidR="001E2ED0" w:rsidRDefault="001E2ED0" w:rsidP="001E2ED0">
      <w:pPr>
        <w:pStyle w:val="ae"/>
        <w:rPr>
          <w:b w:val="0"/>
        </w:rPr>
      </w:pPr>
      <w:bookmarkStart w:id="105" w:name="_Toc211355113"/>
      <w:r>
        <w:t xml:space="preserve">Table </w:t>
      </w:r>
      <w:r w:rsidR="00540C3A">
        <w:fldChar w:fldCharType="begin"/>
      </w:r>
      <w:r>
        <w:instrText xml:space="preserve"> SEQ Table \* ARABIC </w:instrText>
      </w:r>
      <w:r w:rsidR="00540C3A">
        <w:fldChar w:fldCharType="separate"/>
      </w:r>
      <w:r w:rsidR="00AF0E6B">
        <w:rPr>
          <w:noProof/>
        </w:rPr>
        <w:t>19</w:t>
      </w:r>
      <w:r w:rsidR="00540C3A">
        <w:fldChar w:fldCharType="end"/>
      </w:r>
      <w:r>
        <w:t xml:space="preserve"> | </w:t>
      </w:r>
      <w:r w:rsidRPr="001E2ED0">
        <w:t xml:space="preserve">Discretionary revenue measures </w:t>
      </w:r>
      <w:r w:rsidRPr="001E2ED0">
        <w:rPr>
          <w:b w:val="0"/>
        </w:rPr>
        <w:t>(additional budgetary impact, % of GDP)</w:t>
      </w:r>
      <w:bookmarkEnd w:id="105"/>
    </w:p>
    <w:tbl>
      <w:tblPr>
        <w:tblW w:w="8931" w:type="dxa"/>
        <w:jc w:val="center"/>
        <w:tblLayout w:type="fixed"/>
        <w:tblLook w:val="04A0" w:firstRow="1" w:lastRow="0" w:firstColumn="1" w:lastColumn="0" w:noHBand="0" w:noVBand="1"/>
      </w:tblPr>
      <w:tblGrid>
        <w:gridCol w:w="2410"/>
        <w:gridCol w:w="993"/>
        <w:gridCol w:w="470"/>
        <w:gridCol w:w="1382"/>
        <w:gridCol w:w="879"/>
        <w:gridCol w:w="526"/>
        <w:gridCol w:w="722"/>
        <w:gridCol w:w="817"/>
        <w:gridCol w:w="732"/>
      </w:tblGrid>
      <w:tr w:rsidR="005116FC" w:rsidRPr="00DC4D8B" w14:paraId="6D6E1CAB" w14:textId="77777777" w:rsidTr="005116FC">
        <w:trPr>
          <w:trHeight w:val="1290"/>
          <w:jc w:val="center"/>
        </w:trPr>
        <w:tc>
          <w:tcPr>
            <w:tcW w:w="2410" w:type="dxa"/>
            <w:tcBorders>
              <w:top w:val="nil"/>
              <w:left w:val="nil"/>
              <w:bottom w:val="nil"/>
              <w:right w:val="nil"/>
            </w:tcBorders>
            <w:shd w:val="clear" w:color="000000" w:fill="BFBFBF"/>
            <w:vAlign w:val="center"/>
            <w:hideMark/>
          </w:tcPr>
          <w:p w14:paraId="53D58ACA" w14:textId="77777777" w:rsidR="00DC4D8B" w:rsidRPr="005116FC" w:rsidRDefault="00DC4D8B" w:rsidP="0043748A">
            <w:pPr>
              <w:pStyle w:val="Tabletext"/>
              <w:spacing w:line="180" w:lineRule="exact"/>
              <w:rPr>
                <w:b/>
                <w:sz w:val="24"/>
              </w:rPr>
            </w:pPr>
            <w:r w:rsidRPr="005116FC">
              <w:rPr>
                <w:b/>
                <w:sz w:val="24"/>
              </w:rPr>
              <w:t>Description</w:t>
            </w:r>
          </w:p>
        </w:tc>
        <w:tc>
          <w:tcPr>
            <w:tcW w:w="993" w:type="dxa"/>
            <w:tcBorders>
              <w:top w:val="nil"/>
              <w:left w:val="nil"/>
              <w:bottom w:val="nil"/>
              <w:right w:val="nil"/>
            </w:tcBorders>
            <w:shd w:val="clear" w:color="000000" w:fill="BFBFBF"/>
            <w:textDirection w:val="btLr"/>
            <w:vAlign w:val="center"/>
            <w:hideMark/>
          </w:tcPr>
          <w:p w14:paraId="423A5CDF" w14:textId="77777777" w:rsidR="00DC4D8B" w:rsidRPr="005116FC" w:rsidRDefault="00DC4D8B" w:rsidP="005116FC">
            <w:pPr>
              <w:pStyle w:val="Tabletext"/>
              <w:spacing w:line="180" w:lineRule="exact"/>
              <w:jc w:val="center"/>
              <w:rPr>
                <w:b/>
                <w:sz w:val="24"/>
              </w:rPr>
            </w:pPr>
            <w:r w:rsidRPr="005116FC">
              <w:rPr>
                <w:b/>
                <w:sz w:val="24"/>
              </w:rPr>
              <w:t>First budgetary impact</w:t>
            </w:r>
          </w:p>
        </w:tc>
        <w:tc>
          <w:tcPr>
            <w:tcW w:w="470" w:type="dxa"/>
            <w:tcBorders>
              <w:top w:val="nil"/>
              <w:left w:val="nil"/>
              <w:bottom w:val="nil"/>
              <w:right w:val="nil"/>
            </w:tcBorders>
            <w:shd w:val="clear" w:color="000000" w:fill="BFBFBF"/>
            <w:textDirection w:val="btLr"/>
            <w:vAlign w:val="center"/>
            <w:hideMark/>
          </w:tcPr>
          <w:p w14:paraId="5409A9A8" w14:textId="77777777" w:rsidR="00DC4D8B" w:rsidRPr="005116FC" w:rsidRDefault="00DC4D8B" w:rsidP="005116FC">
            <w:pPr>
              <w:pStyle w:val="Tabletext"/>
              <w:spacing w:line="180" w:lineRule="exact"/>
              <w:jc w:val="center"/>
              <w:rPr>
                <w:b/>
                <w:sz w:val="24"/>
              </w:rPr>
            </w:pPr>
            <w:r w:rsidRPr="005116FC">
              <w:rPr>
                <w:b/>
                <w:sz w:val="24"/>
              </w:rPr>
              <w:t>Labels</w:t>
            </w:r>
          </w:p>
        </w:tc>
        <w:tc>
          <w:tcPr>
            <w:tcW w:w="1382" w:type="dxa"/>
            <w:tcBorders>
              <w:top w:val="nil"/>
              <w:left w:val="nil"/>
              <w:bottom w:val="nil"/>
              <w:right w:val="nil"/>
            </w:tcBorders>
            <w:shd w:val="clear" w:color="000000" w:fill="BFBFBF"/>
            <w:textDirection w:val="btLr"/>
            <w:vAlign w:val="center"/>
            <w:hideMark/>
          </w:tcPr>
          <w:p w14:paraId="11BE7949" w14:textId="77777777" w:rsidR="00DC4D8B" w:rsidRPr="005116FC" w:rsidRDefault="00DC4D8B" w:rsidP="005116FC">
            <w:pPr>
              <w:pStyle w:val="Tabletext"/>
              <w:spacing w:line="180" w:lineRule="exact"/>
              <w:jc w:val="center"/>
              <w:rPr>
                <w:b/>
                <w:sz w:val="24"/>
              </w:rPr>
            </w:pPr>
            <w:r w:rsidRPr="005116FC">
              <w:rPr>
                <w:b/>
                <w:sz w:val="24"/>
              </w:rPr>
              <w:t>ESA</w:t>
            </w:r>
          </w:p>
        </w:tc>
        <w:tc>
          <w:tcPr>
            <w:tcW w:w="879" w:type="dxa"/>
            <w:tcBorders>
              <w:top w:val="nil"/>
              <w:left w:val="nil"/>
              <w:bottom w:val="nil"/>
              <w:right w:val="nil"/>
            </w:tcBorders>
            <w:shd w:val="clear" w:color="000000" w:fill="BFBFBF"/>
            <w:textDirection w:val="btLr"/>
            <w:vAlign w:val="center"/>
            <w:hideMark/>
          </w:tcPr>
          <w:p w14:paraId="533FA489" w14:textId="77777777" w:rsidR="00DC4D8B" w:rsidRPr="005116FC" w:rsidRDefault="00DC4D8B" w:rsidP="005116FC">
            <w:pPr>
              <w:pStyle w:val="Tabletext"/>
              <w:spacing w:line="180" w:lineRule="exact"/>
              <w:jc w:val="center"/>
              <w:rPr>
                <w:b/>
                <w:sz w:val="24"/>
              </w:rPr>
            </w:pPr>
            <w:r w:rsidRPr="005116FC">
              <w:rPr>
                <w:b/>
                <w:sz w:val="24"/>
              </w:rPr>
              <w:t>Account principle</w:t>
            </w:r>
          </w:p>
        </w:tc>
        <w:tc>
          <w:tcPr>
            <w:tcW w:w="526" w:type="dxa"/>
            <w:tcBorders>
              <w:top w:val="nil"/>
              <w:left w:val="nil"/>
              <w:bottom w:val="nil"/>
              <w:right w:val="nil"/>
            </w:tcBorders>
            <w:shd w:val="clear" w:color="000000" w:fill="BFBFBF"/>
            <w:textDirection w:val="btLr"/>
            <w:vAlign w:val="center"/>
            <w:hideMark/>
          </w:tcPr>
          <w:p w14:paraId="4B97EC64" w14:textId="77777777" w:rsidR="00DC4D8B" w:rsidRPr="005116FC" w:rsidRDefault="00DC4D8B" w:rsidP="005116FC">
            <w:pPr>
              <w:pStyle w:val="Tabletext"/>
              <w:spacing w:line="180" w:lineRule="exact"/>
              <w:jc w:val="center"/>
              <w:rPr>
                <w:b/>
                <w:sz w:val="24"/>
              </w:rPr>
            </w:pPr>
            <w:r w:rsidRPr="005116FC">
              <w:rPr>
                <w:b/>
                <w:sz w:val="24"/>
              </w:rPr>
              <w:t>Already adopted</w:t>
            </w:r>
          </w:p>
        </w:tc>
        <w:tc>
          <w:tcPr>
            <w:tcW w:w="722" w:type="dxa"/>
            <w:tcBorders>
              <w:top w:val="nil"/>
              <w:left w:val="nil"/>
              <w:bottom w:val="nil"/>
              <w:right w:val="nil"/>
            </w:tcBorders>
            <w:shd w:val="clear" w:color="000000" w:fill="BFBFBF"/>
            <w:textDirection w:val="btLr"/>
            <w:vAlign w:val="center"/>
            <w:hideMark/>
          </w:tcPr>
          <w:p w14:paraId="1E54A341" w14:textId="77777777" w:rsidR="00DC4D8B" w:rsidRPr="005116FC" w:rsidRDefault="00DC4D8B" w:rsidP="005116FC">
            <w:pPr>
              <w:pStyle w:val="Tabletext"/>
              <w:spacing w:line="180" w:lineRule="exact"/>
              <w:jc w:val="center"/>
              <w:rPr>
                <w:b/>
                <w:sz w:val="24"/>
              </w:rPr>
            </w:pPr>
            <w:r w:rsidRPr="005116FC">
              <w:rPr>
                <w:b/>
                <w:sz w:val="24"/>
              </w:rPr>
              <w:t>2024</w:t>
            </w:r>
          </w:p>
        </w:tc>
        <w:tc>
          <w:tcPr>
            <w:tcW w:w="817" w:type="dxa"/>
            <w:tcBorders>
              <w:top w:val="nil"/>
              <w:left w:val="nil"/>
              <w:bottom w:val="nil"/>
              <w:right w:val="nil"/>
            </w:tcBorders>
            <w:shd w:val="clear" w:color="000000" w:fill="BFBFBF"/>
            <w:textDirection w:val="btLr"/>
            <w:vAlign w:val="center"/>
            <w:hideMark/>
          </w:tcPr>
          <w:p w14:paraId="3007AFCF" w14:textId="77777777" w:rsidR="00DC4D8B" w:rsidRPr="005116FC" w:rsidRDefault="00DC4D8B" w:rsidP="005116FC">
            <w:pPr>
              <w:pStyle w:val="Tabletext"/>
              <w:spacing w:line="180" w:lineRule="exact"/>
              <w:jc w:val="center"/>
              <w:rPr>
                <w:b/>
                <w:sz w:val="24"/>
              </w:rPr>
            </w:pPr>
            <w:r w:rsidRPr="005116FC">
              <w:rPr>
                <w:b/>
                <w:sz w:val="24"/>
              </w:rPr>
              <w:t>2025</w:t>
            </w:r>
          </w:p>
        </w:tc>
        <w:tc>
          <w:tcPr>
            <w:tcW w:w="732" w:type="dxa"/>
            <w:tcBorders>
              <w:top w:val="nil"/>
              <w:left w:val="nil"/>
              <w:bottom w:val="nil"/>
              <w:right w:val="nil"/>
            </w:tcBorders>
            <w:shd w:val="clear" w:color="000000" w:fill="BFBFBF"/>
            <w:textDirection w:val="btLr"/>
            <w:vAlign w:val="center"/>
            <w:hideMark/>
          </w:tcPr>
          <w:p w14:paraId="31F05EB5" w14:textId="77777777" w:rsidR="00DC4D8B" w:rsidRPr="005116FC" w:rsidRDefault="00DC4D8B" w:rsidP="005116FC">
            <w:pPr>
              <w:pStyle w:val="Tabletext"/>
              <w:spacing w:line="180" w:lineRule="exact"/>
              <w:jc w:val="center"/>
              <w:rPr>
                <w:b/>
                <w:sz w:val="24"/>
              </w:rPr>
            </w:pPr>
            <w:r w:rsidRPr="005116FC">
              <w:rPr>
                <w:b/>
                <w:sz w:val="24"/>
              </w:rPr>
              <w:t>2026</w:t>
            </w:r>
          </w:p>
        </w:tc>
      </w:tr>
      <w:tr w:rsidR="005116FC" w:rsidRPr="00DC4D8B" w14:paraId="5095DEBD" w14:textId="77777777" w:rsidTr="00831EE4">
        <w:trPr>
          <w:trHeight w:val="1551"/>
          <w:jc w:val="center"/>
        </w:trPr>
        <w:tc>
          <w:tcPr>
            <w:tcW w:w="2410" w:type="dxa"/>
            <w:tcBorders>
              <w:top w:val="nil"/>
              <w:left w:val="nil"/>
              <w:bottom w:val="single" w:sz="8" w:space="0" w:color="FFFFFF"/>
              <w:right w:val="nil"/>
            </w:tcBorders>
            <w:shd w:val="clear" w:color="000000" w:fill="F2F2F2"/>
            <w:vAlign w:val="center"/>
            <w:hideMark/>
          </w:tcPr>
          <w:p w14:paraId="344EC0EF" w14:textId="77777777" w:rsidR="00DC4D8B" w:rsidRPr="00DC4D8B" w:rsidRDefault="00DC4D8B">
            <w:pPr>
              <w:pStyle w:val="Tabletext"/>
              <w:spacing w:line="260" w:lineRule="exact"/>
            </w:pPr>
            <w:r w:rsidRPr="00DC4D8B">
              <w:t>Solidarity contribution on refineries</w:t>
            </w:r>
          </w:p>
        </w:tc>
        <w:tc>
          <w:tcPr>
            <w:tcW w:w="993" w:type="dxa"/>
            <w:tcBorders>
              <w:top w:val="nil"/>
              <w:left w:val="nil"/>
              <w:bottom w:val="single" w:sz="8" w:space="0" w:color="FFFFFF"/>
              <w:right w:val="nil"/>
            </w:tcBorders>
            <w:shd w:val="clear" w:color="000000" w:fill="F2F2F2"/>
            <w:vAlign w:val="center"/>
            <w:hideMark/>
          </w:tcPr>
          <w:p w14:paraId="4C4C718E" w14:textId="77777777" w:rsidR="00DC4D8B" w:rsidRPr="00DC4D8B" w:rsidRDefault="00DC4D8B">
            <w:pPr>
              <w:pStyle w:val="Tabletext"/>
              <w:spacing w:line="260" w:lineRule="exact"/>
              <w:jc w:val="center"/>
            </w:pPr>
            <w:r w:rsidRPr="00DC4D8B">
              <w:t>2023</w:t>
            </w:r>
          </w:p>
        </w:tc>
        <w:tc>
          <w:tcPr>
            <w:tcW w:w="470" w:type="dxa"/>
            <w:tcBorders>
              <w:top w:val="nil"/>
              <w:left w:val="nil"/>
              <w:bottom w:val="single" w:sz="8" w:space="0" w:color="FFFFFF"/>
              <w:right w:val="nil"/>
            </w:tcBorders>
            <w:shd w:val="clear" w:color="000000" w:fill="F2F2F2"/>
            <w:textDirection w:val="btLr"/>
            <w:vAlign w:val="center"/>
            <w:hideMark/>
          </w:tcPr>
          <w:p w14:paraId="2BAD4189" w14:textId="77777777" w:rsidR="00DC4D8B" w:rsidRPr="00DC4D8B" w:rsidRDefault="00DC4D8B">
            <w:pPr>
              <w:pStyle w:val="Tabletext"/>
              <w:spacing w:line="260" w:lineRule="exact"/>
              <w:jc w:val="center"/>
            </w:pPr>
            <w:r w:rsidRPr="00DC4D8B">
              <w:t>#ENERGY-21</w:t>
            </w:r>
          </w:p>
        </w:tc>
        <w:tc>
          <w:tcPr>
            <w:tcW w:w="1382" w:type="dxa"/>
            <w:tcBorders>
              <w:top w:val="nil"/>
              <w:left w:val="nil"/>
              <w:bottom w:val="single" w:sz="8" w:space="0" w:color="FFFFFF"/>
              <w:right w:val="nil"/>
            </w:tcBorders>
            <w:shd w:val="clear" w:color="000000" w:fill="F2F2F2"/>
            <w:vAlign w:val="center"/>
            <w:hideMark/>
          </w:tcPr>
          <w:p w14:paraId="30B7DC4B" w14:textId="77777777" w:rsidR="00DC4D8B" w:rsidRPr="00DC4D8B" w:rsidRDefault="00DC4D8B">
            <w:pPr>
              <w:pStyle w:val="Tabletext"/>
              <w:spacing w:line="260" w:lineRule="exact"/>
              <w:jc w:val="center"/>
            </w:pPr>
            <w:r w:rsidRPr="00DC4D8B">
              <w:t>D.5</w:t>
            </w:r>
          </w:p>
        </w:tc>
        <w:tc>
          <w:tcPr>
            <w:tcW w:w="879" w:type="dxa"/>
            <w:tcBorders>
              <w:top w:val="nil"/>
              <w:left w:val="nil"/>
              <w:bottom w:val="single" w:sz="8" w:space="0" w:color="FFFFFF"/>
              <w:right w:val="nil"/>
            </w:tcBorders>
            <w:shd w:val="clear" w:color="000000" w:fill="F2F2F2"/>
            <w:vAlign w:val="center"/>
            <w:hideMark/>
          </w:tcPr>
          <w:p w14:paraId="188AF394" w14:textId="77777777" w:rsidR="00DC4D8B" w:rsidRPr="00DC4D8B" w:rsidRDefault="00DC4D8B">
            <w:pPr>
              <w:pStyle w:val="Tabletext"/>
              <w:spacing w:line="260" w:lineRule="exact"/>
              <w:jc w:val="center"/>
            </w:pPr>
            <w:r w:rsidRPr="00DC4D8B">
              <w:t>Accrual</w:t>
            </w:r>
          </w:p>
        </w:tc>
        <w:tc>
          <w:tcPr>
            <w:tcW w:w="526" w:type="dxa"/>
            <w:tcBorders>
              <w:top w:val="nil"/>
              <w:left w:val="nil"/>
              <w:bottom w:val="single" w:sz="8" w:space="0" w:color="FFFFFF"/>
              <w:right w:val="nil"/>
            </w:tcBorders>
            <w:shd w:val="clear" w:color="000000" w:fill="F2F2F2"/>
            <w:vAlign w:val="center"/>
            <w:hideMark/>
          </w:tcPr>
          <w:p w14:paraId="25AF2F70" w14:textId="77777777" w:rsidR="00DC4D8B" w:rsidRPr="00DC4D8B" w:rsidRDefault="00DC4D8B">
            <w:pPr>
              <w:pStyle w:val="Tabletext"/>
              <w:spacing w:line="260" w:lineRule="exact"/>
              <w:jc w:val="center"/>
            </w:pPr>
            <w:r w:rsidRPr="00DC4D8B">
              <w:t>Yes</w:t>
            </w:r>
          </w:p>
        </w:tc>
        <w:tc>
          <w:tcPr>
            <w:tcW w:w="722" w:type="dxa"/>
            <w:tcBorders>
              <w:top w:val="nil"/>
              <w:left w:val="nil"/>
              <w:bottom w:val="single" w:sz="8" w:space="0" w:color="FFFFFF"/>
              <w:right w:val="nil"/>
            </w:tcBorders>
            <w:shd w:val="clear" w:color="000000" w:fill="F2F2F2"/>
            <w:vAlign w:val="center"/>
            <w:hideMark/>
          </w:tcPr>
          <w:p w14:paraId="4CBB97C8" w14:textId="77777777" w:rsidR="00DC4D8B" w:rsidRPr="00DC4D8B" w:rsidRDefault="00DC4D8B">
            <w:pPr>
              <w:pStyle w:val="Tabletext"/>
              <w:spacing w:line="260" w:lineRule="exact"/>
              <w:jc w:val="center"/>
            </w:pPr>
            <w:r w:rsidRPr="00DC4D8B">
              <w:t>-0.27</w:t>
            </w:r>
          </w:p>
        </w:tc>
        <w:tc>
          <w:tcPr>
            <w:tcW w:w="817" w:type="dxa"/>
            <w:tcBorders>
              <w:top w:val="nil"/>
              <w:left w:val="nil"/>
              <w:bottom w:val="single" w:sz="8" w:space="0" w:color="FFFFFF"/>
              <w:right w:val="nil"/>
            </w:tcBorders>
            <w:shd w:val="clear" w:color="000000" w:fill="F2F2F2"/>
            <w:vAlign w:val="center"/>
            <w:hideMark/>
          </w:tcPr>
          <w:p w14:paraId="53BAA10E" w14:textId="77777777" w:rsidR="00DC4D8B" w:rsidRPr="00DC4D8B" w:rsidRDefault="00DC4D8B">
            <w:pPr>
              <w:pStyle w:val="Tabletext"/>
              <w:spacing w:line="260" w:lineRule="exact"/>
              <w:jc w:val="center"/>
            </w:pPr>
            <w:r w:rsidRPr="00DC4D8B">
              <w:t>0.00</w:t>
            </w:r>
          </w:p>
        </w:tc>
        <w:tc>
          <w:tcPr>
            <w:tcW w:w="732" w:type="dxa"/>
            <w:tcBorders>
              <w:top w:val="nil"/>
              <w:left w:val="nil"/>
              <w:bottom w:val="single" w:sz="8" w:space="0" w:color="FFFFFF"/>
              <w:right w:val="nil"/>
            </w:tcBorders>
            <w:shd w:val="clear" w:color="000000" w:fill="F2F2F2"/>
            <w:vAlign w:val="center"/>
            <w:hideMark/>
          </w:tcPr>
          <w:p w14:paraId="39C18847" w14:textId="77777777" w:rsidR="00DC4D8B" w:rsidRPr="00DC4D8B" w:rsidRDefault="00DC4D8B">
            <w:pPr>
              <w:pStyle w:val="Tabletext"/>
              <w:spacing w:line="260" w:lineRule="exact"/>
              <w:jc w:val="center"/>
            </w:pPr>
            <w:r w:rsidRPr="00DC4D8B">
              <w:t>0.00</w:t>
            </w:r>
          </w:p>
        </w:tc>
      </w:tr>
      <w:tr w:rsidR="005116FC" w:rsidRPr="00DC4D8B" w14:paraId="42D34F2E" w14:textId="77777777" w:rsidTr="00831EE4">
        <w:trPr>
          <w:trHeight w:val="972"/>
          <w:jc w:val="center"/>
        </w:trPr>
        <w:tc>
          <w:tcPr>
            <w:tcW w:w="2410" w:type="dxa"/>
            <w:tcBorders>
              <w:top w:val="nil"/>
              <w:left w:val="nil"/>
              <w:bottom w:val="single" w:sz="8" w:space="0" w:color="FFFFFF"/>
              <w:right w:val="nil"/>
            </w:tcBorders>
            <w:shd w:val="clear" w:color="000000" w:fill="D9D9D9"/>
            <w:vAlign w:val="center"/>
            <w:hideMark/>
          </w:tcPr>
          <w:p w14:paraId="208ED56C" w14:textId="77777777" w:rsidR="00DC4D8B" w:rsidRPr="00DC4D8B" w:rsidRDefault="00DC4D8B">
            <w:pPr>
              <w:pStyle w:val="Tabletext"/>
              <w:spacing w:line="260" w:lineRule="exact"/>
            </w:pPr>
            <w:r w:rsidRPr="00DC4D8B">
              <w:t>Reform of the taxation of self-employed</w:t>
            </w:r>
          </w:p>
        </w:tc>
        <w:tc>
          <w:tcPr>
            <w:tcW w:w="993" w:type="dxa"/>
            <w:tcBorders>
              <w:top w:val="nil"/>
              <w:left w:val="nil"/>
              <w:bottom w:val="single" w:sz="8" w:space="0" w:color="FFFFFF"/>
              <w:right w:val="nil"/>
            </w:tcBorders>
            <w:shd w:val="clear" w:color="000000" w:fill="D9D9D9"/>
            <w:vAlign w:val="center"/>
            <w:hideMark/>
          </w:tcPr>
          <w:p w14:paraId="229E6521" w14:textId="77777777" w:rsidR="00DC4D8B" w:rsidRPr="00DC4D8B" w:rsidRDefault="00DC4D8B">
            <w:pPr>
              <w:pStyle w:val="Tabletext"/>
              <w:spacing w:line="260" w:lineRule="exact"/>
              <w:jc w:val="center"/>
            </w:pPr>
            <w:r w:rsidRPr="00DC4D8B">
              <w:t>2024</w:t>
            </w:r>
          </w:p>
        </w:tc>
        <w:tc>
          <w:tcPr>
            <w:tcW w:w="470" w:type="dxa"/>
            <w:tcBorders>
              <w:top w:val="nil"/>
              <w:left w:val="nil"/>
              <w:bottom w:val="single" w:sz="8" w:space="0" w:color="FFFFFF"/>
              <w:right w:val="nil"/>
            </w:tcBorders>
            <w:shd w:val="clear" w:color="000000" w:fill="D9D9D9"/>
            <w:textDirection w:val="btLr"/>
            <w:vAlign w:val="center"/>
            <w:hideMark/>
          </w:tcPr>
          <w:p w14:paraId="319A751C" w14:textId="77777777" w:rsidR="00DC4D8B" w:rsidRPr="00DC4D8B" w:rsidRDefault="00DC4D8B">
            <w:pPr>
              <w:pStyle w:val="Tabletext"/>
              <w:spacing w:line="260" w:lineRule="exact"/>
              <w:jc w:val="center"/>
            </w:pPr>
          </w:p>
        </w:tc>
        <w:tc>
          <w:tcPr>
            <w:tcW w:w="1382" w:type="dxa"/>
            <w:tcBorders>
              <w:top w:val="nil"/>
              <w:left w:val="nil"/>
              <w:bottom w:val="single" w:sz="8" w:space="0" w:color="FFFFFF"/>
              <w:right w:val="nil"/>
            </w:tcBorders>
            <w:shd w:val="clear" w:color="000000" w:fill="D9D9D9"/>
            <w:vAlign w:val="center"/>
            <w:hideMark/>
          </w:tcPr>
          <w:p w14:paraId="0D8B9003" w14:textId="77777777" w:rsidR="00DC4D8B" w:rsidRPr="00DC4D8B" w:rsidRDefault="00DC4D8B">
            <w:pPr>
              <w:pStyle w:val="Tabletext"/>
              <w:spacing w:line="260" w:lineRule="exact"/>
              <w:jc w:val="center"/>
            </w:pPr>
            <w:r w:rsidRPr="00DC4D8B">
              <w:t>D.5</w:t>
            </w:r>
          </w:p>
        </w:tc>
        <w:tc>
          <w:tcPr>
            <w:tcW w:w="879" w:type="dxa"/>
            <w:tcBorders>
              <w:top w:val="nil"/>
              <w:left w:val="nil"/>
              <w:bottom w:val="single" w:sz="8" w:space="0" w:color="FFFFFF"/>
              <w:right w:val="nil"/>
            </w:tcBorders>
            <w:shd w:val="clear" w:color="000000" w:fill="D9D9D9"/>
            <w:vAlign w:val="center"/>
            <w:hideMark/>
          </w:tcPr>
          <w:p w14:paraId="3E207897" w14:textId="77777777" w:rsidR="00DC4D8B" w:rsidRPr="00DC4D8B" w:rsidRDefault="00DC4D8B">
            <w:pPr>
              <w:pStyle w:val="Tabletext"/>
              <w:spacing w:line="260" w:lineRule="exact"/>
              <w:jc w:val="center"/>
            </w:pPr>
            <w:r w:rsidRPr="00DC4D8B">
              <w:t>Cash</w:t>
            </w:r>
          </w:p>
        </w:tc>
        <w:tc>
          <w:tcPr>
            <w:tcW w:w="526" w:type="dxa"/>
            <w:tcBorders>
              <w:top w:val="nil"/>
              <w:left w:val="nil"/>
              <w:bottom w:val="single" w:sz="8" w:space="0" w:color="FFFFFF"/>
              <w:right w:val="nil"/>
            </w:tcBorders>
            <w:shd w:val="clear" w:color="000000" w:fill="D9D9D9"/>
            <w:vAlign w:val="center"/>
            <w:hideMark/>
          </w:tcPr>
          <w:p w14:paraId="7EBF06DA" w14:textId="77777777" w:rsidR="00DC4D8B" w:rsidRPr="00DC4D8B" w:rsidRDefault="00DC4D8B">
            <w:pPr>
              <w:pStyle w:val="Tabletext"/>
              <w:spacing w:line="260" w:lineRule="exact"/>
              <w:jc w:val="center"/>
            </w:pPr>
            <w:r w:rsidRPr="00DC4D8B">
              <w:t>Yes</w:t>
            </w:r>
          </w:p>
        </w:tc>
        <w:tc>
          <w:tcPr>
            <w:tcW w:w="722" w:type="dxa"/>
            <w:tcBorders>
              <w:top w:val="nil"/>
              <w:left w:val="nil"/>
              <w:bottom w:val="single" w:sz="8" w:space="0" w:color="FFFFFF"/>
              <w:right w:val="nil"/>
            </w:tcBorders>
            <w:shd w:val="clear" w:color="000000" w:fill="D9D9D9"/>
            <w:vAlign w:val="center"/>
            <w:hideMark/>
          </w:tcPr>
          <w:p w14:paraId="0176DCC6" w14:textId="77777777" w:rsidR="00DC4D8B" w:rsidRPr="00DC4D8B" w:rsidRDefault="00DC4D8B">
            <w:pPr>
              <w:pStyle w:val="Tabletext"/>
              <w:spacing w:line="260" w:lineRule="exact"/>
              <w:jc w:val="center"/>
            </w:pPr>
            <w:r w:rsidRPr="00DC4D8B">
              <w:t>0.21</w:t>
            </w:r>
          </w:p>
        </w:tc>
        <w:tc>
          <w:tcPr>
            <w:tcW w:w="817" w:type="dxa"/>
            <w:tcBorders>
              <w:top w:val="nil"/>
              <w:left w:val="nil"/>
              <w:bottom w:val="single" w:sz="8" w:space="0" w:color="FFFFFF"/>
              <w:right w:val="nil"/>
            </w:tcBorders>
            <w:shd w:val="clear" w:color="000000" w:fill="D9D9D9"/>
            <w:vAlign w:val="center"/>
            <w:hideMark/>
          </w:tcPr>
          <w:p w14:paraId="480049E8" w14:textId="77777777" w:rsidR="00DC4D8B" w:rsidRPr="00DC4D8B" w:rsidRDefault="00DC4D8B">
            <w:pPr>
              <w:pStyle w:val="Tabletext"/>
              <w:spacing w:line="260" w:lineRule="exact"/>
              <w:jc w:val="center"/>
            </w:pPr>
            <w:r w:rsidRPr="00DC4D8B">
              <w:t>0.00</w:t>
            </w:r>
          </w:p>
        </w:tc>
        <w:tc>
          <w:tcPr>
            <w:tcW w:w="732" w:type="dxa"/>
            <w:tcBorders>
              <w:top w:val="nil"/>
              <w:left w:val="nil"/>
              <w:bottom w:val="single" w:sz="8" w:space="0" w:color="FFFFFF"/>
              <w:right w:val="nil"/>
            </w:tcBorders>
            <w:shd w:val="clear" w:color="000000" w:fill="D9D9D9"/>
            <w:vAlign w:val="center"/>
            <w:hideMark/>
          </w:tcPr>
          <w:p w14:paraId="4E20290A" w14:textId="77777777" w:rsidR="00DC4D8B" w:rsidRPr="00DC4D8B" w:rsidRDefault="00DC4D8B">
            <w:pPr>
              <w:pStyle w:val="Tabletext"/>
              <w:spacing w:line="260" w:lineRule="exact"/>
              <w:jc w:val="center"/>
            </w:pPr>
            <w:r w:rsidRPr="00DC4D8B">
              <w:t>-0.04</w:t>
            </w:r>
          </w:p>
        </w:tc>
      </w:tr>
      <w:tr w:rsidR="005116FC" w:rsidRPr="00DC4D8B" w14:paraId="746DB7B9" w14:textId="77777777" w:rsidTr="00831EE4">
        <w:trPr>
          <w:trHeight w:val="1113"/>
          <w:jc w:val="center"/>
        </w:trPr>
        <w:tc>
          <w:tcPr>
            <w:tcW w:w="2410" w:type="dxa"/>
            <w:tcBorders>
              <w:top w:val="nil"/>
              <w:left w:val="nil"/>
              <w:bottom w:val="single" w:sz="8" w:space="0" w:color="FFFFFF"/>
              <w:right w:val="nil"/>
            </w:tcBorders>
            <w:shd w:val="clear" w:color="000000" w:fill="F2F2F2"/>
            <w:vAlign w:val="center"/>
            <w:hideMark/>
          </w:tcPr>
          <w:p w14:paraId="3F917CCA" w14:textId="77777777" w:rsidR="00DC4D8B" w:rsidRPr="00DC4D8B" w:rsidRDefault="00DC4D8B">
            <w:pPr>
              <w:pStyle w:val="Tabletext"/>
              <w:spacing w:line="260" w:lineRule="exact"/>
            </w:pPr>
            <w:r w:rsidRPr="00DC4D8B">
              <w:t>Solidarity contribution on refineries for 2023 applied in 2024</w:t>
            </w:r>
          </w:p>
        </w:tc>
        <w:tc>
          <w:tcPr>
            <w:tcW w:w="993" w:type="dxa"/>
            <w:tcBorders>
              <w:top w:val="nil"/>
              <w:left w:val="nil"/>
              <w:bottom w:val="single" w:sz="8" w:space="0" w:color="FFFFFF"/>
              <w:right w:val="nil"/>
            </w:tcBorders>
            <w:shd w:val="clear" w:color="000000" w:fill="F2F2F2"/>
            <w:vAlign w:val="center"/>
            <w:hideMark/>
          </w:tcPr>
          <w:p w14:paraId="4B6D2C7F" w14:textId="77777777" w:rsidR="00DC4D8B" w:rsidRPr="00DC4D8B" w:rsidRDefault="00DC4D8B">
            <w:pPr>
              <w:pStyle w:val="Tabletext"/>
              <w:spacing w:line="260" w:lineRule="exact"/>
              <w:jc w:val="center"/>
            </w:pPr>
            <w:r w:rsidRPr="00DC4D8B">
              <w:t>2024</w:t>
            </w:r>
          </w:p>
        </w:tc>
        <w:tc>
          <w:tcPr>
            <w:tcW w:w="470" w:type="dxa"/>
            <w:tcBorders>
              <w:top w:val="nil"/>
              <w:left w:val="nil"/>
              <w:bottom w:val="single" w:sz="8" w:space="0" w:color="FFFFFF"/>
              <w:right w:val="nil"/>
            </w:tcBorders>
            <w:shd w:val="clear" w:color="000000" w:fill="F2F2F2"/>
            <w:textDirection w:val="btLr"/>
            <w:vAlign w:val="center"/>
            <w:hideMark/>
          </w:tcPr>
          <w:p w14:paraId="3650D92E" w14:textId="77777777" w:rsidR="00DC4D8B" w:rsidRPr="00DC4D8B" w:rsidRDefault="00DC4D8B">
            <w:pPr>
              <w:pStyle w:val="Tabletext"/>
              <w:spacing w:line="260" w:lineRule="exact"/>
              <w:jc w:val="center"/>
            </w:pPr>
          </w:p>
        </w:tc>
        <w:tc>
          <w:tcPr>
            <w:tcW w:w="1382" w:type="dxa"/>
            <w:tcBorders>
              <w:top w:val="nil"/>
              <w:left w:val="nil"/>
              <w:bottom w:val="single" w:sz="8" w:space="0" w:color="FFFFFF"/>
              <w:right w:val="nil"/>
            </w:tcBorders>
            <w:shd w:val="clear" w:color="000000" w:fill="F2F2F2"/>
            <w:vAlign w:val="center"/>
            <w:hideMark/>
          </w:tcPr>
          <w:p w14:paraId="56A899C5" w14:textId="77777777" w:rsidR="00DC4D8B" w:rsidRPr="00DC4D8B" w:rsidRDefault="00DC4D8B">
            <w:pPr>
              <w:pStyle w:val="Tabletext"/>
              <w:spacing w:line="260" w:lineRule="exact"/>
              <w:jc w:val="center"/>
            </w:pPr>
            <w:r w:rsidRPr="00DC4D8B">
              <w:t>D.5</w:t>
            </w:r>
          </w:p>
        </w:tc>
        <w:tc>
          <w:tcPr>
            <w:tcW w:w="879" w:type="dxa"/>
            <w:tcBorders>
              <w:top w:val="nil"/>
              <w:left w:val="nil"/>
              <w:bottom w:val="single" w:sz="8" w:space="0" w:color="FFFFFF"/>
              <w:right w:val="nil"/>
            </w:tcBorders>
            <w:shd w:val="clear" w:color="000000" w:fill="F2F2F2"/>
            <w:vAlign w:val="center"/>
            <w:hideMark/>
          </w:tcPr>
          <w:p w14:paraId="1D1FEF2A" w14:textId="77777777" w:rsidR="00DC4D8B" w:rsidRPr="00DC4D8B" w:rsidRDefault="00DC4D8B">
            <w:pPr>
              <w:pStyle w:val="Tabletext"/>
              <w:spacing w:line="260" w:lineRule="exact"/>
              <w:jc w:val="center"/>
            </w:pPr>
            <w:r w:rsidRPr="00DC4D8B">
              <w:t>Cash</w:t>
            </w:r>
          </w:p>
        </w:tc>
        <w:tc>
          <w:tcPr>
            <w:tcW w:w="526" w:type="dxa"/>
            <w:tcBorders>
              <w:top w:val="nil"/>
              <w:left w:val="nil"/>
              <w:bottom w:val="single" w:sz="8" w:space="0" w:color="FFFFFF"/>
              <w:right w:val="nil"/>
            </w:tcBorders>
            <w:shd w:val="clear" w:color="000000" w:fill="F2F2F2"/>
            <w:vAlign w:val="center"/>
            <w:hideMark/>
          </w:tcPr>
          <w:p w14:paraId="6D26D481" w14:textId="77777777" w:rsidR="00DC4D8B" w:rsidRPr="00DC4D8B" w:rsidRDefault="00DC4D8B">
            <w:pPr>
              <w:pStyle w:val="Tabletext"/>
              <w:spacing w:line="260" w:lineRule="exact"/>
              <w:jc w:val="center"/>
            </w:pPr>
            <w:r w:rsidRPr="00DC4D8B">
              <w:t>Yes</w:t>
            </w:r>
          </w:p>
        </w:tc>
        <w:tc>
          <w:tcPr>
            <w:tcW w:w="722" w:type="dxa"/>
            <w:tcBorders>
              <w:top w:val="nil"/>
              <w:left w:val="nil"/>
              <w:bottom w:val="single" w:sz="8" w:space="0" w:color="FFFFFF"/>
              <w:right w:val="nil"/>
            </w:tcBorders>
            <w:shd w:val="clear" w:color="000000" w:fill="F2F2F2"/>
            <w:vAlign w:val="center"/>
            <w:hideMark/>
          </w:tcPr>
          <w:p w14:paraId="05B34630" w14:textId="77777777" w:rsidR="00DC4D8B" w:rsidRPr="00DC4D8B" w:rsidRDefault="00DC4D8B">
            <w:pPr>
              <w:pStyle w:val="Tabletext"/>
              <w:spacing w:line="260" w:lineRule="exact"/>
              <w:jc w:val="center"/>
            </w:pPr>
            <w:r w:rsidRPr="00DC4D8B">
              <w:t>0.20</w:t>
            </w:r>
          </w:p>
        </w:tc>
        <w:tc>
          <w:tcPr>
            <w:tcW w:w="817" w:type="dxa"/>
            <w:tcBorders>
              <w:top w:val="nil"/>
              <w:left w:val="nil"/>
              <w:bottom w:val="single" w:sz="8" w:space="0" w:color="FFFFFF"/>
              <w:right w:val="nil"/>
            </w:tcBorders>
            <w:shd w:val="clear" w:color="000000" w:fill="F2F2F2"/>
            <w:vAlign w:val="center"/>
            <w:hideMark/>
          </w:tcPr>
          <w:p w14:paraId="49985383" w14:textId="77777777" w:rsidR="00DC4D8B" w:rsidRPr="00DC4D8B" w:rsidRDefault="00DC4D8B">
            <w:pPr>
              <w:pStyle w:val="Tabletext"/>
              <w:spacing w:line="260" w:lineRule="exact"/>
              <w:jc w:val="center"/>
            </w:pPr>
            <w:r w:rsidRPr="00DC4D8B">
              <w:t>-0.26</w:t>
            </w:r>
          </w:p>
        </w:tc>
        <w:tc>
          <w:tcPr>
            <w:tcW w:w="732" w:type="dxa"/>
            <w:tcBorders>
              <w:top w:val="nil"/>
              <w:left w:val="nil"/>
              <w:bottom w:val="single" w:sz="8" w:space="0" w:color="FFFFFF"/>
              <w:right w:val="nil"/>
            </w:tcBorders>
            <w:shd w:val="clear" w:color="000000" w:fill="F2F2F2"/>
            <w:vAlign w:val="center"/>
            <w:hideMark/>
          </w:tcPr>
          <w:p w14:paraId="73C8ABA4" w14:textId="77777777" w:rsidR="00DC4D8B" w:rsidRPr="00DC4D8B" w:rsidRDefault="00DC4D8B">
            <w:pPr>
              <w:pStyle w:val="Tabletext"/>
              <w:spacing w:line="260" w:lineRule="exact"/>
              <w:jc w:val="center"/>
            </w:pPr>
            <w:r w:rsidRPr="00DC4D8B">
              <w:t>0.09</w:t>
            </w:r>
          </w:p>
        </w:tc>
      </w:tr>
      <w:tr w:rsidR="005116FC" w:rsidRPr="00DC4D8B" w14:paraId="1E599E12" w14:textId="77777777" w:rsidTr="00831EE4">
        <w:trPr>
          <w:trHeight w:val="690"/>
          <w:jc w:val="center"/>
        </w:trPr>
        <w:tc>
          <w:tcPr>
            <w:tcW w:w="2410" w:type="dxa"/>
            <w:tcBorders>
              <w:top w:val="nil"/>
              <w:left w:val="nil"/>
              <w:bottom w:val="single" w:sz="8" w:space="0" w:color="FFFFFF"/>
              <w:right w:val="nil"/>
            </w:tcBorders>
            <w:shd w:val="clear" w:color="auto" w:fill="D9D9D9" w:themeFill="background1" w:themeFillShade="D9"/>
            <w:vAlign w:val="center"/>
            <w:hideMark/>
          </w:tcPr>
          <w:p w14:paraId="302E2BDE" w14:textId="77777777" w:rsidR="00DC4D8B" w:rsidRPr="009A0FDD" w:rsidRDefault="00DC4D8B">
            <w:pPr>
              <w:pStyle w:val="Tabletext"/>
              <w:spacing w:line="260" w:lineRule="exact"/>
            </w:pPr>
            <w:r w:rsidRPr="009A0FDD">
              <w:t>Interconnect POS &amp; MyDATA (effect on VAT)</w:t>
            </w:r>
          </w:p>
        </w:tc>
        <w:tc>
          <w:tcPr>
            <w:tcW w:w="993" w:type="dxa"/>
            <w:tcBorders>
              <w:top w:val="nil"/>
              <w:left w:val="nil"/>
              <w:bottom w:val="single" w:sz="8" w:space="0" w:color="FFFFFF"/>
              <w:right w:val="nil"/>
            </w:tcBorders>
            <w:shd w:val="clear" w:color="auto" w:fill="D9D9D9" w:themeFill="background1" w:themeFillShade="D9"/>
            <w:vAlign w:val="center"/>
            <w:hideMark/>
          </w:tcPr>
          <w:p w14:paraId="7655C0A2" w14:textId="77777777" w:rsidR="00DC4D8B" w:rsidRPr="009A0FDD" w:rsidRDefault="00DC4D8B">
            <w:pPr>
              <w:pStyle w:val="Tabletext"/>
              <w:spacing w:line="260" w:lineRule="exact"/>
              <w:jc w:val="center"/>
            </w:pPr>
            <w:r w:rsidRPr="009A0FDD">
              <w:t>2024</w:t>
            </w:r>
          </w:p>
        </w:tc>
        <w:tc>
          <w:tcPr>
            <w:tcW w:w="470" w:type="dxa"/>
            <w:tcBorders>
              <w:top w:val="nil"/>
              <w:left w:val="nil"/>
              <w:bottom w:val="single" w:sz="8" w:space="0" w:color="FFFFFF"/>
              <w:right w:val="nil"/>
            </w:tcBorders>
            <w:shd w:val="clear" w:color="auto" w:fill="D9D9D9" w:themeFill="background1" w:themeFillShade="D9"/>
            <w:textDirection w:val="btLr"/>
            <w:vAlign w:val="center"/>
            <w:hideMark/>
          </w:tcPr>
          <w:p w14:paraId="52CBF0A6" w14:textId="77777777" w:rsidR="00DC4D8B" w:rsidRPr="009A0FDD" w:rsidRDefault="00DC4D8B">
            <w:pPr>
              <w:pStyle w:val="Tabletext"/>
              <w:spacing w:line="260" w:lineRule="exact"/>
              <w:jc w:val="center"/>
            </w:pPr>
          </w:p>
        </w:tc>
        <w:tc>
          <w:tcPr>
            <w:tcW w:w="1382" w:type="dxa"/>
            <w:tcBorders>
              <w:top w:val="nil"/>
              <w:left w:val="nil"/>
              <w:bottom w:val="single" w:sz="8" w:space="0" w:color="FFFFFF"/>
              <w:right w:val="nil"/>
            </w:tcBorders>
            <w:shd w:val="clear" w:color="auto" w:fill="D9D9D9" w:themeFill="background1" w:themeFillShade="D9"/>
            <w:vAlign w:val="center"/>
            <w:hideMark/>
          </w:tcPr>
          <w:p w14:paraId="74DBFC6C" w14:textId="77777777" w:rsidR="00DC4D8B" w:rsidRPr="009A0FDD" w:rsidRDefault="00DC4D8B">
            <w:pPr>
              <w:pStyle w:val="Tabletext"/>
              <w:spacing w:line="260" w:lineRule="exact"/>
              <w:jc w:val="center"/>
            </w:pPr>
            <w:r w:rsidRPr="009A0FDD">
              <w:t>D.2</w:t>
            </w:r>
          </w:p>
        </w:tc>
        <w:tc>
          <w:tcPr>
            <w:tcW w:w="879" w:type="dxa"/>
            <w:tcBorders>
              <w:top w:val="nil"/>
              <w:left w:val="nil"/>
              <w:bottom w:val="single" w:sz="8" w:space="0" w:color="FFFFFF"/>
              <w:right w:val="nil"/>
            </w:tcBorders>
            <w:shd w:val="clear" w:color="auto" w:fill="D9D9D9" w:themeFill="background1" w:themeFillShade="D9"/>
            <w:vAlign w:val="center"/>
            <w:hideMark/>
          </w:tcPr>
          <w:p w14:paraId="366FBF8F" w14:textId="77777777" w:rsidR="00DC4D8B" w:rsidRPr="009A0FDD" w:rsidRDefault="00DC4D8B">
            <w:pPr>
              <w:pStyle w:val="Tabletext"/>
              <w:spacing w:line="260" w:lineRule="exact"/>
              <w:jc w:val="center"/>
            </w:pPr>
            <w:r w:rsidRPr="009A0FDD">
              <w:t>Cash</w:t>
            </w:r>
          </w:p>
        </w:tc>
        <w:tc>
          <w:tcPr>
            <w:tcW w:w="526" w:type="dxa"/>
            <w:tcBorders>
              <w:top w:val="nil"/>
              <w:left w:val="nil"/>
              <w:bottom w:val="single" w:sz="8" w:space="0" w:color="FFFFFF"/>
              <w:right w:val="nil"/>
            </w:tcBorders>
            <w:shd w:val="clear" w:color="auto" w:fill="D9D9D9" w:themeFill="background1" w:themeFillShade="D9"/>
            <w:vAlign w:val="center"/>
            <w:hideMark/>
          </w:tcPr>
          <w:p w14:paraId="7814A265" w14:textId="77777777" w:rsidR="00DC4D8B" w:rsidRPr="009A0FDD" w:rsidRDefault="00DC4D8B">
            <w:pPr>
              <w:pStyle w:val="Tabletext"/>
              <w:spacing w:line="260" w:lineRule="exact"/>
              <w:jc w:val="center"/>
            </w:pPr>
            <w:r w:rsidRPr="009A0FDD">
              <w:t>Yes</w:t>
            </w:r>
          </w:p>
        </w:tc>
        <w:tc>
          <w:tcPr>
            <w:tcW w:w="722" w:type="dxa"/>
            <w:tcBorders>
              <w:top w:val="nil"/>
              <w:left w:val="nil"/>
              <w:bottom w:val="single" w:sz="8" w:space="0" w:color="FFFFFF"/>
              <w:right w:val="nil"/>
            </w:tcBorders>
            <w:shd w:val="clear" w:color="auto" w:fill="D9D9D9" w:themeFill="background1" w:themeFillShade="D9"/>
            <w:vAlign w:val="center"/>
            <w:hideMark/>
          </w:tcPr>
          <w:p w14:paraId="4AA6E78A" w14:textId="77777777" w:rsidR="00DC4D8B" w:rsidRPr="009A0FDD" w:rsidRDefault="00DC4D8B">
            <w:pPr>
              <w:pStyle w:val="Tabletext"/>
              <w:spacing w:line="260" w:lineRule="exact"/>
              <w:jc w:val="center"/>
            </w:pPr>
            <w:r w:rsidRPr="009A0FDD">
              <w:t>0.24</w:t>
            </w:r>
          </w:p>
        </w:tc>
        <w:tc>
          <w:tcPr>
            <w:tcW w:w="817" w:type="dxa"/>
            <w:tcBorders>
              <w:top w:val="nil"/>
              <w:left w:val="nil"/>
              <w:bottom w:val="single" w:sz="8" w:space="0" w:color="FFFFFF"/>
              <w:right w:val="nil"/>
            </w:tcBorders>
            <w:shd w:val="clear" w:color="auto" w:fill="D9D9D9" w:themeFill="background1" w:themeFillShade="D9"/>
            <w:vAlign w:val="center"/>
            <w:hideMark/>
          </w:tcPr>
          <w:p w14:paraId="000D73E0" w14:textId="77777777" w:rsidR="00DC4D8B" w:rsidRPr="009A0FDD" w:rsidRDefault="00DC4D8B">
            <w:pPr>
              <w:pStyle w:val="Tabletext"/>
              <w:spacing w:line="260" w:lineRule="exact"/>
              <w:jc w:val="center"/>
            </w:pPr>
            <w:r w:rsidRPr="009A0FDD">
              <w:t>0.05</w:t>
            </w:r>
          </w:p>
        </w:tc>
        <w:tc>
          <w:tcPr>
            <w:tcW w:w="732" w:type="dxa"/>
            <w:tcBorders>
              <w:top w:val="nil"/>
              <w:left w:val="nil"/>
              <w:bottom w:val="single" w:sz="8" w:space="0" w:color="FFFFFF"/>
              <w:right w:val="nil"/>
            </w:tcBorders>
            <w:shd w:val="clear" w:color="auto" w:fill="D9D9D9" w:themeFill="background1" w:themeFillShade="D9"/>
            <w:vAlign w:val="center"/>
            <w:hideMark/>
          </w:tcPr>
          <w:p w14:paraId="1F230A94" w14:textId="77777777" w:rsidR="00DC4D8B" w:rsidRPr="00DC4D8B" w:rsidRDefault="00DC4D8B">
            <w:pPr>
              <w:pStyle w:val="Tabletext"/>
              <w:spacing w:line="260" w:lineRule="exact"/>
              <w:jc w:val="center"/>
            </w:pPr>
            <w:r w:rsidRPr="009A0FDD">
              <w:t>0.00</w:t>
            </w:r>
          </w:p>
        </w:tc>
      </w:tr>
      <w:tr w:rsidR="005116FC" w:rsidRPr="00DC4D8B" w14:paraId="20DF93EB" w14:textId="77777777" w:rsidTr="00831EE4">
        <w:trPr>
          <w:trHeight w:val="843"/>
          <w:jc w:val="center"/>
        </w:trPr>
        <w:tc>
          <w:tcPr>
            <w:tcW w:w="2410" w:type="dxa"/>
            <w:tcBorders>
              <w:top w:val="nil"/>
              <w:left w:val="nil"/>
              <w:bottom w:val="single" w:sz="8" w:space="0" w:color="FFFFFF"/>
              <w:right w:val="nil"/>
            </w:tcBorders>
            <w:shd w:val="clear" w:color="auto" w:fill="F2F2F2" w:themeFill="background1" w:themeFillShade="F2"/>
            <w:vAlign w:val="center"/>
            <w:hideMark/>
          </w:tcPr>
          <w:p w14:paraId="6F11D288" w14:textId="77777777" w:rsidR="00DC4D8B" w:rsidRPr="00DC4D8B" w:rsidRDefault="00DC4D8B">
            <w:pPr>
              <w:pStyle w:val="Tabletext"/>
              <w:spacing w:line="260" w:lineRule="exact"/>
            </w:pPr>
            <w:r w:rsidRPr="00DC4D8B">
              <w:t>Interconnect POS &amp; MyDATA (effect on CIT)</w:t>
            </w:r>
          </w:p>
        </w:tc>
        <w:tc>
          <w:tcPr>
            <w:tcW w:w="993" w:type="dxa"/>
            <w:tcBorders>
              <w:top w:val="nil"/>
              <w:left w:val="nil"/>
              <w:bottom w:val="single" w:sz="8" w:space="0" w:color="FFFFFF"/>
              <w:right w:val="nil"/>
            </w:tcBorders>
            <w:shd w:val="clear" w:color="auto" w:fill="F2F2F2" w:themeFill="background1" w:themeFillShade="F2"/>
            <w:vAlign w:val="center"/>
            <w:hideMark/>
          </w:tcPr>
          <w:p w14:paraId="19C69BE0" w14:textId="77777777" w:rsidR="00DC4D8B" w:rsidRPr="00DC4D8B" w:rsidRDefault="00DC4D8B">
            <w:pPr>
              <w:pStyle w:val="Tabletext"/>
              <w:spacing w:line="260" w:lineRule="exact"/>
              <w:jc w:val="center"/>
            </w:pPr>
            <w:r w:rsidRPr="00DC4D8B">
              <w:t>2025</w:t>
            </w:r>
          </w:p>
        </w:tc>
        <w:tc>
          <w:tcPr>
            <w:tcW w:w="470" w:type="dxa"/>
            <w:tcBorders>
              <w:top w:val="nil"/>
              <w:left w:val="nil"/>
              <w:bottom w:val="single" w:sz="8" w:space="0" w:color="FFFFFF"/>
              <w:right w:val="nil"/>
            </w:tcBorders>
            <w:shd w:val="clear" w:color="auto" w:fill="F2F2F2" w:themeFill="background1" w:themeFillShade="F2"/>
            <w:textDirection w:val="btLr"/>
            <w:vAlign w:val="center"/>
            <w:hideMark/>
          </w:tcPr>
          <w:p w14:paraId="7356AC93" w14:textId="77777777" w:rsidR="00DC4D8B" w:rsidRPr="00DC4D8B" w:rsidRDefault="00DC4D8B">
            <w:pPr>
              <w:pStyle w:val="Tabletext"/>
              <w:spacing w:line="260" w:lineRule="exact"/>
              <w:jc w:val="center"/>
            </w:pPr>
          </w:p>
        </w:tc>
        <w:tc>
          <w:tcPr>
            <w:tcW w:w="1382" w:type="dxa"/>
            <w:tcBorders>
              <w:top w:val="nil"/>
              <w:left w:val="nil"/>
              <w:bottom w:val="single" w:sz="8" w:space="0" w:color="FFFFFF"/>
              <w:right w:val="nil"/>
            </w:tcBorders>
            <w:shd w:val="clear" w:color="auto" w:fill="F2F2F2" w:themeFill="background1" w:themeFillShade="F2"/>
            <w:vAlign w:val="center"/>
            <w:hideMark/>
          </w:tcPr>
          <w:p w14:paraId="5F277930" w14:textId="77777777" w:rsidR="00DC4D8B" w:rsidRPr="00DC4D8B" w:rsidRDefault="00DC4D8B">
            <w:pPr>
              <w:pStyle w:val="Tabletext"/>
              <w:spacing w:line="260" w:lineRule="exact"/>
              <w:jc w:val="center"/>
            </w:pPr>
            <w:r w:rsidRPr="00DC4D8B">
              <w:t>D.5</w:t>
            </w:r>
          </w:p>
        </w:tc>
        <w:tc>
          <w:tcPr>
            <w:tcW w:w="879" w:type="dxa"/>
            <w:tcBorders>
              <w:top w:val="nil"/>
              <w:left w:val="nil"/>
              <w:bottom w:val="single" w:sz="8" w:space="0" w:color="FFFFFF"/>
              <w:right w:val="nil"/>
            </w:tcBorders>
            <w:shd w:val="clear" w:color="auto" w:fill="F2F2F2" w:themeFill="background1" w:themeFillShade="F2"/>
            <w:vAlign w:val="center"/>
            <w:hideMark/>
          </w:tcPr>
          <w:p w14:paraId="086114F6" w14:textId="77777777" w:rsidR="00DC4D8B" w:rsidRPr="00DC4D8B" w:rsidRDefault="00DC4D8B">
            <w:pPr>
              <w:pStyle w:val="Tabletext"/>
              <w:spacing w:line="260" w:lineRule="exact"/>
              <w:jc w:val="center"/>
            </w:pPr>
            <w:r w:rsidRPr="00DC4D8B">
              <w:t>Cash</w:t>
            </w:r>
          </w:p>
        </w:tc>
        <w:tc>
          <w:tcPr>
            <w:tcW w:w="526" w:type="dxa"/>
            <w:tcBorders>
              <w:top w:val="nil"/>
              <w:left w:val="nil"/>
              <w:bottom w:val="single" w:sz="8" w:space="0" w:color="FFFFFF"/>
              <w:right w:val="nil"/>
            </w:tcBorders>
            <w:shd w:val="clear" w:color="auto" w:fill="F2F2F2" w:themeFill="background1" w:themeFillShade="F2"/>
            <w:vAlign w:val="center"/>
            <w:hideMark/>
          </w:tcPr>
          <w:p w14:paraId="0F6DD1C6" w14:textId="77777777" w:rsidR="00DC4D8B" w:rsidRPr="00DC4D8B" w:rsidRDefault="00DC4D8B">
            <w:pPr>
              <w:pStyle w:val="Tabletext"/>
              <w:spacing w:line="260" w:lineRule="exact"/>
              <w:jc w:val="center"/>
            </w:pPr>
            <w:r w:rsidRPr="00DC4D8B">
              <w:t>Yes</w:t>
            </w:r>
          </w:p>
        </w:tc>
        <w:tc>
          <w:tcPr>
            <w:tcW w:w="722" w:type="dxa"/>
            <w:tcBorders>
              <w:top w:val="nil"/>
              <w:left w:val="nil"/>
              <w:bottom w:val="single" w:sz="8" w:space="0" w:color="FFFFFF"/>
              <w:right w:val="nil"/>
            </w:tcBorders>
            <w:shd w:val="clear" w:color="auto" w:fill="F2F2F2" w:themeFill="background1" w:themeFillShade="F2"/>
            <w:vAlign w:val="center"/>
            <w:hideMark/>
          </w:tcPr>
          <w:p w14:paraId="03155972" w14:textId="77777777" w:rsidR="00DC4D8B" w:rsidRPr="00DC4D8B" w:rsidRDefault="00DC4D8B">
            <w:pPr>
              <w:pStyle w:val="Tabletext"/>
              <w:spacing w:line="260" w:lineRule="exact"/>
              <w:jc w:val="center"/>
            </w:pPr>
            <w:r w:rsidRPr="00DC4D8B">
              <w:t>0.00</w:t>
            </w:r>
          </w:p>
        </w:tc>
        <w:tc>
          <w:tcPr>
            <w:tcW w:w="817" w:type="dxa"/>
            <w:tcBorders>
              <w:top w:val="nil"/>
              <w:left w:val="nil"/>
              <w:bottom w:val="single" w:sz="8" w:space="0" w:color="FFFFFF"/>
              <w:right w:val="nil"/>
            </w:tcBorders>
            <w:shd w:val="clear" w:color="auto" w:fill="F2F2F2" w:themeFill="background1" w:themeFillShade="F2"/>
            <w:vAlign w:val="center"/>
            <w:hideMark/>
          </w:tcPr>
          <w:p w14:paraId="65152CF3" w14:textId="77777777" w:rsidR="00DC4D8B" w:rsidRPr="00DC4D8B" w:rsidRDefault="00DC4D8B">
            <w:pPr>
              <w:pStyle w:val="Tabletext"/>
              <w:spacing w:line="260" w:lineRule="exact"/>
              <w:jc w:val="center"/>
            </w:pPr>
            <w:r w:rsidRPr="00DC4D8B">
              <w:t>0.11</w:t>
            </w:r>
          </w:p>
        </w:tc>
        <w:tc>
          <w:tcPr>
            <w:tcW w:w="732" w:type="dxa"/>
            <w:tcBorders>
              <w:top w:val="nil"/>
              <w:left w:val="nil"/>
              <w:bottom w:val="single" w:sz="8" w:space="0" w:color="FFFFFF"/>
              <w:right w:val="nil"/>
            </w:tcBorders>
            <w:shd w:val="clear" w:color="auto" w:fill="F2F2F2" w:themeFill="background1" w:themeFillShade="F2"/>
            <w:vAlign w:val="center"/>
            <w:hideMark/>
          </w:tcPr>
          <w:p w14:paraId="786A4B81" w14:textId="77777777" w:rsidR="00DC4D8B" w:rsidRPr="00DC4D8B" w:rsidRDefault="00DC4D8B">
            <w:pPr>
              <w:pStyle w:val="Tabletext"/>
              <w:spacing w:line="260" w:lineRule="exact"/>
              <w:jc w:val="center"/>
            </w:pPr>
            <w:r w:rsidRPr="00DC4D8B">
              <w:t>0.00</w:t>
            </w:r>
          </w:p>
        </w:tc>
      </w:tr>
      <w:tr w:rsidR="005116FC" w:rsidRPr="00DC4D8B" w14:paraId="78704345" w14:textId="77777777" w:rsidTr="00831EE4">
        <w:trPr>
          <w:trHeight w:val="670"/>
          <w:jc w:val="center"/>
        </w:trPr>
        <w:tc>
          <w:tcPr>
            <w:tcW w:w="2410" w:type="dxa"/>
            <w:tcBorders>
              <w:top w:val="nil"/>
              <w:left w:val="nil"/>
              <w:bottom w:val="single" w:sz="8" w:space="0" w:color="FFFFFF"/>
              <w:right w:val="nil"/>
            </w:tcBorders>
            <w:shd w:val="clear" w:color="auto" w:fill="D9D9D9" w:themeFill="background1" w:themeFillShade="D9"/>
            <w:vAlign w:val="center"/>
            <w:hideMark/>
          </w:tcPr>
          <w:p w14:paraId="3C3A622F" w14:textId="77777777" w:rsidR="00DC4D8B" w:rsidRPr="00DC4D8B" w:rsidRDefault="00DC4D8B">
            <w:pPr>
              <w:pStyle w:val="Tabletext"/>
              <w:spacing w:line="260" w:lineRule="exact"/>
            </w:pPr>
            <w:r w:rsidRPr="00DC4D8B">
              <w:t xml:space="preserve">Reform of the </w:t>
            </w:r>
            <w:r w:rsidR="00265F89">
              <w:br/>
            </w:r>
            <w:r w:rsidRPr="00DC4D8B">
              <w:t>Personal Income Tax</w:t>
            </w:r>
          </w:p>
        </w:tc>
        <w:tc>
          <w:tcPr>
            <w:tcW w:w="993" w:type="dxa"/>
            <w:tcBorders>
              <w:top w:val="nil"/>
              <w:left w:val="nil"/>
              <w:bottom w:val="single" w:sz="8" w:space="0" w:color="FFFFFF"/>
              <w:right w:val="nil"/>
            </w:tcBorders>
            <w:shd w:val="clear" w:color="auto" w:fill="D9D9D9" w:themeFill="background1" w:themeFillShade="D9"/>
            <w:vAlign w:val="center"/>
            <w:hideMark/>
          </w:tcPr>
          <w:p w14:paraId="26D56750" w14:textId="77777777" w:rsidR="00DC4D8B" w:rsidRPr="00DC4D8B" w:rsidRDefault="00DC4D8B">
            <w:pPr>
              <w:pStyle w:val="Tabletext"/>
              <w:spacing w:line="260" w:lineRule="exact"/>
              <w:jc w:val="center"/>
            </w:pPr>
            <w:r w:rsidRPr="00DC4D8B">
              <w:t>2026</w:t>
            </w:r>
          </w:p>
        </w:tc>
        <w:tc>
          <w:tcPr>
            <w:tcW w:w="470" w:type="dxa"/>
            <w:tcBorders>
              <w:top w:val="nil"/>
              <w:left w:val="nil"/>
              <w:bottom w:val="single" w:sz="8" w:space="0" w:color="FFFFFF"/>
              <w:right w:val="nil"/>
            </w:tcBorders>
            <w:shd w:val="clear" w:color="auto" w:fill="D9D9D9" w:themeFill="background1" w:themeFillShade="D9"/>
            <w:textDirection w:val="btLr"/>
            <w:vAlign w:val="center"/>
            <w:hideMark/>
          </w:tcPr>
          <w:p w14:paraId="63E9316A" w14:textId="77777777" w:rsidR="00DC4D8B" w:rsidRPr="00DC4D8B" w:rsidRDefault="00DC4D8B">
            <w:pPr>
              <w:pStyle w:val="Tabletext"/>
              <w:spacing w:line="260" w:lineRule="exact"/>
              <w:jc w:val="center"/>
            </w:pPr>
          </w:p>
        </w:tc>
        <w:tc>
          <w:tcPr>
            <w:tcW w:w="1382" w:type="dxa"/>
            <w:tcBorders>
              <w:top w:val="nil"/>
              <w:left w:val="nil"/>
              <w:bottom w:val="single" w:sz="8" w:space="0" w:color="FFFFFF"/>
              <w:right w:val="nil"/>
            </w:tcBorders>
            <w:shd w:val="clear" w:color="auto" w:fill="D9D9D9" w:themeFill="background1" w:themeFillShade="D9"/>
            <w:vAlign w:val="center"/>
            <w:hideMark/>
          </w:tcPr>
          <w:p w14:paraId="0419A90C" w14:textId="77777777" w:rsidR="00DC4D8B" w:rsidRPr="00DC4D8B" w:rsidRDefault="00DC4D8B">
            <w:pPr>
              <w:pStyle w:val="Tabletext"/>
              <w:spacing w:line="260" w:lineRule="exact"/>
              <w:jc w:val="center"/>
            </w:pPr>
            <w:r w:rsidRPr="00DC4D8B">
              <w:t>D.5</w:t>
            </w:r>
          </w:p>
        </w:tc>
        <w:tc>
          <w:tcPr>
            <w:tcW w:w="879" w:type="dxa"/>
            <w:tcBorders>
              <w:top w:val="nil"/>
              <w:left w:val="nil"/>
              <w:bottom w:val="single" w:sz="8" w:space="0" w:color="FFFFFF"/>
              <w:right w:val="nil"/>
            </w:tcBorders>
            <w:shd w:val="clear" w:color="auto" w:fill="D9D9D9" w:themeFill="background1" w:themeFillShade="D9"/>
            <w:vAlign w:val="center"/>
            <w:hideMark/>
          </w:tcPr>
          <w:p w14:paraId="6776D64C" w14:textId="77777777" w:rsidR="00DC4D8B" w:rsidRPr="00DC4D8B" w:rsidRDefault="00DC4D8B">
            <w:pPr>
              <w:pStyle w:val="Tabletext"/>
              <w:spacing w:line="260" w:lineRule="exact"/>
              <w:jc w:val="center"/>
            </w:pPr>
            <w:r w:rsidRPr="00DC4D8B">
              <w:t>Cash</w:t>
            </w:r>
          </w:p>
        </w:tc>
        <w:tc>
          <w:tcPr>
            <w:tcW w:w="526" w:type="dxa"/>
            <w:tcBorders>
              <w:top w:val="nil"/>
              <w:left w:val="nil"/>
              <w:bottom w:val="single" w:sz="8" w:space="0" w:color="FFFFFF"/>
              <w:right w:val="nil"/>
            </w:tcBorders>
            <w:shd w:val="clear" w:color="auto" w:fill="D9D9D9" w:themeFill="background1" w:themeFillShade="D9"/>
            <w:vAlign w:val="center"/>
            <w:hideMark/>
          </w:tcPr>
          <w:p w14:paraId="55081081" w14:textId="77777777" w:rsidR="00DC4D8B" w:rsidRPr="00DC4D8B" w:rsidRDefault="00DC4D8B">
            <w:pPr>
              <w:pStyle w:val="Tabletext"/>
              <w:spacing w:line="260" w:lineRule="exact"/>
              <w:jc w:val="center"/>
            </w:pPr>
            <w:r w:rsidRPr="00DC4D8B">
              <w:t>No</w:t>
            </w:r>
          </w:p>
        </w:tc>
        <w:tc>
          <w:tcPr>
            <w:tcW w:w="722" w:type="dxa"/>
            <w:tcBorders>
              <w:top w:val="nil"/>
              <w:left w:val="nil"/>
              <w:bottom w:val="single" w:sz="8" w:space="0" w:color="FFFFFF"/>
              <w:right w:val="nil"/>
            </w:tcBorders>
            <w:shd w:val="clear" w:color="auto" w:fill="D9D9D9" w:themeFill="background1" w:themeFillShade="D9"/>
            <w:vAlign w:val="center"/>
            <w:hideMark/>
          </w:tcPr>
          <w:p w14:paraId="316DF81C" w14:textId="77777777" w:rsidR="00DC4D8B" w:rsidRPr="00DC4D8B" w:rsidRDefault="00DC4D8B">
            <w:pPr>
              <w:pStyle w:val="Tabletext"/>
              <w:spacing w:line="260" w:lineRule="exact"/>
              <w:jc w:val="center"/>
            </w:pPr>
            <w:r w:rsidRPr="00DC4D8B">
              <w:t>0.00</w:t>
            </w:r>
          </w:p>
        </w:tc>
        <w:tc>
          <w:tcPr>
            <w:tcW w:w="817" w:type="dxa"/>
            <w:tcBorders>
              <w:top w:val="nil"/>
              <w:left w:val="nil"/>
              <w:bottom w:val="single" w:sz="8" w:space="0" w:color="FFFFFF"/>
              <w:right w:val="nil"/>
            </w:tcBorders>
            <w:shd w:val="clear" w:color="auto" w:fill="D9D9D9" w:themeFill="background1" w:themeFillShade="D9"/>
            <w:vAlign w:val="center"/>
            <w:hideMark/>
          </w:tcPr>
          <w:p w14:paraId="62D41C71" w14:textId="77777777" w:rsidR="00DC4D8B" w:rsidRPr="00DC4D8B" w:rsidRDefault="00DC4D8B">
            <w:pPr>
              <w:pStyle w:val="Tabletext"/>
              <w:spacing w:line="260" w:lineRule="exact"/>
              <w:jc w:val="center"/>
            </w:pPr>
            <w:r w:rsidRPr="00DC4D8B">
              <w:t>0.00</w:t>
            </w:r>
          </w:p>
        </w:tc>
        <w:tc>
          <w:tcPr>
            <w:tcW w:w="732" w:type="dxa"/>
            <w:tcBorders>
              <w:top w:val="nil"/>
              <w:left w:val="nil"/>
              <w:bottom w:val="single" w:sz="8" w:space="0" w:color="FFFFFF"/>
              <w:right w:val="nil"/>
            </w:tcBorders>
            <w:shd w:val="clear" w:color="auto" w:fill="D9D9D9" w:themeFill="background1" w:themeFillShade="D9"/>
            <w:vAlign w:val="center"/>
            <w:hideMark/>
          </w:tcPr>
          <w:p w14:paraId="7E5405D2" w14:textId="77777777" w:rsidR="00DC4D8B" w:rsidRPr="00DC4D8B" w:rsidRDefault="00DC4D8B">
            <w:pPr>
              <w:pStyle w:val="Tabletext"/>
              <w:spacing w:line="260" w:lineRule="exact"/>
              <w:jc w:val="center"/>
            </w:pPr>
            <w:r w:rsidRPr="00DC4D8B">
              <w:t>-0.47</w:t>
            </w:r>
          </w:p>
        </w:tc>
      </w:tr>
      <w:tr w:rsidR="005116FC" w:rsidRPr="00DC4D8B" w14:paraId="6FFB13CD" w14:textId="77777777" w:rsidTr="00831EE4">
        <w:trPr>
          <w:trHeight w:val="978"/>
          <w:jc w:val="center"/>
        </w:trPr>
        <w:tc>
          <w:tcPr>
            <w:tcW w:w="2410" w:type="dxa"/>
            <w:tcBorders>
              <w:top w:val="nil"/>
              <w:left w:val="nil"/>
              <w:bottom w:val="single" w:sz="8" w:space="0" w:color="FFFFFF"/>
              <w:right w:val="nil"/>
            </w:tcBorders>
            <w:shd w:val="clear" w:color="auto" w:fill="F2F2F2" w:themeFill="background1" w:themeFillShade="F2"/>
            <w:vAlign w:val="center"/>
            <w:hideMark/>
          </w:tcPr>
          <w:p w14:paraId="05D1A32F" w14:textId="1179DEBB" w:rsidR="00DC4D8B" w:rsidRPr="009A0FDD" w:rsidRDefault="00DC4D8B">
            <w:pPr>
              <w:pStyle w:val="Tabletext"/>
              <w:spacing w:line="260" w:lineRule="exact"/>
            </w:pPr>
            <w:r w:rsidRPr="009A0FDD">
              <w:t xml:space="preserve">Decrease of social security contributions by 1% in 2025 </w:t>
            </w:r>
          </w:p>
        </w:tc>
        <w:tc>
          <w:tcPr>
            <w:tcW w:w="993" w:type="dxa"/>
            <w:tcBorders>
              <w:top w:val="nil"/>
              <w:left w:val="nil"/>
              <w:bottom w:val="single" w:sz="8" w:space="0" w:color="FFFFFF"/>
              <w:right w:val="nil"/>
            </w:tcBorders>
            <w:shd w:val="clear" w:color="auto" w:fill="F2F2F2" w:themeFill="background1" w:themeFillShade="F2"/>
            <w:vAlign w:val="center"/>
            <w:hideMark/>
          </w:tcPr>
          <w:p w14:paraId="566DF1F4" w14:textId="77777777" w:rsidR="00DC4D8B" w:rsidRPr="009A0FDD" w:rsidRDefault="00DC4D8B">
            <w:pPr>
              <w:pStyle w:val="Tabletext"/>
              <w:spacing w:line="260" w:lineRule="exact"/>
              <w:jc w:val="center"/>
            </w:pPr>
            <w:r w:rsidRPr="009A0FDD">
              <w:t>2025</w:t>
            </w:r>
          </w:p>
        </w:tc>
        <w:tc>
          <w:tcPr>
            <w:tcW w:w="470" w:type="dxa"/>
            <w:tcBorders>
              <w:top w:val="nil"/>
              <w:left w:val="nil"/>
              <w:bottom w:val="single" w:sz="8" w:space="0" w:color="FFFFFF"/>
              <w:right w:val="nil"/>
            </w:tcBorders>
            <w:shd w:val="clear" w:color="auto" w:fill="F2F2F2" w:themeFill="background1" w:themeFillShade="F2"/>
            <w:textDirection w:val="btLr"/>
            <w:vAlign w:val="center"/>
            <w:hideMark/>
          </w:tcPr>
          <w:p w14:paraId="52E7FA1A" w14:textId="77777777" w:rsidR="00DC4D8B" w:rsidRPr="009A0FDD" w:rsidRDefault="00DC4D8B">
            <w:pPr>
              <w:pStyle w:val="Tabletext"/>
              <w:spacing w:line="260" w:lineRule="exact"/>
              <w:jc w:val="center"/>
            </w:pPr>
          </w:p>
        </w:tc>
        <w:tc>
          <w:tcPr>
            <w:tcW w:w="1382" w:type="dxa"/>
            <w:tcBorders>
              <w:top w:val="nil"/>
              <w:left w:val="nil"/>
              <w:bottom w:val="single" w:sz="8" w:space="0" w:color="FFFFFF"/>
              <w:right w:val="nil"/>
            </w:tcBorders>
            <w:shd w:val="clear" w:color="auto" w:fill="F2F2F2" w:themeFill="background1" w:themeFillShade="F2"/>
            <w:vAlign w:val="center"/>
            <w:hideMark/>
          </w:tcPr>
          <w:p w14:paraId="287296D5" w14:textId="77777777" w:rsidR="00DC4D8B" w:rsidRPr="009A0FDD" w:rsidRDefault="00DC4D8B">
            <w:pPr>
              <w:pStyle w:val="Tabletext"/>
              <w:spacing w:line="260" w:lineRule="exact"/>
              <w:jc w:val="center"/>
            </w:pPr>
            <w:r w:rsidRPr="009A0FDD">
              <w:t>D.61</w:t>
            </w:r>
          </w:p>
        </w:tc>
        <w:tc>
          <w:tcPr>
            <w:tcW w:w="879" w:type="dxa"/>
            <w:tcBorders>
              <w:top w:val="nil"/>
              <w:left w:val="nil"/>
              <w:bottom w:val="single" w:sz="8" w:space="0" w:color="FFFFFF"/>
              <w:right w:val="nil"/>
            </w:tcBorders>
            <w:shd w:val="clear" w:color="auto" w:fill="F2F2F2" w:themeFill="background1" w:themeFillShade="F2"/>
            <w:vAlign w:val="center"/>
            <w:hideMark/>
          </w:tcPr>
          <w:p w14:paraId="4F11259F" w14:textId="77777777" w:rsidR="00DC4D8B" w:rsidRPr="009A0FDD" w:rsidRDefault="00DC4D8B">
            <w:pPr>
              <w:pStyle w:val="Tabletext"/>
              <w:spacing w:line="260" w:lineRule="exact"/>
              <w:jc w:val="center"/>
            </w:pPr>
            <w:r w:rsidRPr="009A0FDD">
              <w:t>Cash</w:t>
            </w:r>
          </w:p>
        </w:tc>
        <w:tc>
          <w:tcPr>
            <w:tcW w:w="526" w:type="dxa"/>
            <w:tcBorders>
              <w:top w:val="nil"/>
              <w:left w:val="nil"/>
              <w:bottom w:val="single" w:sz="8" w:space="0" w:color="FFFFFF"/>
              <w:right w:val="nil"/>
            </w:tcBorders>
            <w:shd w:val="clear" w:color="auto" w:fill="F2F2F2" w:themeFill="background1" w:themeFillShade="F2"/>
            <w:vAlign w:val="center"/>
            <w:hideMark/>
          </w:tcPr>
          <w:p w14:paraId="5FDD2019" w14:textId="77777777" w:rsidR="00DC4D8B" w:rsidRPr="009A0FDD" w:rsidRDefault="00DC4D8B">
            <w:pPr>
              <w:pStyle w:val="Tabletext"/>
              <w:spacing w:line="260" w:lineRule="exact"/>
              <w:jc w:val="center"/>
            </w:pPr>
            <w:r w:rsidRPr="009A0FDD">
              <w:t>Yes</w:t>
            </w:r>
          </w:p>
        </w:tc>
        <w:tc>
          <w:tcPr>
            <w:tcW w:w="722" w:type="dxa"/>
            <w:tcBorders>
              <w:top w:val="nil"/>
              <w:left w:val="nil"/>
              <w:bottom w:val="single" w:sz="8" w:space="0" w:color="FFFFFF"/>
              <w:right w:val="nil"/>
            </w:tcBorders>
            <w:shd w:val="clear" w:color="auto" w:fill="F2F2F2" w:themeFill="background1" w:themeFillShade="F2"/>
            <w:vAlign w:val="center"/>
            <w:hideMark/>
          </w:tcPr>
          <w:p w14:paraId="41254908" w14:textId="77777777" w:rsidR="00DC4D8B" w:rsidRPr="009A0FDD" w:rsidRDefault="00DC4D8B">
            <w:pPr>
              <w:pStyle w:val="Tabletext"/>
              <w:spacing w:line="260" w:lineRule="exact"/>
              <w:jc w:val="center"/>
            </w:pPr>
            <w:r w:rsidRPr="009A0FDD">
              <w:t>0.00</w:t>
            </w:r>
          </w:p>
        </w:tc>
        <w:tc>
          <w:tcPr>
            <w:tcW w:w="817" w:type="dxa"/>
            <w:tcBorders>
              <w:top w:val="nil"/>
              <w:left w:val="nil"/>
              <w:bottom w:val="single" w:sz="8" w:space="0" w:color="FFFFFF"/>
              <w:right w:val="nil"/>
            </w:tcBorders>
            <w:shd w:val="clear" w:color="auto" w:fill="F2F2F2" w:themeFill="background1" w:themeFillShade="F2"/>
            <w:vAlign w:val="center"/>
            <w:hideMark/>
          </w:tcPr>
          <w:p w14:paraId="4E6F8B9A" w14:textId="77777777" w:rsidR="00DC4D8B" w:rsidRPr="009A0FDD" w:rsidRDefault="00DC4D8B">
            <w:pPr>
              <w:pStyle w:val="Tabletext"/>
              <w:spacing w:line="260" w:lineRule="exact"/>
              <w:jc w:val="center"/>
            </w:pPr>
            <w:r w:rsidRPr="009A0FDD">
              <w:t>-0.24</w:t>
            </w:r>
          </w:p>
        </w:tc>
        <w:tc>
          <w:tcPr>
            <w:tcW w:w="732" w:type="dxa"/>
            <w:tcBorders>
              <w:top w:val="nil"/>
              <w:left w:val="nil"/>
              <w:bottom w:val="single" w:sz="8" w:space="0" w:color="FFFFFF"/>
              <w:right w:val="nil"/>
            </w:tcBorders>
            <w:shd w:val="clear" w:color="auto" w:fill="F2F2F2" w:themeFill="background1" w:themeFillShade="F2"/>
            <w:vAlign w:val="center"/>
            <w:hideMark/>
          </w:tcPr>
          <w:p w14:paraId="284B68AA" w14:textId="77777777" w:rsidR="00DC4D8B" w:rsidRPr="00DC4D8B" w:rsidRDefault="00DC4D8B">
            <w:pPr>
              <w:pStyle w:val="Tabletext"/>
              <w:spacing w:line="260" w:lineRule="exact"/>
              <w:jc w:val="center"/>
            </w:pPr>
            <w:r w:rsidRPr="009A0FDD">
              <w:t>0.00</w:t>
            </w:r>
          </w:p>
        </w:tc>
      </w:tr>
      <w:tr w:rsidR="005116FC" w:rsidRPr="00DC4D8B" w14:paraId="61052274" w14:textId="77777777" w:rsidTr="00831EE4">
        <w:trPr>
          <w:trHeight w:val="694"/>
          <w:jc w:val="center"/>
        </w:trPr>
        <w:tc>
          <w:tcPr>
            <w:tcW w:w="2410" w:type="dxa"/>
            <w:tcBorders>
              <w:top w:val="nil"/>
              <w:left w:val="nil"/>
              <w:bottom w:val="single" w:sz="8" w:space="0" w:color="FFFFFF"/>
              <w:right w:val="nil"/>
            </w:tcBorders>
            <w:shd w:val="clear" w:color="auto" w:fill="D9D9D9" w:themeFill="background1" w:themeFillShade="D9"/>
            <w:vAlign w:val="center"/>
            <w:hideMark/>
          </w:tcPr>
          <w:p w14:paraId="5897CF1A" w14:textId="77777777" w:rsidR="00DC4D8B" w:rsidRPr="00DC4D8B" w:rsidRDefault="00DC4D8B">
            <w:pPr>
              <w:pStyle w:val="Tabletext"/>
              <w:spacing w:line="260" w:lineRule="exact"/>
            </w:pPr>
            <w:r w:rsidRPr="00DC4D8B">
              <w:t>Working pensioners reform</w:t>
            </w:r>
          </w:p>
        </w:tc>
        <w:tc>
          <w:tcPr>
            <w:tcW w:w="993" w:type="dxa"/>
            <w:tcBorders>
              <w:top w:val="nil"/>
              <w:left w:val="nil"/>
              <w:bottom w:val="single" w:sz="8" w:space="0" w:color="FFFFFF"/>
              <w:right w:val="nil"/>
            </w:tcBorders>
            <w:shd w:val="clear" w:color="auto" w:fill="D9D9D9" w:themeFill="background1" w:themeFillShade="D9"/>
            <w:vAlign w:val="center"/>
            <w:hideMark/>
          </w:tcPr>
          <w:p w14:paraId="52F0F01C" w14:textId="77777777" w:rsidR="00DC4D8B" w:rsidRPr="00DC4D8B" w:rsidRDefault="00DC4D8B">
            <w:pPr>
              <w:pStyle w:val="Tabletext"/>
              <w:spacing w:line="260" w:lineRule="exact"/>
              <w:jc w:val="center"/>
            </w:pPr>
            <w:r w:rsidRPr="00DC4D8B">
              <w:t>2024</w:t>
            </w:r>
          </w:p>
        </w:tc>
        <w:tc>
          <w:tcPr>
            <w:tcW w:w="470" w:type="dxa"/>
            <w:tcBorders>
              <w:top w:val="nil"/>
              <w:left w:val="nil"/>
              <w:bottom w:val="single" w:sz="8" w:space="0" w:color="FFFFFF"/>
              <w:right w:val="nil"/>
            </w:tcBorders>
            <w:shd w:val="clear" w:color="auto" w:fill="D9D9D9" w:themeFill="background1" w:themeFillShade="D9"/>
            <w:textDirection w:val="btLr"/>
            <w:vAlign w:val="center"/>
            <w:hideMark/>
          </w:tcPr>
          <w:p w14:paraId="00384FF2" w14:textId="77777777" w:rsidR="00DC4D8B" w:rsidRPr="00DC4D8B" w:rsidRDefault="00DC4D8B">
            <w:pPr>
              <w:pStyle w:val="Tabletext"/>
              <w:spacing w:line="260" w:lineRule="exact"/>
              <w:jc w:val="center"/>
            </w:pPr>
          </w:p>
        </w:tc>
        <w:tc>
          <w:tcPr>
            <w:tcW w:w="1382" w:type="dxa"/>
            <w:tcBorders>
              <w:top w:val="nil"/>
              <w:left w:val="nil"/>
              <w:bottom w:val="single" w:sz="8" w:space="0" w:color="FFFFFF"/>
              <w:right w:val="nil"/>
            </w:tcBorders>
            <w:shd w:val="clear" w:color="auto" w:fill="D9D9D9" w:themeFill="background1" w:themeFillShade="D9"/>
            <w:vAlign w:val="center"/>
            <w:hideMark/>
          </w:tcPr>
          <w:p w14:paraId="0B5FAE5D" w14:textId="77777777" w:rsidR="00DC4D8B" w:rsidRPr="00DC4D8B" w:rsidRDefault="00DC4D8B">
            <w:pPr>
              <w:pStyle w:val="Tabletext"/>
              <w:spacing w:line="260" w:lineRule="exact"/>
              <w:jc w:val="center"/>
            </w:pPr>
            <w:r w:rsidRPr="00DC4D8B">
              <w:t>D.61</w:t>
            </w:r>
          </w:p>
        </w:tc>
        <w:tc>
          <w:tcPr>
            <w:tcW w:w="879" w:type="dxa"/>
            <w:tcBorders>
              <w:top w:val="nil"/>
              <w:left w:val="nil"/>
              <w:bottom w:val="single" w:sz="8" w:space="0" w:color="FFFFFF"/>
              <w:right w:val="nil"/>
            </w:tcBorders>
            <w:shd w:val="clear" w:color="auto" w:fill="D9D9D9" w:themeFill="background1" w:themeFillShade="D9"/>
            <w:vAlign w:val="center"/>
            <w:hideMark/>
          </w:tcPr>
          <w:p w14:paraId="70B0E925" w14:textId="77777777" w:rsidR="00DC4D8B" w:rsidRPr="00DC4D8B" w:rsidRDefault="00DC4D8B">
            <w:pPr>
              <w:pStyle w:val="Tabletext"/>
              <w:spacing w:line="260" w:lineRule="exact"/>
              <w:jc w:val="center"/>
            </w:pPr>
            <w:r w:rsidRPr="00DC4D8B">
              <w:t>Cash</w:t>
            </w:r>
          </w:p>
        </w:tc>
        <w:tc>
          <w:tcPr>
            <w:tcW w:w="526" w:type="dxa"/>
            <w:tcBorders>
              <w:top w:val="nil"/>
              <w:left w:val="nil"/>
              <w:bottom w:val="single" w:sz="8" w:space="0" w:color="FFFFFF"/>
              <w:right w:val="nil"/>
            </w:tcBorders>
            <w:shd w:val="clear" w:color="auto" w:fill="D9D9D9" w:themeFill="background1" w:themeFillShade="D9"/>
            <w:vAlign w:val="center"/>
            <w:hideMark/>
          </w:tcPr>
          <w:p w14:paraId="4DED23F9" w14:textId="77777777" w:rsidR="00DC4D8B" w:rsidRPr="00DC4D8B" w:rsidRDefault="00DC4D8B">
            <w:pPr>
              <w:pStyle w:val="Tabletext"/>
              <w:spacing w:line="260" w:lineRule="exact"/>
              <w:jc w:val="center"/>
            </w:pPr>
            <w:r w:rsidRPr="00DC4D8B">
              <w:t>Yes</w:t>
            </w:r>
          </w:p>
        </w:tc>
        <w:tc>
          <w:tcPr>
            <w:tcW w:w="722" w:type="dxa"/>
            <w:tcBorders>
              <w:top w:val="nil"/>
              <w:left w:val="nil"/>
              <w:bottom w:val="single" w:sz="8" w:space="0" w:color="FFFFFF"/>
              <w:right w:val="nil"/>
            </w:tcBorders>
            <w:shd w:val="clear" w:color="auto" w:fill="D9D9D9" w:themeFill="background1" w:themeFillShade="D9"/>
            <w:vAlign w:val="center"/>
            <w:hideMark/>
          </w:tcPr>
          <w:p w14:paraId="1D89D59C" w14:textId="77777777" w:rsidR="00DC4D8B" w:rsidRPr="00DC4D8B" w:rsidRDefault="00DC4D8B">
            <w:pPr>
              <w:pStyle w:val="Tabletext"/>
              <w:spacing w:line="260" w:lineRule="exact"/>
              <w:jc w:val="center"/>
            </w:pPr>
            <w:r w:rsidRPr="00DC4D8B">
              <w:t>0.13</w:t>
            </w:r>
          </w:p>
        </w:tc>
        <w:tc>
          <w:tcPr>
            <w:tcW w:w="817" w:type="dxa"/>
            <w:tcBorders>
              <w:top w:val="nil"/>
              <w:left w:val="nil"/>
              <w:bottom w:val="single" w:sz="8" w:space="0" w:color="FFFFFF"/>
              <w:right w:val="nil"/>
            </w:tcBorders>
            <w:shd w:val="clear" w:color="auto" w:fill="D9D9D9" w:themeFill="background1" w:themeFillShade="D9"/>
            <w:vAlign w:val="center"/>
            <w:hideMark/>
          </w:tcPr>
          <w:p w14:paraId="4BD48675" w14:textId="77777777" w:rsidR="00DC4D8B" w:rsidRPr="00DC4D8B" w:rsidRDefault="00DC4D8B">
            <w:pPr>
              <w:pStyle w:val="Tabletext"/>
              <w:spacing w:line="260" w:lineRule="exact"/>
              <w:jc w:val="center"/>
            </w:pPr>
            <w:r w:rsidRPr="00DC4D8B">
              <w:t>0.00</w:t>
            </w:r>
          </w:p>
        </w:tc>
        <w:tc>
          <w:tcPr>
            <w:tcW w:w="732" w:type="dxa"/>
            <w:tcBorders>
              <w:top w:val="nil"/>
              <w:left w:val="nil"/>
              <w:bottom w:val="single" w:sz="8" w:space="0" w:color="FFFFFF"/>
              <w:right w:val="nil"/>
            </w:tcBorders>
            <w:shd w:val="clear" w:color="auto" w:fill="D9D9D9" w:themeFill="background1" w:themeFillShade="D9"/>
            <w:vAlign w:val="center"/>
            <w:hideMark/>
          </w:tcPr>
          <w:p w14:paraId="3337069A" w14:textId="77777777" w:rsidR="00DC4D8B" w:rsidRPr="00DC4D8B" w:rsidRDefault="00DC4D8B">
            <w:pPr>
              <w:pStyle w:val="Tabletext"/>
              <w:spacing w:line="260" w:lineRule="exact"/>
              <w:jc w:val="center"/>
            </w:pPr>
            <w:r w:rsidRPr="00DC4D8B">
              <w:t>0.00</w:t>
            </w:r>
          </w:p>
        </w:tc>
      </w:tr>
      <w:tr w:rsidR="005116FC" w:rsidRPr="00DC4D8B" w14:paraId="504D6CD3" w14:textId="77777777" w:rsidTr="00831EE4">
        <w:trPr>
          <w:trHeight w:val="1257"/>
          <w:jc w:val="center"/>
        </w:trPr>
        <w:tc>
          <w:tcPr>
            <w:tcW w:w="2410" w:type="dxa"/>
            <w:tcBorders>
              <w:top w:val="nil"/>
              <w:left w:val="nil"/>
              <w:bottom w:val="nil"/>
              <w:right w:val="nil"/>
            </w:tcBorders>
            <w:shd w:val="clear" w:color="auto" w:fill="F2F2F2" w:themeFill="background1" w:themeFillShade="F2"/>
            <w:vAlign w:val="center"/>
            <w:hideMark/>
          </w:tcPr>
          <w:p w14:paraId="1D07942F" w14:textId="77777777" w:rsidR="00DC4D8B" w:rsidRPr="00DC4D8B" w:rsidRDefault="00DC4D8B">
            <w:pPr>
              <w:pStyle w:val="Tabletext"/>
              <w:spacing w:line="260" w:lineRule="exact"/>
            </w:pPr>
            <w:r w:rsidRPr="00DC4D8B">
              <w:t>Increased energy revenues - price cap mechanism on renewables</w:t>
            </w:r>
          </w:p>
        </w:tc>
        <w:tc>
          <w:tcPr>
            <w:tcW w:w="993" w:type="dxa"/>
            <w:tcBorders>
              <w:top w:val="nil"/>
              <w:left w:val="nil"/>
              <w:bottom w:val="nil"/>
              <w:right w:val="nil"/>
            </w:tcBorders>
            <w:shd w:val="clear" w:color="auto" w:fill="F2F2F2" w:themeFill="background1" w:themeFillShade="F2"/>
            <w:vAlign w:val="center"/>
            <w:hideMark/>
          </w:tcPr>
          <w:p w14:paraId="46CC92F6" w14:textId="77777777" w:rsidR="00DC4D8B" w:rsidRPr="00DC4D8B" w:rsidRDefault="00DC4D8B">
            <w:pPr>
              <w:pStyle w:val="Tabletext"/>
              <w:spacing w:line="260" w:lineRule="exact"/>
              <w:jc w:val="center"/>
            </w:pPr>
            <w:r w:rsidRPr="00DC4D8B">
              <w:t>2022</w:t>
            </w:r>
          </w:p>
        </w:tc>
        <w:tc>
          <w:tcPr>
            <w:tcW w:w="470" w:type="dxa"/>
            <w:tcBorders>
              <w:top w:val="nil"/>
              <w:left w:val="nil"/>
              <w:bottom w:val="nil"/>
              <w:right w:val="nil"/>
            </w:tcBorders>
            <w:shd w:val="clear" w:color="auto" w:fill="F2F2F2" w:themeFill="background1" w:themeFillShade="F2"/>
            <w:textDirection w:val="btLr"/>
            <w:vAlign w:val="center"/>
            <w:hideMark/>
          </w:tcPr>
          <w:p w14:paraId="312EB093" w14:textId="77777777" w:rsidR="00DC4D8B" w:rsidRPr="00DC4D8B" w:rsidRDefault="00DC4D8B">
            <w:pPr>
              <w:pStyle w:val="Tabletext"/>
              <w:spacing w:line="260" w:lineRule="exact"/>
              <w:jc w:val="center"/>
            </w:pPr>
            <w:r w:rsidRPr="00DC4D8B">
              <w:t>#ENERGY-21</w:t>
            </w:r>
          </w:p>
        </w:tc>
        <w:tc>
          <w:tcPr>
            <w:tcW w:w="1382" w:type="dxa"/>
            <w:tcBorders>
              <w:top w:val="nil"/>
              <w:left w:val="nil"/>
              <w:bottom w:val="nil"/>
              <w:right w:val="nil"/>
            </w:tcBorders>
            <w:shd w:val="clear" w:color="auto" w:fill="F2F2F2" w:themeFill="background1" w:themeFillShade="F2"/>
            <w:vAlign w:val="center"/>
            <w:hideMark/>
          </w:tcPr>
          <w:p w14:paraId="6738BCA2" w14:textId="77777777" w:rsidR="00DC4D8B" w:rsidRPr="00DC4D8B" w:rsidRDefault="00DC4D8B">
            <w:pPr>
              <w:pStyle w:val="Tabletext"/>
              <w:spacing w:line="260" w:lineRule="exact"/>
              <w:jc w:val="center"/>
            </w:pPr>
            <w:r w:rsidRPr="00DC4D8B">
              <w:t>D.2</w:t>
            </w:r>
          </w:p>
        </w:tc>
        <w:tc>
          <w:tcPr>
            <w:tcW w:w="879" w:type="dxa"/>
            <w:tcBorders>
              <w:top w:val="nil"/>
              <w:left w:val="nil"/>
              <w:bottom w:val="nil"/>
              <w:right w:val="nil"/>
            </w:tcBorders>
            <w:shd w:val="clear" w:color="auto" w:fill="F2F2F2" w:themeFill="background1" w:themeFillShade="F2"/>
            <w:vAlign w:val="center"/>
            <w:hideMark/>
          </w:tcPr>
          <w:p w14:paraId="06A98CC4" w14:textId="77777777" w:rsidR="00DC4D8B" w:rsidRPr="00DC4D8B" w:rsidRDefault="00DC4D8B">
            <w:pPr>
              <w:pStyle w:val="Tabletext"/>
              <w:spacing w:line="260" w:lineRule="exact"/>
              <w:jc w:val="center"/>
            </w:pPr>
            <w:r w:rsidRPr="00DC4D8B">
              <w:t>Cash</w:t>
            </w:r>
          </w:p>
        </w:tc>
        <w:tc>
          <w:tcPr>
            <w:tcW w:w="526" w:type="dxa"/>
            <w:tcBorders>
              <w:top w:val="nil"/>
              <w:left w:val="nil"/>
              <w:bottom w:val="nil"/>
              <w:right w:val="nil"/>
            </w:tcBorders>
            <w:shd w:val="clear" w:color="auto" w:fill="F2F2F2" w:themeFill="background1" w:themeFillShade="F2"/>
            <w:vAlign w:val="center"/>
            <w:hideMark/>
          </w:tcPr>
          <w:p w14:paraId="3189DC9F" w14:textId="77777777" w:rsidR="00DC4D8B" w:rsidRPr="00DC4D8B" w:rsidRDefault="00DC4D8B">
            <w:pPr>
              <w:pStyle w:val="Tabletext"/>
              <w:spacing w:line="260" w:lineRule="exact"/>
              <w:jc w:val="center"/>
            </w:pPr>
            <w:r w:rsidRPr="00DC4D8B">
              <w:t>Yes</w:t>
            </w:r>
          </w:p>
        </w:tc>
        <w:tc>
          <w:tcPr>
            <w:tcW w:w="722" w:type="dxa"/>
            <w:tcBorders>
              <w:top w:val="nil"/>
              <w:left w:val="nil"/>
              <w:bottom w:val="nil"/>
              <w:right w:val="nil"/>
            </w:tcBorders>
            <w:shd w:val="clear" w:color="auto" w:fill="F2F2F2" w:themeFill="background1" w:themeFillShade="F2"/>
            <w:vAlign w:val="center"/>
            <w:hideMark/>
          </w:tcPr>
          <w:p w14:paraId="10E19A0E" w14:textId="77777777" w:rsidR="00DC4D8B" w:rsidRPr="00DC4D8B" w:rsidRDefault="00DC4D8B">
            <w:pPr>
              <w:pStyle w:val="Tabletext"/>
              <w:spacing w:line="260" w:lineRule="exact"/>
              <w:jc w:val="center"/>
            </w:pPr>
            <w:r w:rsidRPr="00DC4D8B">
              <w:t>-0.23</w:t>
            </w:r>
          </w:p>
        </w:tc>
        <w:tc>
          <w:tcPr>
            <w:tcW w:w="817" w:type="dxa"/>
            <w:tcBorders>
              <w:top w:val="nil"/>
              <w:left w:val="nil"/>
              <w:bottom w:val="nil"/>
              <w:right w:val="nil"/>
            </w:tcBorders>
            <w:shd w:val="clear" w:color="auto" w:fill="F2F2F2" w:themeFill="background1" w:themeFillShade="F2"/>
            <w:vAlign w:val="center"/>
            <w:hideMark/>
          </w:tcPr>
          <w:p w14:paraId="39DFB9D8" w14:textId="77777777" w:rsidR="00DC4D8B" w:rsidRPr="00DC4D8B" w:rsidRDefault="00DC4D8B">
            <w:pPr>
              <w:pStyle w:val="Tabletext"/>
              <w:spacing w:line="260" w:lineRule="exact"/>
              <w:jc w:val="center"/>
            </w:pPr>
            <w:r w:rsidRPr="00DC4D8B">
              <w:t>0.00</w:t>
            </w:r>
          </w:p>
        </w:tc>
        <w:tc>
          <w:tcPr>
            <w:tcW w:w="732" w:type="dxa"/>
            <w:tcBorders>
              <w:top w:val="nil"/>
              <w:left w:val="nil"/>
              <w:bottom w:val="nil"/>
              <w:right w:val="nil"/>
            </w:tcBorders>
            <w:shd w:val="clear" w:color="auto" w:fill="F2F2F2" w:themeFill="background1" w:themeFillShade="F2"/>
            <w:vAlign w:val="center"/>
            <w:hideMark/>
          </w:tcPr>
          <w:p w14:paraId="56E95421" w14:textId="77777777" w:rsidR="00DC4D8B" w:rsidRPr="00DC4D8B" w:rsidRDefault="00DC4D8B">
            <w:pPr>
              <w:pStyle w:val="Tabletext"/>
              <w:spacing w:line="260" w:lineRule="exact"/>
              <w:jc w:val="center"/>
            </w:pPr>
            <w:r w:rsidRPr="00DC4D8B">
              <w:t>0.00</w:t>
            </w:r>
          </w:p>
        </w:tc>
      </w:tr>
      <w:tr w:rsidR="005116FC" w:rsidRPr="00DC4D8B" w14:paraId="07D48231" w14:textId="77777777" w:rsidTr="00831EE4">
        <w:trPr>
          <w:trHeight w:val="1410"/>
          <w:jc w:val="center"/>
        </w:trPr>
        <w:tc>
          <w:tcPr>
            <w:tcW w:w="2410" w:type="dxa"/>
            <w:tcBorders>
              <w:top w:val="nil"/>
              <w:left w:val="nil"/>
              <w:right w:val="nil"/>
            </w:tcBorders>
            <w:shd w:val="clear" w:color="auto" w:fill="D9D9D9" w:themeFill="background1" w:themeFillShade="D9"/>
            <w:vAlign w:val="center"/>
            <w:hideMark/>
          </w:tcPr>
          <w:p w14:paraId="5EF466A5" w14:textId="77777777" w:rsidR="00DC4D8B" w:rsidRPr="00DC4D8B" w:rsidRDefault="00DC4D8B" w:rsidP="00831EE4">
            <w:pPr>
              <w:pStyle w:val="Tabletext"/>
              <w:spacing w:line="260" w:lineRule="exact"/>
            </w:pPr>
            <w:r w:rsidRPr="00DC4D8B">
              <w:t>Various other COVID-related D.5 discretionary revenue measures</w:t>
            </w:r>
          </w:p>
        </w:tc>
        <w:tc>
          <w:tcPr>
            <w:tcW w:w="993" w:type="dxa"/>
            <w:tcBorders>
              <w:top w:val="nil"/>
              <w:left w:val="nil"/>
              <w:right w:val="nil"/>
            </w:tcBorders>
            <w:shd w:val="clear" w:color="auto" w:fill="D9D9D9" w:themeFill="background1" w:themeFillShade="D9"/>
            <w:vAlign w:val="center"/>
            <w:hideMark/>
          </w:tcPr>
          <w:p w14:paraId="6112B03D" w14:textId="77777777" w:rsidR="00DC4D8B" w:rsidRPr="00DC4D8B" w:rsidRDefault="00DC4D8B" w:rsidP="00831EE4">
            <w:pPr>
              <w:pStyle w:val="Tabletext"/>
              <w:spacing w:line="260" w:lineRule="exact"/>
              <w:jc w:val="center"/>
            </w:pPr>
            <w:r w:rsidRPr="00DC4D8B">
              <w:t>2024</w:t>
            </w:r>
          </w:p>
        </w:tc>
        <w:tc>
          <w:tcPr>
            <w:tcW w:w="470" w:type="dxa"/>
            <w:tcBorders>
              <w:top w:val="nil"/>
              <w:left w:val="nil"/>
              <w:right w:val="nil"/>
            </w:tcBorders>
            <w:shd w:val="clear" w:color="auto" w:fill="D9D9D9" w:themeFill="background1" w:themeFillShade="D9"/>
            <w:textDirection w:val="btLr"/>
            <w:vAlign w:val="center"/>
            <w:hideMark/>
          </w:tcPr>
          <w:p w14:paraId="25000E5F" w14:textId="77777777" w:rsidR="00DC4D8B" w:rsidRPr="00DC4D8B" w:rsidRDefault="00DC4D8B" w:rsidP="00831EE4">
            <w:pPr>
              <w:pStyle w:val="Tabletext"/>
              <w:spacing w:line="260" w:lineRule="exact"/>
              <w:jc w:val="center"/>
            </w:pPr>
            <w:r w:rsidRPr="00DC4D8B">
              <w:t>#COVID-19</w:t>
            </w:r>
          </w:p>
        </w:tc>
        <w:tc>
          <w:tcPr>
            <w:tcW w:w="1382" w:type="dxa"/>
            <w:tcBorders>
              <w:top w:val="nil"/>
              <w:left w:val="nil"/>
              <w:right w:val="nil"/>
            </w:tcBorders>
            <w:shd w:val="clear" w:color="auto" w:fill="D9D9D9" w:themeFill="background1" w:themeFillShade="D9"/>
            <w:vAlign w:val="center"/>
            <w:hideMark/>
          </w:tcPr>
          <w:p w14:paraId="0E340FCE" w14:textId="77777777" w:rsidR="00DC4D8B" w:rsidRPr="00DC4D8B" w:rsidRDefault="00DC4D8B" w:rsidP="00831EE4">
            <w:pPr>
              <w:pStyle w:val="Tabletext"/>
              <w:spacing w:line="260" w:lineRule="exact"/>
              <w:jc w:val="center"/>
            </w:pPr>
            <w:r w:rsidRPr="00DC4D8B">
              <w:t>D.5</w:t>
            </w:r>
          </w:p>
        </w:tc>
        <w:tc>
          <w:tcPr>
            <w:tcW w:w="879" w:type="dxa"/>
            <w:tcBorders>
              <w:top w:val="nil"/>
              <w:left w:val="nil"/>
              <w:right w:val="nil"/>
            </w:tcBorders>
            <w:shd w:val="clear" w:color="auto" w:fill="D9D9D9" w:themeFill="background1" w:themeFillShade="D9"/>
            <w:vAlign w:val="center"/>
            <w:hideMark/>
          </w:tcPr>
          <w:p w14:paraId="7E4F1BA3" w14:textId="77777777" w:rsidR="00DC4D8B" w:rsidRPr="00DC4D8B" w:rsidRDefault="00DC4D8B" w:rsidP="00831EE4">
            <w:pPr>
              <w:pStyle w:val="Tabletext"/>
              <w:spacing w:line="260" w:lineRule="exact"/>
              <w:jc w:val="center"/>
            </w:pPr>
            <w:r w:rsidRPr="00DC4D8B">
              <w:t>Cash</w:t>
            </w:r>
          </w:p>
        </w:tc>
        <w:tc>
          <w:tcPr>
            <w:tcW w:w="526" w:type="dxa"/>
            <w:tcBorders>
              <w:top w:val="nil"/>
              <w:left w:val="nil"/>
              <w:right w:val="nil"/>
            </w:tcBorders>
            <w:shd w:val="clear" w:color="auto" w:fill="D9D9D9" w:themeFill="background1" w:themeFillShade="D9"/>
            <w:vAlign w:val="center"/>
            <w:hideMark/>
          </w:tcPr>
          <w:p w14:paraId="3BE43932" w14:textId="77777777" w:rsidR="00DC4D8B" w:rsidRPr="00DC4D8B" w:rsidRDefault="00DC4D8B" w:rsidP="00831EE4">
            <w:pPr>
              <w:pStyle w:val="Tabletext"/>
              <w:spacing w:line="260" w:lineRule="exact"/>
              <w:jc w:val="center"/>
            </w:pPr>
            <w:r w:rsidRPr="00DC4D8B">
              <w:t>Yes</w:t>
            </w:r>
          </w:p>
        </w:tc>
        <w:tc>
          <w:tcPr>
            <w:tcW w:w="722" w:type="dxa"/>
            <w:tcBorders>
              <w:top w:val="nil"/>
              <w:left w:val="nil"/>
              <w:right w:val="nil"/>
            </w:tcBorders>
            <w:shd w:val="clear" w:color="auto" w:fill="D9D9D9" w:themeFill="background1" w:themeFillShade="D9"/>
            <w:vAlign w:val="center"/>
            <w:hideMark/>
          </w:tcPr>
          <w:p w14:paraId="3D730C1B" w14:textId="77777777" w:rsidR="00DC4D8B" w:rsidRPr="00DC4D8B" w:rsidRDefault="00DC4D8B" w:rsidP="00831EE4">
            <w:pPr>
              <w:pStyle w:val="Tabletext"/>
              <w:spacing w:line="260" w:lineRule="exact"/>
              <w:jc w:val="center"/>
            </w:pPr>
            <w:r w:rsidRPr="00DC4D8B">
              <w:t>0.02</w:t>
            </w:r>
          </w:p>
        </w:tc>
        <w:tc>
          <w:tcPr>
            <w:tcW w:w="817" w:type="dxa"/>
            <w:tcBorders>
              <w:top w:val="nil"/>
              <w:left w:val="nil"/>
              <w:right w:val="nil"/>
            </w:tcBorders>
            <w:shd w:val="clear" w:color="auto" w:fill="D9D9D9" w:themeFill="background1" w:themeFillShade="D9"/>
            <w:vAlign w:val="center"/>
            <w:hideMark/>
          </w:tcPr>
          <w:p w14:paraId="01A43297" w14:textId="77777777" w:rsidR="00DC4D8B" w:rsidRPr="00DC4D8B" w:rsidRDefault="00DC4D8B" w:rsidP="00831EE4">
            <w:pPr>
              <w:pStyle w:val="Tabletext"/>
              <w:spacing w:line="260" w:lineRule="exact"/>
              <w:jc w:val="center"/>
            </w:pPr>
            <w:r w:rsidRPr="00DC4D8B">
              <w:t>0.00</w:t>
            </w:r>
          </w:p>
        </w:tc>
        <w:tc>
          <w:tcPr>
            <w:tcW w:w="732" w:type="dxa"/>
            <w:tcBorders>
              <w:top w:val="nil"/>
              <w:left w:val="nil"/>
              <w:right w:val="nil"/>
            </w:tcBorders>
            <w:shd w:val="clear" w:color="auto" w:fill="D9D9D9" w:themeFill="background1" w:themeFillShade="D9"/>
            <w:vAlign w:val="center"/>
            <w:hideMark/>
          </w:tcPr>
          <w:p w14:paraId="133588F9" w14:textId="77777777" w:rsidR="00DC4D8B" w:rsidRPr="00DC4D8B" w:rsidRDefault="00DC4D8B" w:rsidP="00831EE4">
            <w:pPr>
              <w:pStyle w:val="Tabletext"/>
              <w:spacing w:line="260" w:lineRule="exact"/>
              <w:jc w:val="center"/>
            </w:pPr>
            <w:r w:rsidRPr="00DC4D8B">
              <w:t>0.00</w:t>
            </w:r>
          </w:p>
        </w:tc>
      </w:tr>
      <w:tr w:rsidR="00D3402B" w:rsidRPr="005116FC" w14:paraId="02E76064" w14:textId="77777777" w:rsidTr="00497EEF">
        <w:trPr>
          <w:trHeight w:val="1472"/>
          <w:jc w:val="center"/>
        </w:trPr>
        <w:tc>
          <w:tcPr>
            <w:tcW w:w="2410" w:type="dxa"/>
            <w:tcBorders>
              <w:top w:val="nil"/>
              <w:left w:val="nil"/>
              <w:bottom w:val="nil"/>
              <w:right w:val="nil"/>
            </w:tcBorders>
            <w:shd w:val="clear" w:color="auto" w:fill="BFBFBF" w:themeFill="background1" w:themeFillShade="BF"/>
            <w:vAlign w:val="center"/>
            <w:hideMark/>
          </w:tcPr>
          <w:p w14:paraId="22DCAFC2" w14:textId="77777777" w:rsidR="00D3402B" w:rsidRPr="005116FC" w:rsidRDefault="00D3402B" w:rsidP="00497EEF">
            <w:pPr>
              <w:pStyle w:val="Tabletext"/>
              <w:spacing w:line="180" w:lineRule="exact"/>
              <w:rPr>
                <w:b/>
                <w:sz w:val="24"/>
              </w:rPr>
            </w:pPr>
            <w:r w:rsidRPr="005116FC">
              <w:rPr>
                <w:b/>
                <w:sz w:val="24"/>
              </w:rPr>
              <w:t>Description</w:t>
            </w:r>
          </w:p>
        </w:tc>
        <w:tc>
          <w:tcPr>
            <w:tcW w:w="993" w:type="dxa"/>
            <w:tcBorders>
              <w:top w:val="nil"/>
              <w:left w:val="nil"/>
              <w:bottom w:val="nil"/>
              <w:right w:val="nil"/>
            </w:tcBorders>
            <w:shd w:val="clear" w:color="auto" w:fill="BFBFBF" w:themeFill="background1" w:themeFillShade="BF"/>
            <w:textDirection w:val="btLr"/>
            <w:vAlign w:val="center"/>
            <w:hideMark/>
          </w:tcPr>
          <w:p w14:paraId="074F7D99" w14:textId="77777777" w:rsidR="00D3402B" w:rsidRPr="005116FC" w:rsidRDefault="00D3402B" w:rsidP="00497EEF">
            <w:pPr>
              <w:pStyle w:val="Tabletext"/>
              <w:spacing w:line="180" w:lineRule="exact"/>
              <w:jc w:val="center"/>
              <w:rPr>
                <w:b/>
                <w:sz w:val="24"/>
              </w:rPr>
            </w:pPr>
            <w:r w:rsidRPr="005116FC">
              <w:rPr>
                <w:b/>
                <w:sz w:val="24"/>
              </w:rPr>
              <w:t>First budgetary impact</w:t>
            </w:r>
          </w:p>
        </w:tc>
        <w:tc>
          <w:tcPr>
            <w:tcW w:w="470" w:type="dxa"/>
            <w:tcBorders>
              <w:top w:val="nil"/>
              <w:left w:val="nil"/>
              <w:bottom w:val="nil"/>
              <w:right w:val="nil"/>
            </w:tcBorders>
            <w:shd w:val="clear" w:color="auto" w:fill="BFBFBF" w:themeFill="background1" w:themeFillShade="BF"/>
            <w:textDirection w:val="btLr"/>
            <w:vAlign w:val="center"/>
            <w:hideMark/>
          </w:tcPr>
          <w:p w14:paraId="0F91FB13" w14:textId="77777777" w:rsidR="00D3402B" w:rsidRPr="005116FC" w:rsidRDefault="00D3402B" w:rsidP="00497EEF">
            <w:pPr>
              <w:pStyle w:val="Tabletext"/>
              <w:spacing w:line="180" w:lineRule="exact"/>
              <w:jc w:val="center"/>
              <w:rPr>
                <w:b/>
                <w:sz w:val="24"/>
              </w:rPr>
            </w:pPr>
            <w:r w:rsidRPr="005116FC">
              <w:rPr>
                <w:b/>
                <w:sz w:val="24"/>
              </w:rPr>
              <w:t>Labels</w:t>
            </w:r>
          </w:p>
        </w:tc>
        <w:tc>
          <w:tcPr>
            <w:tcW w:w="1382" w:type="dxa"/>
            <w:tcBorders>
              <w:top w:val="nil"/>
              <w:left w:val="nil"/>
              <w:bottom w:val="nil"/>
              <w:right w:val="nil"/>
            </w:tcBorders>
            <w:shd w:val="clear" w:color="auto" w:fill="BFBFBF" w:themeFill="background1" w:themeFillShade="BF"/>
            <w:textDirection w:val="btLr"/>
            <w:vAlign w:val="center"/>
            <w:hideMark/>
          </w:tcPr>
          <w:p w14:paraId="6E59CCFC" w14:textId="77777777" w:rsidR="00D3402B" w:rsidRPr="005116FC" w:rsidRDefault="00D3402B" w:rsidP="00497EEF">
            <w:pPr>
              <w:pStyle w:val="Tabletext"/>
              <w:spacing w:line="180" w:lineRule="exact"/>
              <w:jc w:val="center"/>
              <w:rPr>
                <w:b/>
                <w:sz w:val="24"/>
              </w:rPr>
            </w:pPr>
            <w:r w:rsidRPr="005116FC">
              <w:rPr>
                <w:b/>
                <w:sz w:val="24"/>
              </w:rPr>
              <w:t>ESA</w:t>
            </w:r>
          </w:p>
        </w:tc>
        <w:tc>
          <w:tcPr>
            <w:tcW w:w="879" w:type="dxa"/>
            <w:tcBorders>
              <w:top w:val="nil"/>
              <w:left w:val="nil"/>
              <w:bottom w:val="nil"/>
              <w:right w:val="nil"/>
            </w:tcBorders>
            <w:shd w:val="clear" w:color="auto" w:fill="BFBFBF" w:themeFill="background1" w:themeFillShade="BF"/>
            <w:textDirection w:val="btLr"/>
            <w:vAlign w:val="center"/>
            <w:hideMark/>
          </w:tcPr>
          <w:p w14:paraId="0619CB86" w14:textId="77777777" w:rsidR="00D3402B" w:rsidRPr="005116FC" w:rsidRDefault="00D3402B" w:rsidP="00497EEF">
            <w:pPr>
              <w:pStyle w:val="Tabletext"/>
              <w:spacing w:line="180" w:lineRule="exact"/>
              <w:jc w:val="center"/>
              <w:rPr>
                <w:b/>
                <w:sz w:val="24"/>
              </w:rPr>
            </w:pPr>
            <w:r w:rsidRPr="005116FC">
              <w:rPr>
                <w:b/>
                <w:sz w:val="24"/>
              </w:rPr>
              <w:t>Account principle</w:t>
            </w:r>
          </w:p>
        </w:tc>
        <w:tc>
          <w:tcPr>
            <w:tcW w:w="526" w:type="dxa"/>
            <w:tcBorders>
              <w:top w:val="nil"/>
              <w:left w:val="nil"/>
              <w:bottom w:val="nil"/>
              <w:right w:val="nil"/>
            </w:tcBorders>
            <w:shd w:val="clear" w:color="auto" w:fill="BFBFBF" w:themeFill="background1" w:themeFillShade="BF"/>
            <w:textDirection w:val="btLr"/>
            <w:vAlign w:val="center"/>
            <w:hideMark/>
          </w:tcPr>
          <w:p w14:paraId="26A17D6B" w14:textId="77777777" w:rsidR="00D3402B" w:rsidRPr="005116FC" w:rsidRDefault="00D3402B" w:rsidP="00497EEF">
            <w:pPr>
              <w:pStyle w:val="Tabletext"/>
              <w:spacing w:line="180" w:lineRule="exact"/>
              <w:jc w:val="center"/>
              <w:rPr>
                <w:b/>
                <w:sz w:val="24"/>
              </w:rPr>
            </w:pPr>
            <w:r w:rsidRPr="005116FC">
              <w:rPr>
                <w:b/>
                <w:sz w:val="24"/>
              </w:rPr>
              <w:t>Already adopted</w:t>
            </w:r>
          </w:p>
        </w:tc>
        <w:tc>
          <w:tcPr>
            <w:tcW w:w="722" w:type="dxa"/>
            <w:tcBorders>
              <w:top w:val="nil"/>
              <w:left w:val="nil"/>
              <w:bottom w:val="nil"/>
              <w:right w:val="nil"/>
            </w:tcBorders>
            <w:shd w:val="clear" w:color="auto" w:fill="BFBFBF" w:themeFill="background1" w:themeFillShade="BF"/>
            <w:textDirection w:val="btLr"/>
            <w:vAlign w:val="center"/>
            <w:hideMark/>
          </w:tcPr>
          <w:p w14:paraId="1C552C05" w14:textId="77777777" w:rsidR="00D3402B" w:rsidRPr="005116FC" w:rsidRDefault="00D3402B" w:rsidP="00497EEF">
            <w:pPr>
              <w:pStyle w:val="Tabletext"/>
              <w:spacing w:line="180" w:lineRule="exact"/>
              <w:jc w:val="center"/>
              <w:rPr>
                <w:b/>
                <w:sz w:val="24"/>
              </w:rPr>
            </w:pPr>
            <w:r w:rsidRPr="005116FC">
              <w:rPr>
                <w:b/>
                <w:sz w:val="24"/>
              </w:rPr>
              <w:t>2024</w:t>
            </w:r>
          </w:p>
        </w:tc>
        <w:tc>
          <w:tcPr>
            <w:tcW w:w="817" w:type="dxa"/>
            <w:tcBorders>
              <w:top w:val="nil"/>
              <w:left w:val="nil"/>
              <w:bottom w:val="nil"/>
              <w:right w:val="nil"/>
            </w:tcBorders>
            <w:shd w:val="clear" w:color="auto" w:fill="BFBFBF" w:themeFill="background1" w:themeFillShade="BF"/>
            <w:textDirection w:val="btLr"/>
            <w:vAlign w:val="center"/>
            <w:hideMark/>
          </w:tcPr>
          <w:p w14:paraId="0A866D7F" w14:textId="77777777" w:rsidR="00D3402B" w:rsidRPr="005116FC" w:rsidRDefault="00D3402B" w:rsidP="00497EEF">
            <w:pPr>
              <w:pStyle w:val="Tabletext"/>
              <w:spacing w:line="180" w:lineRule="exact"/>
              <w:jc w:val="center"/>
              <w:rPr>
                <w:b/>
                <w:sz w:val="24"/>
              </w:rPr>
            </w:pPr>
            <w:r w:rsidRPr="005116FC">
              <w:rPr>
                <w:b/>
                <w:sz w:val="24"/>
              </w:rPr>
              <w:t>2025</w:t>
            </w:r>
          </w:p>
        </w:tc>
        <w:tc>
          <w:tcPr>
            <w:tcW w:w="732" w:type="dxa"/>
            <w:tcBorders>
              <w:top w:val="nil"/>
              <w:left w:val="nil"/>
              <w:bottom w:val="nil"/>
              <w:right w:val="nil"/>
            </w:tcBorders>
            <w:shd w:val="clear" w:color="auto" w:fill="BFBFBF" w:themeFill="background1" w:themeFillShade="BF"/>
            <w:textDirection w:val="btLr"/>
            <w:vAlign w:val="center"/>
            <w:hideMark/>
          </w:tcPr>
          <w:p w14:paraId="62236505" w14:textId="77777777" w:rsidR="00D3402B" w:rsidRPr="005116FC" w:rsidRDefault="00D3402B" w:rsidP="00497EEF">
            <w:pPr>
              <w:pStyle w:val="Tabletext"/>
              <w:spacing w:line="180" w:lineRule="exact"/>
              <w:jc w:val="center"/>
              <w:rPr>
                <w:b/>
                <w:sz w:val="24"/>
              </w:rPr>
            </w:pPr>
            <w:r w:rsidRPr="005116FC">
              <w:rPr>
                <w:b/>
                <w:sz w:val="24"/>
              </w:rPr>
              <w:t>2026</w:t>
            </w:r>
          </w:p>
        </w:tc>
      </w:tr>
      <w:tr w:rsidR="005116FC" w:rsidRPr="00DC4D8B" w14:paraId="3F996148" w14:textId="77777777" w:rsidTr="003E17CC">
        <w:trPr>
          <w:trHeight w:val="1080"/>
          <w:jc w:val="center"/>
        </w:trPr>
        <w:tc>
          <w:tcPr>
            <w:tcW w:w="2410" w:type="dxa"/>
            <w:tcBorders>
              <w:top w:val="nil"/>
              <w:left w:val="nil"/>
              <w:bottom w:val="single" w:sz="8" w:space="0" w:color="FFFFFF"/>
              <w:right w:val="nil"/>
            </w:tcBorders>
            <w:shd w:val="clear" w:color="auto" w:fill="F2F2F2" w:themeFill="background1" w:themeFillShade="F2"/>
            <w:vAlign w:val="center"/>
            <w:hideMark/>
          </w:tcPr>
          <w:p w14:paraId="7E934696" w14:textId="77777777" w:rsidR="00DC4D8B" w:rsidRPr="00DC4D8B" w:rsidRDefault="00DC4D8B" w:rsidP="005116FC">
            <w:pPr>
              <w:pStyle w:val="Tabletext"/>
            </w:pPr>
            <w:r w:rsidRPr="00DC4D8B">
              <w:t>Various other D.2 discretionary revenue measures</w:t>
            </w:r>
          </w:p>
        </w:tc>
        <w:tc>
          <w:tcPr>
            <w:tcW w:w="993" w:type="dxa"/>
            <w:tcBorders>
              <w:top w:val="nil"/>
              <w:left w:val="nil"/>
              <w:bottom w:val="single" w:sz="8" w:space="0" w:color="FFFFFF"/>
              <w:right w:val="nil"/>
            </w:tcBorders>
            <w:shd w:val="clear" w:color="auto" w:fill="F2F2F2" w:themeFill="background1" w:themeFillShade="F2"/>
            <w:vAlign w:val="center"/>
            <w:hideMark/>
          </w:tcPr>
          <w:p w14:paraId="7307D433" w14:textId="77777777" w:rsidR="00DC4D8B" w:rsidRPr="00DC4D8B" w:rsidRDefault="00DC4D8B" w:rsidP="005116FC">
            <w:pPr>
              <w:pStyle w:val="Tabletext"/>
              <w:jc w:val="center"/>
            </w:pPr>
            <w:r w:rsidRPr="00DC4D8B">
              <w:t>2024</w:t>
            </w:r>
          </w:p>
        </w:tc>
        <w:tc>
          <w:tcPr>
            <w:tcW w:w="470" w:type="dxa"/>
            <w:tcBorders>
              <w:top w:val="nil"/>
              <w:left w:val="nil"/>
              <w:bottom w:val="single" w:sz="8" w:space="0" w:color="FFFFFF"/>
              <w:right w:val="nil"/>
            </w:tcBorders>
            <w:shd w:val="clear" w:color="auto" w:fill="F2F2F2" w:themeFill="background1" w:themeFillShade="F2"/>
            <w:textDirection w:val="btLr"/>
            <w:vAlign w:val="center"/>
            <w:hideMark/>
          </w:tcPr>
          <w:p w14:paraId="0E6499BF" w14:textId="77777777" w:rsidR="00DC4D8B" w:rsidRPr="00DC4D8B" w:rsidRDefault="00DC4D8B" w:rsidP="005116FC">
            <w:pPr>
              <w:pStyle w:val="Tabletext"/>
              <w:jc w:val="center"/>
            </w:pPr>
          </w:p>
        </w:tc>
        <w:tc>
          <w:tcPr>
            <w:tcW w:w="1382" w:type="dxa"/>
            <w:tcBorders>
              <w:top w:val="nil"/>
              <w:left w:val="nil"/>
              <w:bottom w:val="single" w:sz="8" w:space="0" w:color="FFFFFF"/>
              <w:right w:val="nil"/>
            </w:tcBorders>
            <w:shd w:val="clear" w:color="auto" w:fill="F2F2F2" w:themeFill="background1" w:themeFillShade="F2"/>
            <w:vAlign w:val="center"/>
            <w:hideMark/>
          </w:tcPr>
          <w:p w14:paraId="446AF98C" w14:textId="77777777" w:rsidR="00DC4D8B" w:rsidRPr="00DC4D8B" w:rsidRDefault="00DC4D8B" w:rsidP="005116FC">
            <w:pPr>
              <w:pStyle w:val="Tabletext"/>
              <w:jc w:val="center"/>
            </w:pPr>
            <w:r w:rsidRPr="00DC4D8B">
              <w:t>D.2</w:t>
            </w:r>
          </w:p>
        </w:tc>
        <w:tc>
          <w:tcPr>
            <w:tcW w:w="879" w:type="dxa"/>
            <w:tcBorders>
              <w:top w:val="nil"/>
              <w:left w:val="nil"/>
              <w:bottom w:val="single" w:sz="8" w:space="0" w:color="FFFFFF"/>
              <w:right w:val="nil"/>
            </w:tcBorders>
            <w:shd w:val="clear" w:color="auto" w:fill="F2F2F2" w:themeFill="background1" w:themeFillShade="F2"/>
            <w:vAlign w:val="center"/>
            <w:hideMark/>
          </w:tcPr>
          <w:p w14:paraId="56F43C6F" w14:textId="77777777" w:rsidR="00DC4D8B" w:rsidRPr="00DC4D8B" w:rsidRDefault="00DC4D8B" w:rsidP="005116FC">
            <w:pPr>
              <w:pStyle w:val="Tabletext"/>
              <w:jc w:val="center"/>
            </w:pPr>
            <w:r w:rsidRPr="00DC4D8B">
              <w:t>Cash</w:t>
            </w:r>
          </w:p>
        </w:tc>
        <w:tc>
          <w:tcPr>
            <w:tcW w:w="526" w:type="dxa"/>
            <w:tcBorders>
              <w:top w:val="nil"/>
              <w:left w:val="nil"/>
              <w:bottom w:val="single" w:sz="8" w:space="0" w:color="FFFFFF"/>
              <w:right w:val="nil"/>
            </w:tcBorders>
            <w:shd w:val="clear" w:color="auto" w:fill="F2F2F2" w:themeFill="background1" w:themeFillShade="F2"/>
            <w:vAlign w:val="center"/>
            <w:hideMark/>
          </w:tcPr>
          <w:p w14:paraId="72BF6096" w14:textId="77777777" w:rsidR="00DC4D8B" w:rsidRPr="00DC4D8B" w:rsidRDefault="00DC4D8B" w:rsidP="005116FC">
            <w:pPr>
              <w:pStyle w:val="Tabletext"/>
              <w:jc w:val="center"/>
            </w:pPr>
            <w:r w:rsidRPr="00DC4D8B">
              <w:t>Yes</w:t>
            </w:r>
          </w:p>
        </w:tc>
        <w:tc>
          <w:tcPr>
            <w:tcW w:w="722" w:type="dxa"/>
            <w:tcBorders>
              <w:top w:val="nil"/>
              <w:left w:val="nil"/>
              <w:bottom w:val="single" w:sz="8" w:space="0" w:color="FFFFFF"/>
              <w:right w:val="nil"/>
            </w:tcBorders>
            <w:shd w:val="clear" w:color="auto" w:fill="F2F2F2" w:themeFill="background1" w:themeFillShade="F2"/>
            <w:vAlign w:val="center"/>
            <w:hideMark/>
          </w:tcPr>
          <w:p w14:paraId="32E95AC5" w14:textId="77777777" w:rsidR="00DC4D8B" w:rsidRPr="00DC4D8B" w:rsidRDefault="00DC4D8B" w:rsidP="005116FC">
            <w:pPr>
              <w:pStyle w:val="Tabletext"/>
              <w:jc w:val="center"/>
            </w:pPr>
            <w:r w:rsidRPr="00DC4D8B">
              <w:t>0.05</w:t>
            </w:r>
          </w:p>
        </w:tc>
        <w:tc>
          <w:tcPr>
            <w:tcW w:w="817" w:type="dxa"/>
            <w:tcBorders>
              <w:top w:val="nil"/>
              <w:left w:val="nil"/>
              <w:bottom w:val="single" w:sz="8" w:space="0" w:color="FFFFFF"/>
              <w:right w:val="nil"/>
            </w:tcBorders>
            <w:shd w:val="clear" w:color="auto" w:fill="F2F2F2" w:themeFill="background1" w:themeFillShade="F2"/>
            <w:vAlign w:val="center"/>
            <w:hideMark/>
          </w:tcPr>
          <w:p w14:paraId="3D4C1035" w14:textId="77777777" w:rsidR="00DC4D8B" w:rsidRPr="00DC4D8B" w:rsidRDefault="00DC4D8B" w:rsidP="005116FC">
            <w:pPr>
              <w:pStyle w:val="Tabletext"/>
              <w:jc w:val="center"/>
            </w:pPr>
            <w:r w:rsidRPr="00DC4D8B">
              <w:t>0.04</w:t>
            </w:r>
          </w:p>
        </w:tc>
        <w:tc>
          <w:tcPr>
            <w:tcW w:w="732" w:type="dxa"/>
            <w:tcBorders>
              <w:top w:val="nil"/>
              <w:left w:val="nil"/>
              <w:bottom w:val="single" w:sz="8" w:space="0" w:color="FFFFFF"/>
              <w:right w:val="nil"/>
            </w:tcBorders>
            <w:shd w:val="clear" w:color="auto" w:fill="F2F2F2" w:themeFill="background1" w:themeFillShade="F2"/>
            <w:vAlign w:val="center"/>
            <w:hideMark/>
          </w:tcPr>
          <w:p w14:paraId="2A169686" w14:textId="77777777" w:rsidR="00DC4D8B" w:rsidRPr="00DC4D8B" w:rsidRDefault="00DC4D8B" w:rsidP="005116FC">
            <w:pPr>
              <w:pStyle w:val="Tabletext"/>
              <w:jc w:val="center"/>
            </w:pPr>
            <w:r w:rsidRPr="00DC4D8B">
              <w:t>-0.04</w:t>
            </w:r>
          </w:p>
        </w:tc>
      </w:tr>
      <w:tr w:rsidR="005116FC" w:rsidRPr="00DC4D8B" w14:paraId="67E5A2BF" w14:textId="77777777" w:rsidTr="003E17CC">
        <w:trPr>
          <w:trHeight w:val="976"/>
          <w:jc w:val="center"/>
        </w:trPr>
        <w:tc>
          <w:tcPr>
            <w:tcW w:w="2410" w:type="dxa"/>
            <w:tcBorders>
              <w:top w:val="nil"/>
              <w:left w:val="nil"/>
              <w:bottom w:val="single" w:sz="8" w:space="0" w:color="FFFFFF"/>
              <w:right w:val="nil"/>
            </w:tcBorders>
            <w:shd w:val="clear" w:color="auto" w:fill="D9D9D9" w:themeFill="background1" w:themeFillShade="D9"/>
            <w:vAlign w:val="center"/>
            <w:hideMark/>
          </w:tcPr>
          <w:p w14:paraId="7A35CF62" w14:textId="77777777" w:rsidR="00DC4D8B" w:rsidRPr="009A0FDD" w:rsidRDefault="00DC4D8B" w:rsidP="005116FC">
            <w:pPr>
              <w:pStyle w:val="Tabletext"/>
            </w:pPr>
            <w:r w:rsidRPr="009A0FDD">
              <w:t>Various other D.5 discretionary revenue measures</w:t>
            </w:r>
          </w:p>
        </w:tc>
        <w:tc>
          <w:tcPr>
            <w:tcW w:w="993" w:type="dxa"/>
            <w:tcBorders>
              <w:top w:val="nil"/>
              <w:left w:val="nil"/>
              <w:bottom w:val="single" w:sz="8" w:space="0" w:color="FFFFFF"/>
              <w:right w:val="nil"/>
            </w:tcBorders>
            <w:shd w:val="clear" w:color="auto" w:fill="D9D9D9" w:themeFill="background1" w:themeFillShade="D9"/>
            <w:vAlign w:val="center"/>
            <w:hideMark/>
          </w:tcPr>
          <w:p w14:paraId="7D61E6B2" w14:textId="77777777" w:rsidR="00DC4D8B" w:rsidRPr="009A0FDD" w:rsidRDefault="00DC4D8B" w:rsidP="005116FC">
            <w:pPr>
              <w:pStyle w:val="Tabletext"/>
              <w:jc w:val="center"/>
            </w:pPr>
            <w:r w:rsidRPr="009A0FDD">
              <w:t>2024</w:t>
            </w:r>
          </w:p>
        </w:tc>
        <w:tc>
          <w:tcPr>
            <w:tcW w:w="470" w:type="dxa"/>
            <w:tcBorders>
              <w:top w:val="nil"/>
              <w:left w:val="nil"/>
              <w:bottom w:val="single" w:sz="8" w:space="0" w:color="FFFFFF"/>
              <w:right w:val="nil"/>
            </w:tcBorders>
            <w:shd w:val="clear" w:color="auto" w:fill="D9D9D9" w:themeFill="background1" w:themeFillShade="D9"/>
            <w:textDirection w:val="btLr"/>
            <w:vAlign w:val="center"/>
            <w:hideMark/>
          </w:tcPr>
          <w:p w14:paraId="2FDC43DC" w14:textId="77777777" w:rsidR="00DC4D8B" w:rsidRPr="009A0FDD" w:rsidRDefault="00DC4D8B" w:rsidP="005116FC">
            <w:pPr>
              <w:pStyle w:val="Tabletext"/>
              <w:jc w:val="center"/>
            </w:pPr>
          </w:p>
        </w:tc>
        <w:tc>
          <w:tcPr>
            <w:tcW w:w="1382" w:type="dxa"/>
            <w:tcBorders>
              <w:top w:val="nil"/>
              <w:left w:val="nil"/>
              <w:bottom w:val="single" w:sz="8" w:space="0" w:color="FFFFFF"/>
              <w:right w:val="nil"/>
            </w:tcBorders>
            <w:shd w:val="clear" w:color="auto" w:fill="D9D9D9" w:themeFill="background1" w:themeFillShade="D9"/>
            <w:vAlign w:val="center"/>
            <w:hideMark/>
          </w:tcPr>
          <w:p w14:paraId="302418E1" w14:textId="77777777" w:rsidR="00DC4D8B" w:rsidRPr="009A0FDD" w:rsidRDefault="00DC4D8B" w:rsidP="005116FC">
            <w:pPr>
              <w:pStyle w:val="Tabletext"/>
              <w:jc w:val="center"/>
            </w:pPr>
            <w:r w:rsidRPr="009A0FDD">
              <w:t>D.5</w:t>
            </w:r>
          </w:p>
        </w:tc>
        <w:tc>
          <w:tcPr>
            <w:tcW w:w="879" w:type="dxa"/>
            <w:tcBorders>
              <w:top w:val="nil"/>
              <w:left w:val="nil"/>
              <w:bottom w:val="single" w:sz="8" w:space="0" w:color="FFFFFF"/>
              <w:right w:val="nil"/>
            </w:tcBorders>
            <w:shd w:val="clear" w:color="auto" w:fill="D9D9D9" w:themeFill="background1" w:themeFillShade="D9"/>
            <w:vAlign w:val="center"/>
            <w:hideMark/>
          </w:tcPr>
          <w:p w14:paraId="73DB2DED" w14:textId="77777777" w:rsidR="00DC4D8B" w:rsidRPr="009A0FDD" w:rsidRDefault="00DC4D8B" w:rsidP="005116FC">
            <w:pPr>
              <w:pStyle w:val="Tabletext"/>
              <w:jc w:val="center"/>
            </w:pPr>
            <w:r w:rsidRPr="009A0FDD">
              <w:t>Cash</w:t>
            </w:r>
          </w:p>
        </w:tc>
        <w:tc>
          <w:tcPr>
            <w:tcW w:w="526" w:type="dxa"/>
            <w:tcBorders>
              <w:top w:val="nil"/>
              <w:left w:val="nil"/>
              <w:bottom w:val="single" w:sz="8" w:space="0" w:color="FFFFFF"/>
              <w:right w:val="nil"/>
            </w:tcBorders>
            <w:shd w:val="clear" w:color="auto" w:fill="D9D9D9" w:themeFill="background1" w:themeFillShade="D9"/>
            <w:vAlign w:val="center"/>
            <w:hideMark/>
          </w:tcPr>
          <w:p w14:paraId="3A7DD429" w14:textId="77777777" w:rsidR="00DC4D8B" w:rsidRPr="009A0FDD" w:rsidRDefault="00DC4D8B" w:rsidP="005116FC">
            <w:pPr>
              <w:pStyle w:val="Tabletext"/>
              <w:jc w:val="center"/>
            </w:pPr>
            <w:r w:rsidRPr="009A0FDD">
              <w:t>Yes</w:t>
            </w:r>
          </w:p>
        </w:tc>
        <w:tc>
          <w:tcPr>
            <w:tcW w:w="722" w:type="dxa"/>
            <w:tcBorders>
              <w:top w:val="nil"/>
              <w:left w:val="nil"/>
              <w:bottom w:val="single" w:sz="8" w:space="0" w:color="FFFFFF"/>
              <w:right w:val="nil"/>
            </w:tcBorders>
            <w:shd w:val="clear" w:color="auto" w:fill="D9D9D9" w:themeFill="background1" w:themeFillShade="D9"/>
            <w:vAlign w:val="center"/>
            <w:hideMark/>
          </w:tcPr>
          <w:p w14:paraId="0840F480" w14:textId="77777777" w:rsidR="00DC4D8B" w:rsidRPr="009A0FDD" w:rsidRDefault="00DC4D8B" w:rsidP="005116FC">
            <w:pPr>
              <w:pStyle w:val="Tabletext"/>
              <w:jc w:val="center"/>
            </w:pPr>
            <w:r w:rsidRPr="009A0FDD">
              <w:t>0.18</w:t>
            </w:r>
          </w:p>
        </w:tc>
        <w:tc>
          <w:tcPr>
            <w:tcW w:w="817" w:type="dxa"/>
            <w:tcBorders>
              <w:top w:val="nil"/>
              <w:left w:val="nil"/>
              <w:bottom w:val="single" w:sz="8" w:space="0" w:color="FFFFFF"/>
              <w:right w:val="nil"/>
            </w:tcBorders>
            <w:shd w:val="clear" w:color="auto" w:fill="D9D9D9" w:themeFill="background1" w:themeFillShade="D9"/>
            <w:vAlign w:val="center"/>
            <w:hideMark/>
          </w:tcPr>
          <w:p w14:paraId="3EF0908B" w14:textId="77777777" w:rsidR="00DC4D8B" w:rsidRPr="009A0FDD" w:rsidRDefault="00DC4D8B" w:rsidP="005116FC">
            <w:pPr>
              <w:pStyle w:val="Tabletext"/>
              <w:jc w:val="center"/>
            </w:pPr>
            <w:r w:rsidRPr="009A0FDD">
              <w:t>0.36</w:t>
            </w:r>
          </w:p>
        </w:tc>
        <w:tc>
          <w:tcPr>
            <w:tcW w:w="732" w:type="dxa"/>
            <w:tcBorders>
              <w:top w:val="nil"/>
              <w:left w:val="nil"/>
              <w:bottom w:val="single" w:sz="8" w:space="0" w:color="FFFFFF"/>
              <w:right w:val="nil"/>
            </w:tcBorders>
            <w:shd w:val="clear" w:color="auto" w:fill="D9D9D9" w:themeFill="background1" w:themeFillShade="D9"/>
            <w:vAlign w:val="center"/>
            <w:hideMark/>
          </w:tcPr>
          <w:p w14:paraId="2DE5E742" w14:textId="77777777" w:rsidR="00DC4D8B" w:rsidRPr="00DC4D8B" w:rsidRDefault="00DC4D8B" w:rsidP="005116FC">
            <w:pPr>
              <w:pStyle w:val="Tabletext"/>
              <w:jc w:val="center"/>
            </w:pPr>
            <w:r w:rsidRPr="009A0FDD">
              <w:t>0.17</w:t>
            </w:r>
          </w:p>
        </w:tc>
      </w:tr>
      <w:tr w:rsidR="005116FC" w:rsidRPr="009A0FDD" w14:paraId="34ECC210" w14:textId="77777777" w:rsidTr="003E17CC">
        <w:trPr>
          <w:trHeight w:val="1689"/>
          <w:jc w:val="center"/>
        </w:trPr>
        <w:tc>
          <w:tcPr>
            <w:tcW w:w="2410" w:type="dxa"/>
            <w:tcBorders>
              <w:top w:val="nil"/>
              <w:left w:val="nil"/>
              <w:bottom w:val="single" w:sz="8" w:space="0" w:color="FFFFFF"/>
              <w:right w:val="nil"/>
            </w:tcBorders>
            <w:shd w:val="clear" w:color="auto" w:fill="F2F2F2" w:themeFill="background1" w:themeFillShade="F2"/>
            <w:vAlign w:val="center"/>
            <w:hideMark/>
          </w:tcPr>
          <w:p w14:paraId="6FA15612" w14:textId="77777777" w:rsidR="00DC4D8B" w:rsidRPr="009A0FDD" w:rsidRDefault="00DC4D8B" w:rsidP="005116FC">
            <w:pPr>
              <w:pStyle w:val="Tabletext"/>
            </w:pPr>
            <w:r w:rsidRPr="009A0FDD">
              <w:t xml:space="preserve">Various other D.61 discretionary revenue measures (including the effect of the Digital labour card) </w:t>
            </w:r>
          </w:p>
        </w:tc>
        <w:tc>
          <w:tcPr>
            <w:tcW w:w="993" w:type="dxa"/>
            <w:tcBorders>
              <w:top w:val="nil"/>
              <w:left w:val="nil"/>
              <w:bottom w:val="single" w:sz="8" w:space="0" w:color="FFFFFF"/>
              <w:right w:val="nil"/>
            </w:tcBorders>
            <w:shd w:val="clear" w:color="auto" w:fill="F2F2F2" w:themeFill="background1" w:themeFillShade="F2"/>
            <w:vAlign w:val="center"/>
            <w:hideMark/>
          </w:tcPr>
          <w:p w14:paraId="1B6FE4D5" w14:textId="77777777" w:rsidR="00DC4D8B" w:rsidRPr="009A0FDD" w:rsidRDefault="00DC4D8B" w:rsidP="005116FC">
            <w:pPr>
              <w:pStyle w:val="Tabletext"/>
              <w:jc w:val="center"/>
            </w:pPr>
            <w:r w:rsidRPr="009A0FDD">
              <w:t>2024</w:t>
            </w:r>
          </w:p>
        </w:tc>
        <w:tc>
          <w:tcPr>
            <w:tcW w:w="470" w:type="dxa"/>
            <w:tcBorders>
              <w:top w:val="nil"/>
              <w:left w:val="nil"/>
              <w:bottom w:val="single" w:sz="8" w:space="0" w:color="FFFFFF"/>
              <w:right w:val="nil"/>
            </w:tcBorders>
            <w:shd w:val="clear" w:color="auto" w:fill="F2F2F2" w:themeFill="background1" w:themeFillShade="F2"/>
            <w:textDirection w:val="btLr"/>
            <w:vAlign w:val="center"/>
            <w:hideMark/>
          </w:tcPr>
          <w:p w14:paraId="2EAA6F42" w14:textId="77777777" w:rsidR="00DC4D8B" w:rsidRPr="009A0FDD" w:rsidRDefault="00DC4D8B" w:rsidP="005116FC">
            <w:pPr>
              <w:pStyle w:val="Tabletext"/>
              <w:jc w:val="center"/>
            </w:pPr>
          </w:p>
        </w:tc>
        <w:tc>
          <w:tcPr>
            <w:tcW w:w="1382" w:type="dxa"/>
            <w:tcBorders>
              <w:top w:val="nil"/>
              <w:left w:val="nil"/>
              <w:bottom w:val="single" w:sz="8" w:space="0" w:color="FFFFFF"/>
              <w:right w:val="nil"/>
            </w:tcBorders>
            <w:shd w:val="clear" w:color="auto" w:fill="F2F2F2" w:themeFill="background1" w:themeFillShade="F2"/>
            <w:vAlign w:val="center"/>
            <w:hideMark/>
          </w:tcPr>
          <w:p w14:paraId="5B7B1370" w14:textId="77777777" w:rsidR="00DC4D8B" w:rsidRPr="009A0FDD" w:rsidRDefault="00DC4D8B" w:rsidP="005116FC">
            <w:pPr>
              <w:pStyle w:val="Tabletext"/>
              <w:jc w:val="center"/>
            </w:pPr>
            <w:r w:rsidRPr="009A0FDD">
              <w:t>D.61</w:t>
            </w:r>
          </w:p>
        </w:tc>
        <w:tc>
          <w:tcPr>
            <w:tcW w:w="879" w:type="dxa"/>
            <w:tcBorders>
              <w:top w:val="nil"/>
              <w:left w:val="nil"/>
              <w:bottom w:val="single" w:sz="8" w:space="0" w:color="FFFFFF"/>
              <w:right w:val="nil"/>
            </w:tcBorders>
            <w:shd w:val="clear" w:color="auto" w:fill="F2F2F2" w:themeFill="background1" w:themeFillShade="F2"/>
            <w:vAlign w:val="center"/>
            <w:hideMark/>
          </w:tcPr>
          <w:p w14:paraId="1BA58F13" w14:textId="77777777" w:rsidR="00DC4D8B" w:rsidRPr="009A0FDD" w:rsidRDefault="00DC4D8B" w:rsidP="005116FC">
            <w:pPr>
              <w:pStyle w:val="Tabletext"/>
              <w:jc w:val="center"/>
            </w:pPr>
            <w:r w:rsidRPr="009A0FDD">
              <w:t>Cash</w:t>
            </w:r>
          </w:p>
        </w:tc>
        <w:tc>
          <w:tcPr>
            <w:tcW w:w="526" w:type="dxa"/>
            <w:tcBorders>
              <w:top w:val="nil"/>
              <w:left w:val="nil"/>
              <w:bottom w:val="single" w:sz="8" w:space="0" w:color="FFFFFF"/>
              <w:right w:val="nil"/>
            </w:tcBorders>
            <w:shd w:val="clear" w:color="auto" w:fill="F2F2F2" w:themeFill="background1" w:themeFillShade="F2"/>
            <w:vAlign w:val="center"/>
            <w:hideMark/>
          </w:tcPr>
          <w:p w14:paraId="396E8825" w14:textId="77777777" w:rsidR="00DC4D8B" w:rsidRPr="009A0FDD" w:rsidRDefault="00DC4D8B" w:rsidP="005116FC">
            <w:pPr>
              <w:pStyle w:val="Tabletext"/>
              <w:jc w:val="center"/>
            </w:pPr>
            <w:r w:rsidRPr="009A0FDD">
              <w:t>Yes</w:t>
            </w:r>
          </w:p>
        </w:tc>
        <w:tc>
          <w:tcPr>
            <w:tcW w:w="722" w:type="dxa"/>
            <w:tcBorders>
              <w:top w:val="nil"/>
              <w:left w:val="nil"/>
              <w:bottom w:val="single" w:sz="8" w:space="0" w:color="FFFFFF"/>
              <w:right w:val="nil"/>
            </w:tcBorders>
            <w:shd w:val="clear" w:color="auto" w:fill="F2F2F2" w:themeFill="background1" w:themeFillShade="F2"/>
            <w:vAlign w:val="center"/>
            <w:hideMark/>
          </w:tcPr>
          <w:p w14:paraId="6069CEC7" w14:textId="0B6275F7" w:rsidR="00DC4D8B" w:rsidRPr="009A0FDD" w:rsidRDefault="00DC4D8B" w:rsidP="005116FC">
            <w:pPr>
              <w:pStyle w:val="Tabletext"/>
              <w:jc w:val="center"/>
            </w:pPr>
            <w:r w:rsidRPr="009A0FDD">
              <w:t>0.</w:t>
            </w:r>
            <w:r w:rsidR="00D3402B">
              <w:t>18</w:t>
            </w:r>
          </w:p>
        </w:tc>
        <w:tc>
          <w:tcPr>
            <w:tcW w:w="817" w:type="dxa"/>
            <w:tcBorders>
              <w:top w:val="nil"/>
              <w:left w:val="nil"/>
              <w:bottom w:val="single" w:sz="8" w:space="0" w:color="FFFFFF"/>
              <w:right w:val="nil"/>
            </w:tcBorders>
            <w:shd w:val="clear" w:color="auto" w:fill="F2F2F2" w:themeFill="background1" w:themeFillShade="F2"/>
            <w:vAlign w:val="center"/>
            <w:hideMark/>
          </w:tcPr>
          <w:p w14:paraId="562E923E" w14:textId="77777777" w:rsidR="00DC4D8B" w:rsidRPr="009A0FDD" w:rsidRDefault="00DC4D8B" w:rsidP="005116FC">
            <w:pPr>
              <w:pStyle w:val="Tabletext"/>
              <w:jc w:val="center"/>
            </w:pPr>
            <w:r w:rsidRPr="009A0FDD">
              <w:t>0.07</w:t>
            </w:r>
          </w:p>
        </w:tc>
        <w:tc>
          <w:tcPr>
            <w:tcW w:w="732" w:type="dxa"/>
            <w:tcBorders>
              <w:top w:val="nil"/>
              <w:left w:val="nil"/>
              <w:bottom w:val="single" w:sz="8" w:space="0" w:color="FFFFFF"/>
              <w:right w:val="nil"/>
            </w:tcBorders>
            <w:shd w:val="clear" w:color="auto" w:fill="F2F2F2" w:themeFill="background1" w:themeFillShade="F2"/>
            <w:vAlign w:val="center"/>
            <w:hideMark/>
          </w:tcPr>
          <w:p w14:paraId="53AD2838" w14:textId="77777777" w:rsidR="00DC4D8B" w:rsidRPr="009A0FDD" w:rsidRDefault="00DC4D8B" w:rsidP="005116FC">
            <w:pPr>
              <w:pStyle w:val="Tabletext"/>
              <w:jc w:val="center"/>
            </w:pPr>
            <w:r w:rsidRPr="009A0FDD">
              <w:t>0.00</w:t>
            </w:r>
          </w:p>
        </w:tc>
      </w:tr>
      <w:tr w:rsidR="005116FC" w:rsidRPr="009A0FDD" w14:paraId="477F42FE" w14:textId="77777777" w:rsidTr="003E17CC">
        <w:trPr>
          <w:trHeight w:val="1397"/>
          <w:jc w:val="center"/>
        </w:trPr>
        <w:tc>
          <w:tcPr>
            <w:tcW w:w="2410" w:type="dxa"/>
            <w:tcBorders>
              <w:top w:val="nil"/>
              <w:left w:val="nil"/>
              <w:right w:val="nil"/>
            </w:tcBorders>
            <w:shd w:val="clear" w:color="auto" w:fill="D9D9D9" w:themeFill="background1" w:themeFillShade="D9"/>
            <w:vAlign w:val="center"/>
            <w:hideMark/>
          </w:tcPr>
          <w:p w14:paraId="79DDB1DB" w14:textId="77777777" w:rsidR="00DC4D8B" w:rsidRPr="009A0FDD" w:rsidRDefault="00DC4D8B" w:rsidP="005116FC">
            <w:pPr>
              <w:pStyle w:val="Tabletext"/>
            </w:pPr>
            <w:r w:rsidRPr="009A0FDD">
              <w:t>Various other discretionary revenue measures</w:t>
            </w:r>
          </w:p>
        </w:tc>
        <w:tc>
          <w:tcPr>
            <w:tcW w:w="993" w:type="dxa"/>
            <w:tcBorders>
              <w:top w:val="nil"/>
              <w:left w:val="nil"/>
              <w:right w:val="nil"/>
            </w:tcBorders>
            <w:shd w:val="clear" w:color="auto" w:fill="D9D9D9" w:themeFill="background1" w:themeFillShade="D9"/>
            <w:vAlign w:val="center"/>
            <w:hideMark/>
          </w:tcPr>
          <w:p w14:paraId="48FD1ACA" w14:textId="77777777" w:rsidR="00DC4D8B" w:rsidRPr="009A0FDD" w:rsidRDefault="00DC4D8B" w:rsidP="005116FC">
            <w:pPr>
              <w:pStyle w:val="Tabletext"/>
              <w:jc w:val="center"/>
            </w:pPr>
            <w:r w:rsidRPr="009A0FDD">
              <w:t>2025</w:t>
            </w:r>
          </w:p>
        </w:tc>
        <w:tc>
          <w:tcPr>
            <w:tcW w:w="470" w:type="dxa"/>
            <w:tcBorders>
              <w:top w:val="nil"/>
              <w:left w:val="nil"/>
              <w:right w:val="nil"/>
            </w:tcBorders>
            <w:shd w:val="clear" w:color="auto" w:fill="D9D9D9" w:themeFill="background1" w:themeFillShade="D9"/>
            <w:textDirection w:val="btLr"/>
            <w:vAlign w:val="center"/>
            <w:hideMark/>
          </w:tcPr>
          <w:p w14:paraId="30F99784" w14:textId="77777777" w:rsidR="00DC4D8B" w:rsidRPr="009A0FDD" w:rsidRDefault="00DC4D8B" w:rsidP="005116FC">
            <w:pPr>
              <w:pStyle w:val="Tabletext"/>
              <w:jc w:val="center"/>
            </w:pPr>
          </w:p>
        </w:tc>
        <w:tc>
          <w:tcPr>
            <w:tcW w:w="1382" w:type="dxa"/>
            <w:tcBorders>
              <w:top w:val="nil"/>
              <w:left w:val="nil"/>
              <w:right w:val="nil"/>
            </w:tcBorders>
            <w:shd w:val="clear" w:color="auto" w:fill="D9D9D9" w:themeFill="background1" w:themeFillShade="D9"/>
            <w:vAlign w:val="center"/>
            <w:hideMark/>
          </w:tcPr>
          <w:p w14:paraId="72367E83" w14:textId="77777777" w:rsidR="00DC4D8B" w:rsidRPr="009A0FDD" w:rsidRDefault="00DC4D8B" w:rsidP="005116FC">
            <w:pPr>
              <w:pStyle w:val="Tabletext"/>
              <w:jc w:val="center"/>
            </w:pPr>
            <w:r w:rsidRPr="009A0FDD">
              <w:t>P.11+P.12</w:t>
            </w:r>
            <w:r w:rsidR="009A0FDD">
              <w:br/>
            </w:r>
            <w:r w:rsidRPr="009A0FDD">
              <w:t>+P.131+D.39+D.7+D.9 (other than D.91)</w:t>
            </w:r>
          </w:p>
        </w:tc>
        <w:tc>
          <w:tcPr>
            <w:tcW w:w="879" w:type="dxa"/>
            <w:tcBorders>
              <w:top w:val="nil"/>
              <w:left w:val="nil"/>
              <w:right w:val="nil"/>
            </w:tcBorders>
            <w:shd w:val="clear" w:color="auto" w:fill="D9D9D9" w:themeFill="background1" w:themeFillShade="D9"/>
            <w:vAlign w:val="center"/>
            <w:hideMark/>
          </w:tcPr>
          <w:p w14:paraId="2FA06672" w14:textId="77777777" w:rsidR="00DC4D8B" w:rsidRPr="009A0FDD" w:rsidRDefault="00DC4D8B" w:rsidP="005116FC">
            <w:pPr>
              <w:pStyle w:val="Tabletext"/>
              <w:jc w:val="center"/>
            </w:pPr>
            <w:r w:rsidRPr="009A0FDD">
              <w:t>Cash</w:t>
            </w:r>
          </w:p>
        </w:tc>
        <w:tc>
          <w:tcPr>
            <w:tcW w:w="526" w:type="dxa"/>
            <w:tcBorders>
              <w:top w:val="nil"/>
              <w:left w:val="nil"/>
              <w:right w:val="nil"/>
            </w:tcBorders>
            <w:shd w:val="clear" w:color="auto" w:fill="D9D9D9" w:themeFill="background1" w:themeFillShade="D9"/>
            <w:vAlign w:val="center"/>
            <w:hideMark/>
          </w:tcPr>
          <w:p w14:paraId="3786EAD2" w14:textId="77777777" w:rsidR="00DC4D8B" w:rsidRPr="009A0FDD" w:rsidRDefault="00DC4D8B" w:rsidP="005116FC">
            <w:pPr>
              <w:pStyle w:val="Tabletext"/>
              <w:jc w:val="center"/>
            </w:pPr>
            <w:r w:rsidRPr="009A0FDD">
              <w:t>Yes</w:t>
            </w:r>
          </w:p>
        </w:tc>
        <w:tc>
          <w:tcPr>
            <w:tcW w:w="722" w:type="dxa"/>
            <w:tcBorders>
              <w:top w:val="nil"/>
              <w:left w:val="nil"/>
              <w:right w:val="nil"/>
            </w:tcBorders>
            <w:shd w:val="clear" w:color="auto" w:fill="D9D9D9" w:themeFill="background1" w:themeFillShade="D9"/>
            <w:vAlign w:val="center"/>
            <w:hideMark/>
          </w:tcPr>
          <w:p w14:paraId="4DEB5819" w14:textId="77777777" w:rsidR="00DC4D8B" w:rsidRPr="009A0FDD" w:rsidRDefault="00DC4D8B" w:rsidP="005116FC">
            <w:pPr>
              <w:pStyle w:val="Tabletext"/>
              <w:jc w:val="center"/>
            </w:pPr>
            <w:r w:rsidRPr="009A0FDD">
              <w:t>0.00</w:t>
            </w:r>
          </w:p>
        </w:tc>
        <w:tc>
          <w:tcPr>
            <w:tcW w:w="817" w:type="dxa"/>
            <w:tcBorders>
              <w:top w:val="nil"/>
              <w:left w:val="nil"/>
              <w:right w:val="nil"/>
            </w:tcBorders>
            <w:shd w:val="clear" w:color="auto" w:fill="D9D9D9" w:themeFill="background1" w:themeFillShade="D9"/>
            <w:vAlign w:val="center"/>
            <w:hideMark/>
          </w:tcPr>
          <w:p w14:paraId="589FA0CE" w14:textId="77777777" w:rsidR="00DC4D8B" w:rsidRPr="009A0FDD" w:rsidRDefault="00DC4D8B" w:rsidP="005116FC">
            <w:pPr>
              <w:pStyle w:val="Tabletext"/>
              <w:jc w:val="center"/>
            </w:pPr>
            <w:r w:rsidRPr="009A0FDD">
              <w:t>0.02</w:t>
            </w:r>
          </w:p>
        </w:tc>
        <w:tc>
          <w:tcPr>
            <w:tcW w:w="732" w:type="dxa"/>
            <w:tcBorders>
              <w:top w:val="nil"/>
              <w:left w:val="nil"/>
              <w:right w:val="nil"/>
            </w:tcBorders>
            <w:shd w:val="clear" w:color="auto" w:fill="D9D9D9" w:themeFill="background1" w:themeFillShade="D9"/>
            <w:vAlign w:val="center"/>
            <w:hideMark/>
          </w:tcPr>
          <w:p w14:paraId="7EE8E3FC" w14:textId="77777777" w:rsidR="00DC4D8B" w:rsidRPr="009A0FDD" w:rsidRDefault="00DC4D8B" w:rsidP="005116FC">
            <w:pPr>
              <w:pStyle w:val="Tabletext"/>
              <w:jc w:val="center"/>
            </w:pPr>
            <w:r w:rsidRPr="009A0FDD">
              <w:t>0.00</w:t>
            </w:r>
          </w:p>
        </w:tc>
      </w:tr>
      <w:tr w:rsidR="005116FC" w:rsidRPr="00DC4D8B" w14:paraId="1282AEBE" w14:textId="77777777" w:rsidTr="003E17CC">
        <w:trPr>
          <w:trHeight w:val="1417"/>
          <w:jc w:val="center"/>
        </w:trPr>
        <w:tc>
          <w:tcPr>
            <w:tcW w:w="2410" w:type="dxa"/>
            <w:tcBorders>
              <w:top w:val="nil"/>
              <w:left w:val="nil"/>
              <w:bottom w:val="single" w:sz="18" w:space="0" w:color="4F81BD"/>
              <w:right w:val="nil"/>
            </w:tcBorders>
            <w:shd w:val="clear" w:color="auto" w:fill="F2F2F2" w:themeFill="background1" w:themeFillShade="F2"/>
            <w:vAlign w:val="center"/>
            <w:hideMark/>
          </w:tcPr>
          <w:p w14:paraId="7839DB45" w14:textId="77777777" w:rsidR="00DC4D8B" w:rsidRPr="00DC4D8B" w:rsidRDefault="00DC4D8B" w:rsidP="005116FC">
            <w:pPr>
              <w:pStyle w:val="Tabletext"/>
            </w:pPr>
            <w:r w:rsidRPr="00DC4D8B">
              <w:t>Various other energy-related D.2 discretionary revenue measures</w:t>
            </w:r>
          </w:p>
        </w:tc>
        <w:tc>
          <w:tcPr>
            <w:tcW w:w="993" w:type="dxa"/>
            <w:tcBorders>
              <w:top w:val="nil"/>
              <w:left w:val="nil"/>
              <w:bottom w:val="single" w:sz="18" w:space="0" w:color="4F81BD"/>
              <w:right w:val="nil"/>
            </w:tcBorders>
            <w:shd w:val="clear" w:color="auto" w:fill="F2F2F2" w:themeFill="background1" w:themeFillShade="F2"/>
            <w:vAlign w:val="center"/>
            <w:hideMark/>
          </w:tcPr>
          <w:p w14:paraId="5E9DCD77" w14:textId="77777777" w:rsidR="00DC4D8B" w:rsidRPr="00DC4D8B" w:rsidRDefault="00DC4D8B" w:rsidP="005116FC">
            <w:pPr>
              <w:pStyle w:val="Tabletext"/>
              <w:jc w:val="center"/>
            </w:pPr>
            <w:r w:rsidRPr="00DC4D8B">
              <w:t>2024</w:t>
            </w:r>
          </w:p>
        </w:tc>
        <w:tc>
          <w:tcPr>
            <w:tcW w:w="470" w:type="dxa"/>
            <w:tcBorders>
              <w:top w:val="nil"/>
              <w:left w:val="nil"/>
              <w:bottom w:val="single" w:sz="18" w:space="0" w:color="4F81BD"/>
              <w:right w:val="nil"/>
            </w:tcBorders>
            <w:shd w:val="clear" w:color="auto" w:fill="F2F2F2" w:themeFill="background1" w:themeFillShade="F2"/>
            <w:textDirection w:val="btLr"/>
            <w:vAlign w:val="center"/>
            <w:hideMark/>
          </w:tcPr>
          <w:p w14:paraId="66E0418B" w14:textId="77777777" w:rsidR="00DC4D8B" w:rsidRPr="00DC4D8B" w:rsidRDefault="00DC4D8B" w:rsidP="005116FC">
            <w:pPr>
              <w:pStyle w:val="Tabletext"/>
              <w:jc w:val="center"/>
            </w:pPr>
            <w:r w:rsidRPr="00DC4D8B">
              <w:t>#ENERGY-21</w:t>
            </w:r>
          </w:p>
        </w:tc>
        <w:tc>
          <w:tcPr>
            <w:tcW w:w="1382" w:type="dxa"/>
            <w:tcBorders>
              <w:top w:val="nil"/>
              <w:left w:val="nil"/>
              <w:bottom w:val="single" w:sz="18" w:space="0" w:color="4F81BD"/>
              <w:right w:val="nil"/>
            </w:tcBorders>
            <w:shd w:val="clear" w:color="auto" w:fill="F2F2F2" w:themeFill="background1" w:themeFillShade="F2"/>
            <w:vAlign w:val="center"/>
            <w:hideMark/>
          </w:tcPr>
          <w:p w14:paraId="443F603D" w14:textId="77777777" w:rsidR="00DC4D8B" w:rsidRPr="00DC4D8B" w:rsidRDefault="00DC4D8B" w:rsidP="005116FC">
            <w:pPr>
              <w:pStyle w:val="Tabletext"/>
              <w:jc w:val="center"/>
            </w:pPr>
            <w:r w:rsidRPr="00DC4D8B">
              <w:t>D.2</w:t>
            </w:r>
          </w:p>
        </w:tc>
        <w:tc>
          <w:tcPr>
            <w:tcW w:w="879" w:type="dxa"/>
            <w:tcBorders>
              <w:top w:val="nil"/>
              <w:left w:val="nil"/>
              <w:bottom w:val="single" w:sz="18" w:space="0" w:color="4F81BD"/>
              <w:right w:val="nil"/>
            </w:tcBorders>
            <w:shd w:val="clear" w:color="auto" w:fill="F2F2F2" w:themeFill="background1" w:themeFillShade="F2"/>
            <w:vAlign w:val="center"/>
            <w:hideMark/>
          </w:tcPr>
          <w:p w14:paraId="4E5BEFD5" w14:textId="77777777" w:rsidR="00DC4D8B" w:rsidRPr="00DC4D8B" w:rsidRDefault="00DC4D8B" w:rsidP="005116FC">
            <w:pPr>
              <w:pStyle w:val="Tabletext"/>
              <w:jc w:val="center"/>
            </w:pPr>
            <w:r w:rsidRPr="00DC4D8B">
              <w:t>Cash</w:t>
            </w:r>
          </w:p>
        </w:tc>
        <w:tc>
          <w:tcPr>
            <w:tcW w:w="526" w:type="dxa"/>
            <w:tcBorders>
              <w:top w:val="nil"/>
              <w:left w:val="nil"/>
              <w:bottom w:val="single" w:sz="18" w:space="0" w:color="4F81BD"/>
              <w:right w:val="nil"/>
            </w:tcBorders>
            <w:shd w:val="clear" w:color="auto" w:fill="F2F2F2" w:themeFill="background1" w:themeFillShade="F2"/>
            <w:vAlign w:val="center"/>
            <w:hideMark/>
          </w:tcPr>
          <w:p w14:paraId="380C98E5" w14:textId="77777777" w:rsidR="00DC4D8B" w:rsidRPr="00DC4D8B" w:rsidRDefault="00DC4D8B" w:rsidP="005116FC">
            <w:pPr>
              <w:pStyle w:val="Tabletext"/>
              <w:jc w:val="center"/>
            </w:pPr>
            <w:r w:rsidRPr="00DC4D8B">
              <w:t>Yes</w:t>
            </w:r>
          </w:p>
        </w:tc>
        <w:tc>
          <w:tcPr>
            <w:tcW w:w="722" w:type="dxa"/>
            <w:tcBorders>
              <w:top w:val="nil"/>
              <w:left w:val="nil"/>
              <w:bottom w:val="single" w:sz="18" w:space="0" w:color="4F81BD"/>
              <w:right w:val="nil"/>
            </w:tcBorders>
            <w:shd w:val="clear" w:color="auto" w:fill="F2F2F2" w:themeFill="background1" w:themeFillShade="F2"/>
            <w:vAlign w:val="center"/>
            <w:hideMark/>
          </w:tcPr>
          <w:p w14:paraId="56524CDA" w14:textId="77777777" w:rsidR="00DC4D8B" w:rsidRPr="00DC4D8B" w:rsidRDefault="00DC4D8B" w:rsidP="005116FC">
            <w:pPr>
              <w:pStyle w:val="Tabletext"/>
              <w:jc w:val="center"/>
            </w:pPr>
            <w:r w:rsidRPr="00DC4D8B">
              <w:t>0.09</w:t>
            </w:r>
          </w:p>
        </w:tc>
        <w:tc>
          <w:tcPr>
            <w:tcW w:w="817" w:type="dxa"/>
            <w:tcBorders>
              <w:top w:val="nil"/>
              <w:left w:val="nil"/>
              <w:bottom w:val="single" w:sz="18" w:space="0" w:color="4F81BD"/>
              <w:right w:val="nil"/>
            </w:tcBorders>
            <w:shd w:val="clear" w:color="auto" w:fill="F2F2F2" w:themeFill="background1" w:themeFillShade="F2"/>
            <w:vAlign w:val="center"/>
            <w:hideMark/>
          </w:tcPr>
          <w:p w14:paraId="2E5B21DC" w14:textId="77777777" w:rsidR="00DC4D8B" w:rsidRPr="00DC4D8B" w:rsidRDefault="00DC4D8B" w:rsidP="005116FC">
            <w:pPr>
              <w:pStyle w:val="Tabletext"/>
              <w:jc w:val="center"/>
            </w:pPr>
            <w:r w:rsidRPr="00DC4D8B">
              <w:t>-0.09</w:t>
            </w:r>
          </w:p>
        </w:tc>
        <w:tc>
          <w:tcPr>
            <w:tcW w:w="732" w:type="dxa"/>
            <w:tcBorders>
              <w:top w:val="nil"/>
              <w:left w:val="nil"/>
              <w:bottom w:val="single" w:sz="18" w:space="0" w:color="4F81BD"/>
              <w:right w:val="nil"/>
            </w:tcBorders>
            <w:shd w:val="clear" w:color="auto" w:fill="F2F2F2" w:themeFill="background1" w:themeFillShade="F2"/>
            <w:vAlign w:val="center"/>
            <w:hideMark/>
          </w:tcPr>
          <w:p w14:paraId="792EC684" w14:textId="77777777" w:rsidR="00DC4D8B" w:rsidRPr="00DC4D8B" w:rsidRDefault="00DC4D8B" w:rsidP="005116FC">
            <w:pPr>
              <w:pStyle w:val="Tabletext"/>
              <w:jc w:val="center"/>
            </w:pPr>
            <w:r w:rsidRPr="00DC4D8B">
              <w:t>0.00</w:t>
            </w:r>
          </w:p>
        </w:tc>
      </w:tr>
    </w:tbl>
    <w:p w14:paraId="3A765B02" w14:textId="77777777" w:rsidR="00E20029" w:rsidRDefault="00E20029" w:rsidP="00E20029"/>
    <w:p w14:paraId="698E271A" w14:textId="285D5B0B" w:rsidR="00AE0DA8" w:rsidRDefault="0025101D" w:rsidP="00AE0DA8">
      <w:pPr>
        <w:pStyle w:val="ae"/>
        <w:rPr>
          <w:b w:val="0"/>
        </w:rPr>
      </w:pPr>
      <w:bookmarkStart w:id="106" w:name="_Toc211355114"/>
      <w:r>
        <w:t xml:space="preserve">Table </w:t>
      </w:r>
      <w:r w:rsidR="00540C3A">
        <w:fldChar w:fldCharType="begin"/>
      </w:r>
      <w:r>
        <w:instrText xml:space="preserve"> SEQ Table \* ARABIC </w:instrText>
      </w:r>
      <w:r w:rsidR="00540C3A">
        <w:fldChar w:fldCharType="separate"/>
      </w:r>
      <w:r w:rsidR="00AF0E6B">
        <w:rPr>
          <w:noProof/>
        </w:rPr>
        <w:t>20</w:t>
      </w:r>
      <w:r w:rsidR="00540C3A">
        <w:fldChar w:fldCharType="end"/>
      </w:r>
      <w:r>
        <w:t xml:space="preserve"> </w:t>
      </w:r>
      <w:r w:rsidR="001E2ED0">
        <w:t xml:space="preserve">| </w:t>
      </w:r>
      <w:r w:rsidRPr="0025101D">
        <w:t xml:space="preserve">One-off expenditures </w:t>
      </w:r>
      <w:r w:rsidRPr="001E2ED0">
        <w:rPr>
          <w:b w:val="0"/>
        </w:rPr>
        <w:t>(additional budgetary impact, % of GDP)</w:t>
      </w:r>
      <w:bookmarkEnd w:id="106"/>
    </w:p>
    <w:tbl>
      <w:tblPr>
        <w:tblW w:w="8846" w:type="dxa"/>
        <w:jc w:val="center"/>
        <w:tblLook w:val="04A0" w:firstRow="1" w:lastRow="0" w:firstColumn="1" w:lastColumn="0" w:noHBand="0" w:noVBand="1"/>
      </w:tblPr>
      <w:tblGrid>
        <w:gridCol w:w="1843"/>
        <w:gridCol w:w="762"/>
        <w:gridCol w:w="519"/>
        <w:gridCol w:w="521"/>
        <w:gridCol w:w="1209"/>
        <w:gridCol w:w="582"/>
        <w:gridCol w:w="879"/>
        <w:gridCol w:w="521"/>
        <w:gridCol w:w="609"/>
        <w:gridCol w:w="717"/>
        <w:gridCol w:w="684"/>
      </w:tblGrid>
      <w:tr w:rsidR="0067613B" w:rsidRPr="00D955E8" w14:paraId="2E2AF126" w14:textId="77777777" w:rsidTr="00D955E8">
        <w:trPr>
          <w:trHeight w:val="1571"/>
          <w:jc w:val="center"/>
        </w:trPr>
        <w:tc>
          <w:tcPr>
            <w:tcW w:w="1843" w:type="dxa"/>
            <w:tcBorders>
              <w:top w:val="nil"/>
              <w:left w:val="nil"/>
              <w:bottom w:val="nil"/>
              <w:right w:val="nil"/>
            </w:tcBorders>
            <w:shd w:val="clear" w:color="000000" w:fill="BFBFBF"/>
            <w:vAlign w:val="center"/>
            <w:hideMark/>
          </w:tcPr>
          <w:p w14:paraId="0D7F0650" w14:textId="77777777" w:rsidR="0067613B" w:rsidRPr="00D955E8" w:rsidRDefault="0067613B" w:rsidP="00D955E8">
            <w:pPr>
              <w:pStyle w:val="Tabletext"/>
              <w:rPr>
                <w:b/>
                <w:sz w:val="24"/>
              </w:rPr>
            </w:pPr>
            <w:r w:rsidRPr="00D955E8">
              <w:rPr>
                <w:b/>
                <w:sz w:val="24"/>
              </w:rPr>
              <w:t>Description</w:t>
            </w:r>
          </w:p>
        </w:tc>
        <w:tc>
          <w:tcPr>
            <w:tcW w:w="762" w:type="dxa"/>
            <w:tcBorders>
              <w:top w:val="nil"/>
              <w:left w:val="nil"/>
              <w:bottom w:val="nil"/>
              <w:right w:val="nil"/>
            </w:tcBorders>
            <w:shd w:val="clear" w:color="000000" w:fill="BFBFBF"/>
            <w:textDirection w:val="btLr"/>
            <w:vAlign w:val="center"/>
            <w:hideMark/>
          </w:tcPr>
          <w:p w14:paraId="5D21D3D2" w14:textId="77777777" w:rsidR="0067613B" w:rsidRPr="00D955E8" w:rsidRDefault="0067613B" w:rsidP="00D955E8">
            <w:pPr>
              <w:pStyle w:val="Tabletext"/>
              <w:spacing w:line="180" w:lineRule="exact"/>
              <w:jc w:val="center"/>
              <w:rPr>
                <w:b/>
                <w:sz w:val="24"/>
              </w:rPr>
            </w:pPr>
            <w:r w:rsidRPr="00D955E8">
              <w:rPr>
                <w:b/>
                <w:sz w:val="24"/>
              </w:rPr>
              <w:t xml:space="preserve">First </w:t>
            </w:r>
            <w:r w:rsidR="00D955E8">
              <w:rPr>
                <w:b/>
                <w:sz w:val="24"/>
              </w:rPr>
              <w:br/>
            </w:r>
            <w:r w:rsidRPr="00D955E8">
              <w:rPr>
                <w:b/>
                <w:sz w:val="24"/>
              </w:rPr>
              <w:t xml:space="preserve">budgetary </w:t>
            </w:r>
            <w:r w:rsidR="00D955E8">
              <w:rPr>
                <w:b/>
                <w:sz w:val="24"/>
              </w:rPr>
              <w:br/>
            </w:r>
            <w:r w:rsidRPr="00D955E8">
              <w:rPr>
                <w:b/>
                <w:sz w:val="24"/>
              </w:rPr>
              <w:t>impact</w:t>
            </w:r>
          </w:p>
        </w:tc>
        <w:tc>
          <w:tcPr>
            <w:tcW w:w="519" w:type="dxa"/>
            <w:tcBorders>
              <w:top w:val="nil"/>
              <w:left w:val="nil"/>
              <w:bottom w:val="nil"/>
              <w:right w:val="nil"/>
            </w:tcBorders>
            <w:shd w:val="clear" w:color="000000" w:fill="BFBFBF"/>
            <w:textDirection w:val="btLr"/>
            <w:vAlign w:val="center"/>
            <w:hideMark/>
          </w:tcPr>
          <w:p w14:paraId="75C8184C" w14:textId="77777777" w:rsidR="0067613B" w:rsidRPr="00D955E8" w:rsidRDefault="0067613B" w:rsidP="00D955E8">
            <w:pPr>
              <w:pStyle w:val="Tabletext"/>
              <w:spacing w:line="180" w:lineRule="exact"/>
              <w:jc w:val="center"/>
              <w:rPr>
                <w:b/>
                <w:sz w:val="24"/>
              </w:rPr>
            </w:pPr>
            <w:r w:rsidRPr="00D955E8">
              <w:rPr>
                <w:b/>
                <w:sz w:val="24"/>
              </w:rPr>
              <w:t>ESA</w:t>
            </w:r>
          </w:p>
        </w:tc>
        <w:tc>
          <w:tcPr>
            <w:tcW w:w="521" w:type="dxa"/>
            <w:tcBorders>
              <w:top w:val="nil"/>
              <w:left w:val="nil"/>
              <w:bottom w:val="nil"/>
              <w:right w:val="nil"/>
            </w:tcBorders>
            <w:shd w:val="clear" w:color="000000" w:fill="BFBFBF"/>
            <w:textDirection w:val="btLr"/>
            <w:vAlign w:val="center"/>
            <w:hideMark/>
          </w:tcPr>
          <w:p w14:paraId="185902DD" w14:textId="77777777" w:rsidR="0067613B" w:rsidRPr="00D955E8" w:rsidRDefault="0067613B" w:rsidP="00D955E8">
            <w:pPr>
              <w:pStyle w:val="Tabletext"/>
              <w:spacing w:line="180" w:lineRule="exact"/>
              <w:jc w:val="center"/>
              <w:rPr>
                <w:b/>
                <w:sz w:val="24"/>
              </w:rPr>
            </w:pPr>
            <w:r w:rsidRPr="00D955E8">
              <w:rPr>
                <w:b/>
                <w:sz w:val="24"/>
              </w:rPr>
              <w:t>One-off</w:t>
            </w:r>
          </w:p>
        </w:tc>
        <w:tc>
          <w:tcPr>
            <w:tcW w:w="1209" w:type="dxa"/>
            <w:tcBorders>
              <w:top w:val="nil"/>
              <w:left w:val="nil"/>
              <w:bottom w:val="nil"/>
              <w:right w:val="nil"/>
            </w:tcBorders>
            <w:shd w:val="clear" w:color="000000" w:fill="BFBFBF"/>
            <w:textDirection w:val="btLr"/>
            <w:vAlign w:val="center"/>
            <w:hideMark/>
          </w:tcPr>
          <w:p w14:paraId="29CF9774" w14:textId="77777777" w:rsidR="0067613B" w:rsidRPr="00D955E8" w:rsidRDefault="0067613B" w:rsidP="00D955E8">
            <w:pPr>
              <w:pStyle w:val="Tabletext"/>
              <w:spacing w:line="180" w:lineRule="exact"/>
              <w:jc w:val="center"/>
              <w:rPr>
                <w:b/>
                <w:sz w:val="24"/>
              </w:rPr>
            </w:pPr>
            <w:r w:rsidRPr="00D955E8">
              <w:rPr>
                <w:b/>
                <w:sz w:val="24"/>
              </w:rPr>
              <w:t xml:space="preserve">One-off </w:t>
            </w:r>
            <w:r w:rsidR="00D955E8">
              <w:rPr>
                <w:b/>
                <w:sz w:val="24"/>
              </w:rPr>
              <w:br/>
            </w:r>
            <w:r w:rsidRPr="00D955E8">
              <w:rPr>
                <w:b/>
                <w:sz w:val="24"/>
              </w:rPr>
              <w:t>type</w:t>
            </w:r>
          </w:p>
        </w:tc>
        <w:tc>
          <w:tcPr>
            <w:tcW w:w="582" w:type="dxa"/>
            <w:tcBorders>
              <w:top w:val="nil"/>
              <w:left w:val="nil"/>
              <w:bottom w:val="nil"/>
              <w:right w:val="nil"/>
            </w:tcBorders>
            <w:shd w:val="clear" w:color="000000" w:fill="BFBFBF"/>
            <w:textDirection w:val="btLr"/>
            <w:vAlign w:val="center"/>
            <w:hideMark/>
          </w:tcPr>
          <w:p w14:paraId="1BF1F557" w14:textId="77777777" w:rsidR="0067613B" w:rsidRPr="00D955E8" w:rsidRDefault="0067613B" w:rsidP="00D955E8">
            <w:pPr>
              <w:pStyle w:val="Tabletext"/>
              <w:spacing w:line="180" w:lineRule="exact"/>
              <w:jc w:val="center"/>
              <w:rPr>
                <w:b/>
                <w:sz w:val="24"/>
              </w:rPr>
            </w:pPr>
            <w:r w:rsidRPr="00D955E8">
              <w:rPr>
                <w:b/>
                <w:sz w:val="24"/>
              </w:rPr>
              <w:t xml:space="preserve">Funded </w:t>
            </w:r>
            <w:r w:rsidR="00D955E8">
              <w:rPr>
                <w:b/>
                <w:sz w:val="24"/>
              </w:rPr>
              <w:br/>
            </w:r>
            <w:r w:rsidRPr="00D955E8">
              <w:rPr>
                <w:b/>
                <w:sz w:val="24"/>
              </w:rPr>
              <w:t>by EU</w:t>
            </w:r>
          </w:p>
        </w:tc>
        <w:tc>
          <w:tcPr>
            <w:tcW w:w="879" w:type="dxa"/>
            <w:tcBorders>
              <w:top w:val="nil"/>
              <w:left w:val="nil"/>
              <w:bottom w:val="nil"/>
              <w:right w:val="nil"/>
            </w:tcBorders>
            <w:shd w:val="clear" w:color="000000" w:fill="BFBFBF"/>
            <w:textDirection w:val="btLr"/>
            <w:vAlign w:val="center"/>
            <w:hideMark/>
          </w:tcPr>
          <w:p w14:paraId="2C5DC6ED" w14:textId="77777777" w:rsidR="0067613B" w:rsidRPr="00D955E8" w:rsidRDefault="0067613B" w:rsidP="00D955E8">
            <w:pPr>
              <w:pStyle w:val="Tabletext"/>
              <w:spacing w:line="180" w:lineRule="exact"/>
              <w:jc w:val="center"/>
              <w:rPr>
                <w:b/>
                <w:sz w:val="24"/>
              </w:rPr>
            </w:pPr>
            <w:r w:rsidRPr="00D955E8">
              <w:rPr>
                <w:b/>
                <w:sz w:val="24"/>
              </w:rPr>
              <w:t>Account principle</w:t>
            </w:r>
          </w:p>
        </w:tc>
        <w:tc>
          <w:tcPr>
            <w:tcW w:w="521" w:type="dxa"/>
            <w:tcBorders>
              <w:top w:val="nil"/>
              <w:left w:val="nil"/>
              <w:bottom w:val="nil"/>
              <w:right w:val="nil"/>
            </w:tcBorders>
            <w:shd w:val="clear" w:color="000000" w:fill="BFBFBF"/>
            <w:textDirection w:val="btLr"/>
            <w:vAlign w:val="center"/>
            <w:hideMark/>
          </w:tcPr>
          <w:p w14:paraId="24A52E0B" w14:textId="77777777" w:rsidR="0067613B" w:rsidRPr="00D955E8" w:rsidRDefault="0067613B" w:rsidP="00D955E8">
            <w:pPr>
              <w:pStyle w:val="Tabletext"/>
              <w:spacing w:line="180" w:lineRule="exact"/>
              <w:jc w:val="center"/>
              <w:rPr>
                <w:b/>
                <w:sz w:val="24"/>
              </w:rPr>
            </w:pPr>
            <w:r w:rsidRPr="00D955E8">
              <w:rPr>
                <w:b/>
                <w:sz w:val="24"/>
              </w:rPr>
              <w:t>Already adopted</w:t>
            </w:r>
          </w:p>
        </w:tc>
        <w:tc>
          <w:tcPr>
            <w:tcW w:w="609" w:type="dxa"/>
            <w:tcBorders>
              <w:top w:val="nil"/>
              <w:left w:val="nil"/>
              <w:bottom w:val="nil"/>
              <w:right w:val="nil"/>
            </w:tcBorders>
            <w:shd w:val="clear" w:color="000000" w:fill="BFBFBF"/>
            <w:textDirection w:val="btLr"/>
            <w:vAlign w:val="center"/>
            <w:hideMark/>
          </w:tcPr>
          <w:p w14:paraId="6FE41B75" w14:textId="77777777" w:rsidR="0067613B" w:rsidRPr="00D955E8" w:rsidRDefault="0067613B" w:rsidP="00D955E8">
            <w:pPr>
              <w:pStyle w:val="Tabletext"/>
              <w:spacing w:line="180" w:lineRule="exact"/>
              <w:jc w:val="center"/>
              <w:rPr>
                <w:b/>
                <w:sz w:val="24"/>
              </w:rPr>
            </w:pPr>
            <w:r w:rsidRPr="00D955E8">
              <w:rPr>
                <w:b/>
                <w:sz w:val="24"/>
              </w:rPr>
              <w:t>2024</w:t>
            </w:r>
          </w:p>
        </w:tc>
        <w:tc>
          <w:tcPr>
            <w:tcW w:w="717" w:type="dxa"/>
            <w:tcBorders>
              <w:top w:val="nil"/>
              <w:left w:val="nil"/>
              <w:bottom w:val="nil"/>
              <w:right w:val="nil"/>
            </w:tcBorders>
            <w:shd w:val="clear" w:color="000000" w:fill="BFBFBF"/>
            <w:textDirection w:val="btLr"/>
            <w:vAlign w:val="center"/>
            <w:hideMark/>
          </w:tcPr>
          <w:p w14:paraId="1CFE51F0" w14:textId="77777777" w:rsidR="0067613B" w:rsidRPr="00D955E8" w:rsidRDefault="0067613B" w:rsidP="00D955E8">
            <w:pPr>
              <w:pStyle w:val="Tabletext"/>
              <w:spacing w:line="180" w:lineRule="exact"/>
              <w:jc w:val="center"/>
              <w:rPr>
                <w:b/>
                <w:sz w:val="24"/>
              </w:rPr>
            </w:pPr>
            <w:r w:rsidRPr="00D955E8">
              <w:rPr>
                <w:b/>
                <w:sz w:val="24"/>
              </w:rPr>
              <w:t>2025</w:t>
            </w:r>
          </w:p>
        </w:tc>
        <w:tc>
          <w:tcPr>
            <w:tcW w:w="684" w:type="dxa"/>
            <w:tcBorders>
              <w:top w:val="nil"/>
              <w:left w:val="nil"/>
              <w:bottom w:val="nil"/>
              <w:right w:val="nil"/>
            </w:tcBorders>
            <w:shd w:val="clear" w:color="000000" w:fill="BFBFBF"/>
            <w:textDirection w:val="btLr"/>
            <w:vAlign w:val="center"/>
            <w:hideMark/>
          </w:tcPr>
          <w:p w14:paraId="639A3688" w14:textId="77777777" w:rsidR="0067613B" w:rsidRPr="00D955E8" w:rsidRDefault="0067613B" w:rsidP="00D955E8">
            <w:pPr>
              <w:pStyle w:val="Tabletext"/>
              <w:spacing w:line="180" w:lineRule="exact"/>
              <w:jc w:val="center"/>
              <w:rPr>
                <w:b/>
                <w:sz w:val="24"/>
              </w:rPr>
            </w:pPr>
            <w:r w:rsidRPr="00D955E8">
              <w:rPr>
                <w:b/>
                <w:sz w:val="24"/>
              </w:rPr>
              <w:t>2026</w:t>
            </w:r>
          </w:p>
        </w:tc>
      </w:tr>
      <w:tr w:rsidR="0067613B" w:rsidRPr="0067613B" w14:paraId="65D364B6" w14:textId="77777777" w:rsidTr="00831EE4">
        <w:trPr>
          <w:trHeight w:val="1386"/>
          <w:jc w:val="center"/>
        </w:trPr>
        <w:tc>
          <w:tcPr>
            <w:tcW w:w="1843" w:type="dxa"/>
            <w:tcBorders>
              <w:top w:val="nil"/>
              <w:left w:val="nil"/>
              <w:bottom w:val="single" w:sz="4" w:space="0" w:color="FFFFFF"/>
              <w:right w:val="nil"/>
            </w:tcBorders>
            <w:shd w:val="clear" w:color="000000" w:fill="F2F2F2"/>
            <w:vAlign w:val="center"/>
            <w:hideMark/>
          </w:tcPr>
          <w:p w14:paraId="40720E4E" w14:textId="77777777" w:rsidR="0067613B" w:rsidRPr="0067613B" w:rsidRDefault="0067613B" w:rsidP="00D955E8">
            <w:pPr>
              <w:pStyle w:val="Tabletext"/>
            </w:pPr>
            <w:r w:rsidRPr="0067613B">
              <w:t xml:space="preserve">State aid and compensation to farmers for Daniel storm natural disasters </w:t>
            </w:r>
          </w:p>
        </w:tc>
        <w:tc>
          <w:tcPr>
            <w:tcW w:w="762" w:type="dxa"/>
            <w:tcBorders>
              <w:top w:val="nil"/>
              <w:left w:val="nil"/>
              <w:bottom w:val="single" w:sz="4" w:space="0" w:color="FFFFFF"/>
              <w:right w:val="nil"/>
            </w:tcBorders>
            <w:shd w:val="clear" w:color="000000" w:fill="F2F2F2"/>
            <w:vAlign w:val="center"/>
            <w:hideMark/>
          </w:tcPr>
          <w:p w14:paraId="729B9575" w14:textId="77777777" w:rsidR="0067613B" w:rsidRPr="0067613B" w:rsidRDefault="0067613B" w:rsidP="00D955E8">
            <w:pPr>
              <w:pStyle w:val="Tabletext"/>
            </w:pPr>
            <w:r w:rsidRPr="0067613B">
              <w:t>2024</w:t>
            </w:r>
          </w:p>
        </w:tc>
        <w:tc>
          <w:tcPr>
            <w:tcW w:w="519" w:type="dxa"/>
            <w:tcBorders>
              <w:top w:val="nil"/>
              <w:left w:val="nil"/>
              <w:bottom w:val="single" w:sz="4" w:space="0" w:color="FFFFFF"/>
              <w:right w:val="nil"/>
            </w:tcBorders>
            <w:shd w:val="clear" w:color="000000" w:fill="F2F2F2"/>
            <w:vAlign w:val="center"/>
            <w:hideMark/>
          </w:tcPr>
          <w:p w14:paraId="55C1A283" w14:textId="77777777" w:rsidR="0067613B" w:rsidRPr="0067613B" w:rsidRDefault="0067613B" w:rsidP="00D955E8">
            <w:pPr>
              <w:pStyle w:val="Tabletext"/>
            </w:pPr>
            <w:r w:rsidRPr="0067613B">
              <w:t>D.9</w:t>
            </w:r>
          </w:p>
        </w:tc>
        <w:tc>
          <w:tcPr>
            <w:tcW w:w="521" w:type="dxa"/>
            <w:tcBorders>
              <w:top w:val="nil"/>
              <w:left w:val="nil"/>
              <w:bottom w:val="single" w:sz="4" w:space="0" w:color="FFFFFF"/>
              <w:right w:val="nil"/>
            </w:tcBorders>
            <w:shd w:val="clear" w:color="000000" w:fill="F2F2F2"/>
            <w:vAlign w:val="center"/>
            <w:hideMark/>
          </w:tcPr>
          <w:p w14:paraId="008462EC" w14:textId="77777777" w:rsidR="0067613B" w:rsidRPr="0067613B" w:rsidRDefault="0067613B" w:rsidP="00D955E8">
            <w:pPr>
              <w:pStyle w:val="Tabletext"/>
            </w:pPr>
            <w:r w:rsidRPr="0067613B">
              <w:t>Yes</w:t>
            </w:r>
          </w:p>
        </w:tc>
        <w:tc>
          <w:tcPr>
            <w:tcW w:w="1209" w:type="dxa"/>
            <w:tcBorders>
              <w:top w:val="nil"/>
              <w:left w:val="nil"/>
              <w:bottom w:val="single" w:sz="4" w:space="0" w:color="FFFFFF"/>
              <w:right w:val="nil"/>
            </w:tcBorders>
            <w:shd w:val="clear" w:color="000000" w:fill="F2F2F2"/>
            <w:vAlign w:val="center"/>
            <w:hideMark/>
          </w:tcPr>
          <w:p w14:paraId="71D3975A" w14:textId="77777777" w:rsidR="0067613B" w:rsidRPr="0067613B" w:rsidRDefault="0067613B" w:rsidP="00D955E8">
            <w:pPr>
              <w:pStyle w:val="Tabletext"/>
            </w:pPr>
            <w:r w:rsidRPr="0067613B">
              <w:t>Short-term emergency costs</w:t>
            </w:r>
          </w:p>
        </w:tc>
        <w:tc>
          <w:tcPr>
            <w:tcW w:w="582" w:type="dxa"/>
            <w:tcBorders>
              <w:top w:val="nil"/>
              <w:left w:val="nil"/>
              <w:bottom w:val="single" w:sz="4" w:space="0" w:color="FFFFFF"/>
              <w:right w:val="nil"/>
            </w:tcBorders>
            <w:shd w:val="clear" w:color="000000" w:fill="F2F2F2"/>
            <w:vAlign w:val="center"/>
            <w:hideMark/>
          </w:tcPr>
          <w:p w14:paraId="5D624A8F" w14:textId="77777777" w:rsidR="0067613B" w:rsidRPr="0067613B" w:rsidRDefault="0067613B" w:rsidP="00D955E8">
            <w:pPr>
              <w:pStyle w:val="Tabletext"/>
            </w:pPr>
            <w:r w:rsidRPr="0067613B">
              <w:t>No</w:t>
            </w:r>
          </w:p>
        </w:tc>
        <w:tc>
          <w:tcPr>
            <w:tcW w:w="879" w:type="dxa"/>
            <w:tcBorders>
              <w:top w:val="nil"/>
              <w:left w:val="nil"/>
              <w:bottom w:val="single" w:sz="4" w:space="0" w:color="FFFFFF"/>
              <w:right w:val="nil"/>
            </w:tcBorders>
            <w:shd w:val="clear" w:color="000000" w:fill="F2F2F2"/>
            <w:vAlign w:val="center"/>
            <w:hideMark/>
          </w:tcPr>
          <w:p w14:paraId="1ED346DD" w14:textId="77777777" w:rsidR="0067613B" w:rsidRPr="0067613B" w:rsidRDefault="0067613B" w:rsidP="00D955E8">
            <w:pPr>
              <w:pStyle w:val="Tabletext"/>
            </w:pPr>
            <w:r w:rsidRPr="0067613B">
              <w:t>Cash</w:t>
            </w:r>
          </w:p>
        </w:tc>
        <w:tc>
          <w:tcPr>
            <w:tcW w:w="521" w:type="dxa"/>
            <w:tcBorders>
              <w:top w:val="nil"/>
              <w:left w:val="nil"/>
              <w:bottom w:val="single" w:sz="4" w:space="0" w:color="FFFFFF"/>
              <w:right w:val="nil"/>
            </w:tcBorders>
            <w:shd w:val="clear" w:color="000000" w:fill="F2F2F2"/>
            <w:vAlign w:val="center"/>
            <w:hideMark/>
          </w:tcPr>
          <w:p w14:paraId="2A5249E1" w14:textId="77777777" w:rsidR="0067613B" w:rsidRPr="0067613B" w:rsidRDefault="0067613B" w:rsidP="00D955E8">
            <w:pPr>
              <w:pStyle w:val="Tabletext"/>
            </w:pPr>
            <w:r w:rsidRPr="0067613B">
              <w:t>Yes</w:t>
            </w:r>
          </w:p>
        </w:tc>
        <w:tc>
          <w:tcPr>
            <w:tcW w:w="609" w:type="dxa"/>
            <w:tcBorders>
              <w:top w:val="nil"/>
              <w:left w:val="nil"/>
              <w:bottom w:val="single" w:sz="4" w:space="0" w:color="FFFFFF"/>
              <w:right w:val="nil"/>
            </w:tcBorders>
            <w:shd w:val="clear" w:color="000000" w:fill="F2F2F2"/>
            <w:vAlign w:val="center"/>
            <w:hideMark/>
          </w:tcPr>
          <w:p w14:paraId="31E8FC0E" w14:textId="77777777" w:rsidR="0067613B" w:rsidRPr="0067613B" w:rsidRDefault="0067613B" w:rsidP="00D955E8">
            <w:pPr>
              <w:pStyle w:val="Tabletext"/>
            </w:pPr>
            <w:r w:rsidRPr="0067613B">
              <w:t>0.17</w:t>
            </w:r>
          </w:p>
        </w:tc>
        <w:tc>
          <w:tcPr>
            <w:tcW w:w="717" w:type="dxa"/>
            <w:tcBorders>
              <w:top w:val="nil"/>
              <w:left w:val="nil"/>
              <w:bottom w:val="single" w:sz="4" w:space="0" w:color="FFFFFF"/>
              <w:right w:val="nil"/>
            </w:tcBorders>
            <w:shd w:val="clear" w:color="000000" w:fill="F2F2F2"/>
            <w:vAlign w:val="center"/>
            <w:hideMark/>
          </w:tcPr>
          <w:p w14:paraId="521A6B38" w14:textId="77777777" w:rsidR="0067613B" w:rsidRPr="0067613B" w:rsidRDefault="0067613B" w:rsidP="00D955E8">
            <w:pPr>
              <w:pStyle w:val="Tabletext"/>
            </w:pPr>
            <w:r w:rsidRPr="0067613B">
              <w:t>-0.13</w:t>
            </w:r>
          </w:p>
        </w:tc>
        <w:tc>
          <w:tcPr>
            <w:tcW w:w="684" w:type="dxa"/>
            <w:tcBorders>
              <w:top w:val="nil"/>
              <w:left w:val="nil"/>
              <w:bottom w:val="single" w:sz="4" w:space="0" w:color="FFFFFF"/>
              <w:right w:val="nil"/>
            </w:tcBorders>
            <w:shd w:val="clear" w:color="000000" w:fill="F2F2F2"/>
            <w:vAlign w:val="center"/>
            <w:hideMark/>
          </w:tcPr>
          <w:p w14:paraId="5A901DC8" w14:textId="77777777" w:rsidR="0067613B" w:rsidRPr="0067613B" w:rsidRDefault="0067613B" w:rsidP="00D955E8">
            <w:pPr>
              <w:pStyle w:val="Tabletext"/>
            </w:pPr>
            <w:r w:rsidRPr="0067613B">
              <w:t>-0.03</w:t>
            </w:r>
          </w:p>
        </w:tc>
      </w:tr>
      <w:tr w:rsidR="0067613B" w:rsidRPr="0067613B" w14:paraId="2BB7EBB4" w14:textId="77777777" w:rsidTr="00831EE4">
        <w:trPr>
          <w:trHeight w:val="1261"/>
          <w:jc w:val="center"/>
        </w:trPr>
        <w:tc>
          <w:tcPr>
            <w:tcW w:w="1843" w:type="dxa"/>
            <w:tcBorders>
              <w:top w:val="single" w:sz="4" w:space="0" w:color="FFFFFF"/>
              <w:left w:val="nil"/>
              <w:bottom w:val="single" w:sz="18" w:space="0" w:color="4F81BD" w:themeColor="accent1"/>
              <w:right w:val="nil"/>
            </w:tcBorders>
            <w:shd w:val="clear" w:color="000000" w:fill="D9D9D9"/>
            <w:vAlign w:val="center"/>
            <w:hideMark/>
          </w:tcPr>
          <w:p w14:paraId="79CB78E6" w14:textId="763516F7" w:rsidR="0067613B" w:rsidRPr="0067613B" w:rsidRDefault="0067613B" w:rsidP="00D955E8">
            <w:pPr>
              <w:pStyle w:val="Tabletext"/>
            </w:pPr>
            <w:r w:rsidRPr="0067613B">
              <w:t>Decision</w:t>
            </w:r>
            <w:r w:rsidR="000A1CCC">
              <w:t>s</w:t>
            </w:r>
            <w:r w:rsidRPr="0067613B">
              <w:t xml:space="preserve"> regarding disallowances and penalties</w:t>
            </w:r>
          </w:p>
        </w:tc>
        <w:tc>
          <w:tcPr>
            <w:tcW w:w="762" w:type="dxa"/>
            <w:tcBorders>
              <w:top w:val="single" w:sz="4" w:space="0" w:color="FFFFFF"/>
              <w:left w:val="nil"/>
              <w:bottom w:val="single" w:sz="18" w:space="0" w:color="4F81BD" w:themeColor="accent1"/>
              <w:right w:val="nil"/>
            </w:tcBorders>
            <w:shd w:val="clear" w:color="000000" w:fill="D9D9D9"/>
            <w:vAlign w:val="center"/>
            <w:hideMark/>
          </w:tcPr>
          <w:p w14:paraId="0DEA0725" w14:textId="77777777" w:rsidR="0067613B" w:rsidRPr="0067613B" w:rsidRDefault="0067613B" w:rsidP="00D955E8">
            <w:pPr>
              <w:pStyle w:val="Tabletext"/>
            </w:pPr>
            <w:r w:rsidRPr="0067613B">
              <w:t>2025</w:t>
            </w:r>
          </w:p>
        </w:tc>
        <w:tc>
          <w:tcPr>
            <w:tcW w:w="519" w:type="dxa"/>
            <w:tcBorders>
              <w:top w:val="single" w:sz="4" w:space="0" w:color="FFFFFF"/>
              <w:left w:val="nil"/>
              <w:bottom w:val="single" w:sz="18" w:space="0" w:color="4F81BD" w:themeColor="accent1"/>
              <w:right w:val="nil"/>
            </w:tcBorders>
            <w:shd w:val="clear" w:color="000000" w:fill="D9D9D9"/>
            <w:vAlign w:val="center"/>
            <w:hideMark/>
          </w:tcPr>
          <w:p w14:paraId="6620C605" w14:textId="77777777" w:rsidR="0067613B" w:rsidRPr="0067613B" w:rsidRDefault="0067613B" w:rsidP="00D955E8">
            <w:pPr>
              <w:pStyle w:val="Tabletext"/>
            </w:pPr>
            <w:r w:rsidRPr="0067613B">
              <w:t>D.9</w:t>
            </w:r>
          </w:p>
        </w:tc>
        <w:tc>
          <w:tcPr>
            <w:tcW w:w="521" w:type="dxa"/>
            <w:tcBorders>
              <w:top w:val="single" w:sz="4" w:space="0" w:color="FFFFFF"/>
              <w:left w:val="nil"/>
              <w:bottom w:val="single" w:sz="18" w:space="0" w:color="4F81BD" w:themeColor="accent1"/>
              <w:right w:val="nil"/>
            </w:tcBorders>
            <w:shd w:val="clear" w:color="000000" w:fill="D9D9D9"/>
            <w:vAlign w:val="center"/>
            <w:hideMark/>
          </w:tcPr>
          <w:p w14:paraId="125994C5" w14:textId="77777777" w:rsidR="0067613B" w:rsidRPr="0067613B" w:rsidRDefault="0067613B" w:rsidP="00D955E8">
            <w:pPr>
              <w:pStyle w:val="Tabletext"/>
            </w:pPr>
            <w:r w:rsidRPr="0067613B">
              <w:t>Yes</w:t>
            </w:r>
          </w:p>
        </w:tc>
        <w:tc>
          <w:tcPr>
            <w:tcW w:w="1209" w:type="dxa"/>
            <w:tcBorders>
              <w:top w:val="single" w:sz="4" w:space="0" w:color="FFFFFF"/>
              <w:left w:val="nil"/>
              <w:bottom w:val="single" w:sz="18" w:space="0" w:color="4F81BD" w:themeColor="accent1"/>
              <w:right w:val="nil"/>
            </w:tcBorders>
            <w:shd w:val="clear" w:color="000000" w:fill="D9D9D9"/>
            <w:vAlign w:val="center"/>
            <w:hideMark/>
          </w:tcPr>
          <w:p w14:paraId="11AD1313" w14:textId="77777777" w:rsidR="0067613B" w:rsidRPr="0067613B" w:rsidRDefault="0067613B" w:rsidP="00D955E8">
            <w:pPr>
              <w:pStyle w:val="Tabletext"/>
            </w:pPr>
            <w:r w:rsidRPr="0067613B">
              <w:t>Other</w:t>
            </w:r>
          </w:p>
        </w:tc>
        <w:tc>
          <w:tcPr>
            <w:tcW w:w="582" w:type="dxa"/>
            <w:tcBorders>
              <w:top w:val="single" w:sz="4" w:space="0" w:color="FFFFFF"/>
              <w:left w:val="nil"/>
              <w:bottom w:val="single" w:sz="18" w:space="0" w:color="4F81BD" w:themeColor="accent1"/>
              <w:right w:val="nil"/>
            </w:tcBorders>
            <w:shd w:val="clear" w:color="000000" w:fill="D9D9D9"/>
            <w:vAlign w:val="center"/>
            <w:hideMark/>
          </w:tcPr>
          <w:p w14:paraId="37C17AA6" w14:textId="77777777" w:rsidR="0067613B" w:rsidRPr="0067613B" w:rsidRDefault="0067613B" w:rsidP="00D955E8">
            <w:pPr>
              <w:pStyle w:val="Tabletext"/>
            </w:pPr>
            <w:r w:rsidRPr="0067613B">
              <w:t>No</w:t>
            </w:r>
          </w:p>
        </w:tc>
        <w:tc>
          <w:tcPr>
            <w:tcW w:w="879" w:type="dxa"/>
            <w:tcBorders>
              <w:top w:val="single" w:sz="4" w:space="0" w:color="FFFFFF"/>
              <w:left w:val="nil"/>
              <w:bottom w:val="single" w:sz="18" w:space="0" w:color="4F81BD" w:themeColor="accent1"/>
              <w:right w:val="nil"/>
            </w:tcBorders>
            <w:shd w:val="clear" w:color="000000" w:fill="D9D9D9"/>
            <w:vAlign w:val="center"/>
            <w:hideMark/>
          </w:tcPr>
          <w:p w14:paraId="148AF55E" w14:textId="77777777" w:rsidR="0067613B" w:rsidRPr="0067613B" w:rsidRDefault="0067613B" w:rsidP="00D955E8">
            <w:pPr>
              <w:pStyle w:val="Tabletext"/>
            </w:pPr>
            <w:r w:rsidRPr="0067613B">
              <w:t>Accrual</w:t>
            </w:r>
          </w:p>
        </w:tc>
        <w:tc>
          <w:tcPr>
            <w:tcW w:w="521" w:type="dxa"/>
            <w:tcBorders>
              <w:top w:val="single" w:sz="4" w:space="0" w:color="FFFFFF"/>
              <w:left w:val="nil"/>
              <w:bottom w:val="single" w:sz="18" w:space="0" w:color="4F81BD" w:themeColor="accent1"/>
              <w:right w:val="nil"/>
            </w:tcBorders>
            <w:shd w:val="clear" w:color="000000" w:fill="D9D9D9"/>
            <w:vAlign w:val="center"/>
            <w:hideMark/>
          </w:tcPr>
          <w:p w14:paraId="31F3E06E" w14:textId="77777777" w:rsidR="0067613B" w:rsidRPr="0067613B" w:rsidRDefault="0067613B" w:rsidP="00D955E8">
            <w:pPr>
              <w:pStyle w:val="Tabletext"/>
            </w:pPr>
            <w:r w:rsidRPr="0067613B">
              <w:t>Yes</w:t>
            </w:r>
          </w:p>
        </w:tc>
        <w:tc>
          <w:tcPr>
            <w:tcW w:w="609" w:type="dxa"/>
            <w:tcBorders>
              <w:top w:val="single" w:sz="4" w:space="0" w:color="FFFFFF"/>
              <w:left w:val="nil"/>
              <w:bottom w:val="single" w:sz="18" w:space="0" w:color="4F81BD" w:themeColor="accent1"/>
              <w:right w:val="nil"/>
            </w:tcBorders>
            <w:shd w:val="clear" w:color="000000" w:fill="D9D9D9"/>
            <w:vAlign w:val="center"/>
            <w:hideMark/>
          </w:tcPr>
          <w:p w14:paraId="73F5A829" w14:textId="77777777" w:rsidR="0067613B" w:rsidRPr="0067613B" w:rsidRDefault="0067613B" w:rsidP="00D955E8">
            <w:pPr>
              <w:pStyle w:val="Tabletext"/>
            </w:pPr>
            <w:r w:rsidRPr="0067613B">
              <w:t> </w:t>
            </w:r>
          </w:p>
        </w:tc>
        <w:tc>
          <w:tcPr>
            <w:tcW w:w="717" w:type="dxa"/>
            <w:tcBorders>
              <w:top w:val="single" w:sz="4" w:space="0" w:color="FFFFFF"/>
              <w:left w:val="nil"/>
              <w:bottom w:val="single" w:sz="18" w:space="0" w:color="4F81BD" w:themeColor="accent1"/>
              <w:right w:val="nil"/>
            </w:tcBorders>
            <w:shd w:val="clear" w:color="000000" w:fill="D9D9D9"/>
            <w:vAlign w:val="center"/>
            <w:hideMark/>
          </w:tcPr>
          <w:p w14:paraId="324122AF" w14:textId="77777777" w:rsidR="0067613B" w:rsidRPr="0067613B" w:rsidRDefault="0067613B" w:rsidP="00D955E8">
            <w:pPr>
              <w:pStyle w:val="Tabletext"/>
            </w:pPr>
            <w:r w:rsidRPr="0067613B">
              <w:t>0.12</w:t>
            </w:r>
          </w:p>
        </w:tc>
        <w:tc>
          <w:tcPr>
            <w:tcW w:w="684" w:type="dxa"/>
            <w:tcBorders>
              <w:top w:val="single" w:sz="4" w:space="0" w:color="FFFFFF"/>
              <w:left w:val="nil"/>
              <w:bottom w:val="single" w:sz="18" w:space="0" w:color="4F81BD" w:themeColor="accent1"/>
              <w:right w:val="nil"/>
            </w:tcBorders>
            <w:shd w:val="clear" w:color="000000" w:fill="D9D9D9"/>
            <w:vAlign w:val="center"/>
            <w:hideMark/>
          </w:tcPr>
          <w:p w14:paraId="07DC5BBC" w14:textId="77777777" w:rsidR="0067613B" w:rsidRPr="0067613B" w:rsidRDefault="0067613B" w:rsidP="00D955E8">
            <w:pPr>
              <w:pStyle w:val="Tabletext"/>
            </w:pPr>
            <w:r w:rsidRPr="0067613B">
              <w:t>-0.11</w:t>
            </w:r>
          </w:p>
        </w:tc>
      </w:tr>
    </w:tbl>
    <w:p w14:paraId="3EF696C5" w14:textId="77777777" w:rsidR="009B6626" w:rsidRDefault="009B6626" w:rsidP="009B6626">
      <w:pPr>
        <w:rPr>
          <w:lang w:val="en-US"/>
        </w:rPr>
      </w:pPr>
    </w:p>
    <w:p w14:paraId="49DA18E7" w14:textId="1502EC9E" w:rsidR="00A35233" w:rsidRDefault="00A35233" w:rsidP="009B6626">
      <w:pPr>
        <w:rPr>
          <w:lang w:val="en-US"/>
        </w:rPr>
        <w:sectPr w:rsidR="00A35233" w:rsidSect="00577A51">
          <w:footerReference w:type="even" r:id="rId25"/>
          <w:footerReference w:type="default" r:id="rId26"/>
          <w:pgSz w:w="11906" w:h="16838"/>
          <w:pgMar w:top="1304" w:right="1191" w:bottom="1191" w:left="1304" w:header="709" w:footer="709" w:gutter="567"/>
          <w:cols w:space="708"/>
          <w:titlePg/>
          <w:docGrid w:linePitch="360"/>
        </w:sectPr>
      </w:pPr>
    </w:p>
    <w:p w14:paraId="4EFA3ED1" w14:textId="5DD1A5D2" w:rsidR="00C76181" w:rsidRDefault="00A35233" w:rsidP="00A35233">
      <w:pPr>
        <w:pStyle w:val="1"/>
        <w:spacing w:after="600"/>
        <w:rPr>
          <w:lang w:val="en-US"/>
        </w:rPr>
      </w:pPr>
      <w:bookmarkStart w:id="107" w:name="_Ref211097159"/>
      <w:bookmarkStart w:id="108" w:name="_Ref211097165"/>
      <w:bookmarkStart w:id="109" w:name="_Toc211418452"/>
      <w:r>
        <w:rPr>
          <w:rFonts w:ascii="Arial MT"/>
          <w:noProof/>
          <w:sz w:val="20"/>
        </w:rPr>
        <w:drawing>
          <wp:anchor distT="0" distB="0" distL="114300" distR="114300" simplePos="0" relativeHeight="251692032" behindDoc="0" locked="0" layoutInCell="1" allowOverlap="1" wp14:anchorId="21DD8F25" wp14:editId="1C868EA4">
            <wp:simplePos x="0" y="0"/>
            <wp:positionH relativeFrom="column">
              <wp:posOffset>-26035</wp:posOffset>
            </wp:positionH>
            <wp:positionV relativeFrom="paragraph">
              <wp:posOffset>495935</wp:posOffset>
            </wp:positionV>
            <wp:extent cx="1774825" cy="871220"/>
            <wp:effectExtent l="0" t="0" r="0" b="5080"/>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74825" cy="871220"/>
                    </a:xfrm>
                    <a:prstGeom prst="rect">
                      <a:avLst/>
                    </a:prstGeom>
                  </pic:spPr>
                </pic:pic>
              </a:graphicData>
            </a:graphic>
          </wp:anchor>
        </w:drawing>
      </w:r>
      <w:r w:rsidR="00C76181">
        <w:rPr>
          <w:lang w:val="en-US"/>
        </w:rPr>
        <w:t>Annex I</w:t>
      </w:r>
      <w:r w:rsidR="00C3562C">
        <w:rPr>
          <w:lang w:val="en-US"/>
        </w:rPr>
        <w:t>I</w:t>
      </w:r>
      <w:r w:rsidR="00C76181">
        <w:rPr>
          <w:lang w:val="en-US"/>
        </w:rPr>
        <w:t xml:space="preserve">I: Hellenic Fiscal Council </w:t>
      </w:r>
      <w:bookmarkEnd w:id="107"/>
      <w:bookmarkEnd w:id="108"/>
      <w:r w:rsidR="00966B83">
        <w:rPr>
          <w:lang w:val="en-US"/>
        </w:rPr>
        <w:t>opinion</w:t>
      </w:r>
      <w:bookmarkEnd w:id="109"/>
    </w:p>
    <w:p w14:paraId="0F374768" w14:textId="17316A8F" w:rsidR="00A35233" w:rsidRPr="00A35233" w:rsidRDefault="00A35233" w:rsidP="00A35233">
      <w:pPr>
        <w:spacing w:line="276" w:lineRule="auto"/>
        <w:jc w:val="right"/>
        <w:rPr>
          <w:rFonts w:ascii="Times New Roman" w:hAnsi="Times New Roman" w:cs="Times New Roman"/>
          <w:lang w:val="en-US"/>
        </w:rPr>
      </w:pPr>
      <w:r w:rsidRPr="00A35233">
        <w:rPr>
          <w:rFonts w:ascii="Times New Roman" w:hAnsi="Times New Roman" w:cs="Times New Roman"/>
          <w:lang w:val="en-US"/>
        </w:rPr>
        <w:t>Athens, 14</w:t>
      </w:r>
      <w:r w:rsidRPr="00A35233">
        <w:rPr>
          <w:rFonts w:ascii="Times New Roman" w:hAnsi="Times New Roman" w:cs="Times New Roman"/>
          <w:vertAlign w:val="superscript"/>
          <w:lang w:val="en-US"/>
        </w:rPr>
        <w:t>th</w:t>
      </w:r>
      <w:r w:rsidRPr="00A35233">
        <w:rPr>
          <w:rFonts w:ascii="Times New Roman" w:hAnsi="Times New Roman" w:cs="Times New Roman"/>
          <w:lang w:val="en-US"/>
        </w:rPr>
        <w:t xml:space="preserve"> of October, 2025</w:t>
      </w:r>
    </w:p>
    <w:p w14:paraId="33847B5F" w14:textId="77777777" w:rsidR="00A35233" w:rsidRDefault="00A35233" w:rsidP="00A35233">
      <w:pPr>
        <w:spacing w:line="276" w:lineRule="auto"/>
        <w:jc w:val="center"/>
        <w:rPr>
          <w:rFonts w:ascii="Times New Roman" w:eastAsia="Arial" w:hAnsi="Times New Roman" w:cs="Times New Roman"/>
          <w:b/>
          <w:color w:val="0070C0"/>
          <w:sz w:val="24"/>
          <w:lang w:val="en-US"/>
        </w:rPr>
      </w:pPr>
    </w:p>
    <w:p w14:paraId="3721DC1D" w14:textId="711AFDB8" w:rsidR="00A35233" w:rsidRPr="00A35233" w:rsidRDefault="00A35233" w:rsidP="00A35233">
      <w:pPr>
        <w:spacing w:line="276" w:lineRule="auto"/>
        <w:jc w:val="center"/>
        <w:rPr>
          <w:rFonts w:ascii="Times New Roman" w:eastAsia="Arial" w:hAnsi="Times New Roman" w:cs="Times New Roman"/>
          <w:b/>
          <w:color w:val="0070C0"/>
          <w:sz w:val="24"/>
          <w:lang w:val="en-US"/>
        </w:rPr>
      </w:pPr>
      <w:r w:rsidRPr="00A35233">
        <w:rPr>
          <w:rFonts w:ascii="Times New Roman" w:eastAsia="Arial" w:hAnsi="Times New Roman" w:cs="Times New Roman"/>
          <w:b/>
          <w:color w:val="0070C0"/>
          <w:sz w:val="24"/>
          <w:lang w:val="en-US"/>
        </w:rPr>
        <w:t>Opinion on the Draft Budgetary Plan 2026</w:t>
      </w:r>
    </w:p>
    <w:p w14:paraId="090F78E2" w14:textId="77777777" w:rsidR="005D0FEA" w:rsidRPr="005D0FEA" w:rsidRDefault="005D0FEA" w:rsidP="005D0FEA">
      <w:pPr>
        <w:spacing w:line="276" w:lineRule="auto"/>
        <w:rPr>
          <w:lang w:val="en-US"/>
        </w:rPr>
      </w:pPr>
      <w:r w:rsidRPr="005D0FEA">
        <w:rPr>
          <w:rFonts w:ascii="Times New Roman" w:hAnsi="Times New Roman" w:cs="Times New Roman"/>
          <w:lang w:val="en-US"/>
        </w:rPr>
        <w:t>The Hellenic Fiscal Council (HIFSC) constituted as an independent fiscal authority under the law 4270/2014, as amended by the law 5217/2025 and currently in force.</w:t>
      </w:r>
      <w:r>
        <w:rPr>
          <w:rStyle w:val="af1"/>
          <w:rFonts w:ascii="Times New Roman" w:hAnsi="Times New Roman" w:cs="Times New Roman"/>
        </w:rPr>
        <w:footnoteReference w:id="4"/>
      </w:r>
      <w:r w:rsidRPr="005D0FEA">
        <w:rPr>
          <w:rFonts w:ascii="Times New Roman" w:hAnsi="Times New Roman" w:cs="Times New Roman"/>
          <w:lang w:val="en-US"/>
        </w:rPr>
        <w:t xml:space="preserve"> HFISC submits its opinion on macroeconomic and budgetary forecasts and assumptions underpinning the Draft Budgetary Plan 2026 (DBP 2026), </w:t>
      </w:r>
      <w:r w:rsidRPr="005D0FEA">
        <w:rPr>
          <w:rFonts w:ascii="Times New Roman" w:eastAsia="Arial" w:hAnsi="Times New Roman" w:cs="Times New Roman"/>
          <w:lang w:val="en-US"/>
        </w:rPr>
        <w:t>monitoring compliance with country-specific numerical fiscal rules</w:t>
      </w:r>
      <w:r w:rsidRPr="005D0FEA">
        <w:rPr>
          <w:rFonts w:ascii="Times New Roman" w:hAnsi="Times New Roman" w:cs="Times New Roman"/>
          <w:lang w:val="en-US"/>
        </w:rPr>
        <w:t xml:space="preserve"> as stipulated in Regulation 473/2013 (Art. 6 par. 3f) of the European Parliament and the Council of the European Union (EU).</w:t>
      </w:r>
      <w:r w:rsidRPr="00C178C9">
        <w:rPr>
          <w:rStyle w:val="af1"/>
          <w:rFonts w:ascii="Times New Roman" w:hAnsi="Times New Roman" w:cs="Times New Roman"/>
          <w:color w:val="000000"/>
        </w:rPr>
        <w:footnoteReference w:id="5"/>
      </w:r>
    </w:p>
    <w:p w14:paraId="7719EFDF" w14:textId="77777777" w:rsidR="005D0FEA" w:rsidRPr="005D0FEA" w:rsidRDefault="005D0FEA" w:rsidP="005D0FEA">
      <w:pPr>
        <w:spacing w:line="276" w:lineRule="auto"/>
        <w:ind w:left="5" w:hanging="11"/>
        <w:rPr>
          <w:rFonts w:ascii="Times New Roman" w:hAnsi="Times New Roman" w:cs="Times New Roman"/>
          <w:color w:val="000000"/>
          <w:lang w:val="en-US"/>
        </w:rPr>
      </w:pPr>
      <w:r w:rsidRPr="005D0FEA">
        <w:rPr>
          <w:rFonts w:ascii="Times New Roman" w:hAnsi="Times New Roman" w:cs="Times New Roman"/>
          <w:color w:val="000000"/>
          <w:lang w:val="en-US"/>
        </w:rPr>
        <w:t>This assessment takes into account the following:</w:t>
      </w:r>
    </w:p>
    <w:p w14:paraId="39143AB1" w14:textId="77777777" w:rsidR="005D0FEA" w:rsidRPr="005D0FEA" w:rsidRDefault="005D0FEA" w:rsidP="005D0FEA">
      <w:pPr>
        <w:spacing w:line="276" w:lineRule="auto"/>
        <w:ind w:left="5" w:hanging="11"/>
        <w:rPr>
          <w:rFonts w:ascii="Times New Roman" w:hAnsi="Times New Roman" w:cs="Times New Roman"/>
          <w:color w:val="000000"/>
          <w:w w:val="96"/>
          <w:lang w:val="en-US"/>
        </w:rPr>
      </w:pPr>
      <w:r w:rsidRPr="005D0FEA">
        <w:rPr>
          <w:rFonts w:ascii="Times New Roman" w:hAnsi="Times New Roman" w:cs="Times New Roman"/>
          <w:color w:val="000000"/>
          <w:w w:val="96"/>
          <w:lang w:val="en-US"/>
        </w:rPr>
        <w:t xml:space="preserve">(a) The macroeconomic scenario and budgetary forecasts as communicated to the HFISC by the Ministry of Economy and Finance (MinFin) on September 17 and October 2, 2025 respectively, and the technical dialogue between experts from MinFin and HFISC. </w:t>
      </w:r>
    </w:p>
    <w:p w14:paraId="581C7BBB" w14:textId="77777777" w:rsidR="005D0FEA" w:rsidRPr="005D0FEA" w:rsidRDefault="005D0FEA" w:rsidP="005D0FEA">
      <w:pPr>
        <w:spacing w:line="276" w:lineRule="auto"/>
        <w:ind w:left="5" w:hanging="11"/>
        <w:rPr>
          <w:rFonts w:ascii="Times New Roman" w:hAnsi="Times New Roman" w:cs="Times New Roman"/>
          <w:color w:val="000000"/>
          <w:w w:val="96"/>
          <w:lang w:val="en-US"/>
        </w:rPr>
      </w:pPr>
      <w:r w:rsidRPr="005D0FEA">
        <w:rPr>
          <w:rFonts w:ascii="Times New Roman" w:hAnsi="Times New Roman" w:cs="Times New Roman"/>
          <w:color w:val="000000"/>
          <w:w w:val="96"/>
          <w:lang w:val="en-US"/>
        </w:rPr>
        <w:t>(b) The most recent macroeconomic and budgetary data for the Greek economy, published by the Hellenic Statistical Authority (ELSTAT), that cover developments up to the first half of the year.</w:t>
      </w:r>
      <w:r w:rsidRPr="005D0FEA">
        <w:rPr>
          <w:rStyle w:val="af1"/>
          <w:rFonts w:ascii="Times New Roman" w:eastAsia="Times New Roman" w:hAnsi="Times New Roman" w:cs="Times New Roman"/>
          <w:w w:val="96"/>
          <w:szCs w:val="24"/>
        </w:rPr>
        <w:footnoteReference w:id="6"/>
      </w:r>
    </w:p>
    <w:p w14:paraId="57C39032" w14:textId="77777777" w:rsidR="005D0FEA" w:rsidRPr="005D0FEA" w:rsidRDefault="005D0FEA" w:rsidP="005D0FEA">
      <w:pPr>
        <w:spacing w:line="276" w:lineRule="auto"/>
        <w:ind w:left="5" w:hanging="11"/>
        <w:rPr>
          <w:rFonts w:ascii="Times New Roman" w:hAnsi="Times New Roman" w:cs="Times New Roman"/>
          <w:color w:val="000000"/>
          <w:w w:val="96"/>
          <w:lang w:val="en-US"/>
        </w:rPr>
      </w:pPr>
      <w:r w:rsidRPr="005D0FEA">
        <w:rPr>
          <w:rFonts w:ascii="Times New Roman" w:hAnsi="Times New Roman" w:cs="Times New Roman"/>
          <w:color w:val="000000"/>
          <w:w w:val="96"/>
          <w:lang w:val="en-US"/>
        </w:rPr>
        <w:t>(c) The Annual Progress Report 2025 (APR 2025) projections as well as those of the State Budget 2025 (SB 2025), and of the Medium Term Fiscal-Structural Plan 2025-2028 (MTP 2025-2028).</w:t>
      </w:r>
      <w:r w:rsidRPr="005D0FEA">
        <w:rPr>
          <w:rStyle w:val="af1"/>
          <w:rFonts w:ascii="Times New Roman" w:eastAsia="Times New Roman" w:hAnsi="Times New Roman" w:cs="Times New Roman"/>
          <w:w w:val="96"/>
          <w:szCs w:val="24"/>
        </w:rPr>
        <w:footnoteReference w:id="7"/>
      </w:r>
      <w:r w:rsidRPr="005D0FEA">
        <w:rPr>
          <w:rFonts w:ascii="Times New Roman" w:eastAsia="Times New Roman" w:hAnsi="Times New Roman" w:cs="Times New Roman"/>
          <w:w w:val="96"/>
          <w:szCs w:val="24"/>
          <w:vertAlign w:val="superscript"/>
          <w:lang w:val="en-US"/>
        </w:rPr>
        <w:t>,</w:t>
      </w:r>
      <w:r w:rsidRPr="005D0FEA">
        <w:rPr>
          <w:rStyle w:val="af1"/>
          <w:rFonts w:ascii="Times New Roman" w:eastAsia="Times New Roman" w:hAnsi="Times New Roman" w:cs="Times New Roman"/>
          <w:w w:val="96"/>
          <w:szCs w:val="24"/>
        </w:rPr>
        <w:footnoteReference w:id="8"/>
      </w:r>
      <w:r w:rsidRPr="005D0FEA">
        <w:rPr>
          <w:rFonts w:ascii="Times New Roman" w:eastAsia="Times New Roman" w:hAnsi="Times New Roman" w:cs="Times New Roman"/>
          <w:w w:val="96"/>
          <w:szCs w:val="24"/>
          <w:vertAlign w:val="superscript"/>
          <w:lang w:val="en-US"/>
        </w:rPr>
        <w:t>,</w:t>
      </w:r>
      <w:r w:rsidRPr="005D0FEA">
        <w:rPr>
          <w:rStyle w:val="af1"/>
          <w:rFonts w:ascii="Times New Roman" w:eastAsia="Times New Roman" w:hAnsi="Times New Roman" w:cs="Times New Roman"/>
          <w:w w:val="96"/>
          <w:szCs w:val="24"/>
        </w:rPr>
        <w:footnoteReference w:id="9"/>
      </w:r>
    </w:p>
    <w:p w14:paraId="047FB126" w14:textId="77777777" w:rsidR="005D0FEA" w:rsidRPr="005D0FEA" w:rsidRDefault="005D0FEA" w:rsidP="005D0FEA">
      <w:pPr>
        <w:spacing w:line="276" w:lineRule="auto"/>
        <w:ind w:left="5" w:hanging="11"/>
        <w:rPr>
          <w:rFonts w:ascii="Times New Roman" w:hAnsi="Times New Roman" w:cs="Times New Roman"/>
          <w:color w:val="000000"/>
          <w:w w:val="96"/>
          <w:lang w:val="en-US"/>
        </w:rPr>
      </w:pPr>
      <w:r w:rsidRPr="005D0FEA">
        <w:rPr>
          <w:rFonts w:ascii="Times New Roman" w:hAnsi="Times New Roman" w:cs="Times New Roman"/>
          <w:color w:val="000000"/>
          <w:w w:val="96"/>
          <w:lang w:val="en-US"/>
        </w:rPr>
        <w:t>(d) The European Commission’s Spring Forecasts 2025, and the forecasts of other international and national organizations regarding the performance of the main macroeconomic indicators of the Greek economy.</w:t>
      </w:r>
      <w:r w:rsidRPr="005D0FEA">
        <w:rPr>
          <w:rStyle w:val="af1"/>
          <w:rFonts w:ascii="Times New Roman" w:eastAsia="Times New Roman" w:hAnsi="Times New Roman" w:cs="Times New Roman"/>
          <w:w w:val="96"/>
          <w:szCs w:val="24"/>
        </w:rPr>
        <w:footnoteReference w:id="10"/>
      </w:r>
      <w:r w:rsidRPr="005D0FEA">
        <w:rPr>
          <w:rFonts w:ascii="Times New Roman" w:hAnsi="Times New Roman" w:cs="Times New Roman"/>
          <w:color w:val="000000"/>
          <w:w w:val="96"/>
          <w:lang w:val="en-US"/>
        </w:rPr>
        <w:t xml:space="preserve"> </w:t>
      </w:r>
    </w:p>
    <w:p w14:paraId="31BBB042" w14:textId="77777777" w:rsidR="005D0FEA" w:rsidRPr="005D0FEA" w:rsidRDefault="005D0FEA" w:rsidP="005D0FEA">
      <w:pPr>
        <w:spacing w:after="360" w:line="276" w:lineRule="auto"/>
        <w:ind w:left="5" w:hanging="11"/>
        <w:rPr>
          <w:rFonts w:ascii="Times New Roman" w:hAnsi="Times New Roman" w:cs="Times New Roman"/>
          <w:color w:val="000000"/>
          <w:w w:val="96"/>
          <w:lang w:val="en-US"/>
        </w:rPr>
      </w:pPr>
      <w:r w:rsidRPr="005D0FEA">
        <w:rPr>
          <w:rFonts w:ascii="Times New Roman" w:hAnsi="Times New Roman" w:cs="Times New Roman"/>
          <w:color w:val="000000"/>
          <w:w w:val="96"/>
          <w:lang w:val="en-US"/>
        </w:rPr>
        <w:t>(e) The GDP forecasts based on the econometric models of the HFISC.</w:t>
      </w:r>
    </w:p>
    <w:p w14:paraId="0865A953" w14:textId="77777777" w:rsidR="005D0FEA" w:rsidRPr="005D0FEA" w:rsidRDefault="005D0FEA" w:rsidP="005D0FEA">
      <w:pPr>
        <w:spacing w:after="60" w:line="276" w:lineRule="auto"/>
        <w:rPr>
          <w:rFonts w:ascii="Times New Roman" w:eastAsia="Arial" w:hAnsi="Times New Roman" w:cs="Times New Roman"/>
          <w:b/>
          <w:color w:val="0070C0"/>
          <w:sz w:val="24"/>
          <w:lang w:val="en-US"/>
        </w:rPr>
      </w:pPr>
      <w:r w:rsidRPr="005D0FEA">
        <w:rPr>
          <w:rFonts w:ascii="Times New Roman" w:eastAsia="Arial" w:hAnsi="Times New Roman" w:cs="Times New Roman"/>
          <w:b/>
          <w:color w:val="0070C0"/>
          <w:sz w:val="24"/>
          <w:lang w:val="en-US"/>
        </w:rPr>
        <w:t xml:space="preserve">Macroeconomic forecasts </w:t>
      </w:r>
    </w:p>
    <w:p w14:paraId="3F1D845C" w14:textId="77777777" w:rsidR="005D0FEA" w:rsidRPr="005D0FEA" w:rsidRDefault="005D0FEA" w:rsidP="005D0FEA">
      <w:pPr>
        <w:spacing w:after="240" w:line="276" w:lineRule="auto"/>
        <w:rPr>
          <w:rFonts w:ascii="Times New Roman" w:eastAsia="Times New Roman" w:hAnsi="Times New Roman" w:cs="Times New Roman"/>
          <w:w w:val="97"/>
          <w:kern w:val="23"/>
          <w:lang w:val="en-US"/>
        </w:rPr>
      </w:pPr>
      <w:r w:rsidRPr="005D0FEA">
        <w:rPr>
          <w:rFonts w:ascii="Times New Roman" w:hAnsi="Times New Roman" w:cs="Times New Roman"/>
          <w:w w:val="97"/>
          <w:kern w:val="23"/>
          <w:lang w:val="en-US"/>
        </w:rPr>
        <w:t xml:space="preserve">The macroeconomic forecasts of the MinFin, for the real GDP growth rate in 2025 (2.2%) on which the DBP 2026 is based are aligned with those of the HFISC (see, Figure 1). HFISC projects GDP growth of 2.2% this year, driven by strong investment from EU-funded programs and solid momentum in private consumption supported by favorable employment and disposable income growth. It is worth noting that HFISC’s forecast for 2025 was revised downward from 2.35% in the July 2025 bi-annual report, along with MinFin, reflecting greater caution over external uncertainties and inflation pressures (see, Figure 2). The adjustment mainly stemmed from tariff concerns, a Eurozone growth slowdown that could weigh on Greek exports and the wider economy, and weaker-than-projected Q2 2025 data (1.7% year-over-year, y-o-y GDP growth). Despite the above, </w:t>
      </w:r>
      <w:r w:rsidRPr="005D0FEA">
        <w:rPr>
          <w:rFonts w:ascii="Times New Roman" w:eastAsia="Times New Roman" w:hAnsi="Times New Roman" w:cs="Times New Roman"/>
          <w:w w:val="97"/>
          <w:kern w:val="23"/>
          <w:lang w:val="en-US"/>
        </w:rPr>
        <w:t xml:space="preserve">Greece is expected to maintain a growth rate well above the euro area average: according to the EC’s Spring Forecast 2025, euro area growth is projected at 0.9%, with the first half of 2025 slightly weaker at 0.7% y-o-y. </w:t>
      </w:r>
    </w:p>
    <w:p w14:paraId="6A6B8188" w14:textId="77777777" w:rsidR="005D0FEA" w:rsidRPr="005D0FEA" w:rsidRDefault="005D0FEA" w:rsidP="005D0FEA">
      <w:pPr>
        <w:spacing w:after="120" w:line="276" w:lineRule="auto"/>
        <w:rPr>
          <w:rFonts w:ascii="Times New Roman" w:hAnsi="Times New Roman" w:cs="Times New Roman"/>
          <w:w w:val="97"/>
          <w:kern w:val="23"/>
          <w:lang w:val="en-US"/>
        </w:rPr>
      </w:pPr>
      <w:r w:rsidRPr="005D0FEA">
        <w:rPr>
          <w:rFonts w:ascii="Times New Roman" w:hAnsi="Times New Roman" w:cs="Times New Roman"/>
          <w:w w:val="97"/>
          <w:kern w:val="23"/>
          <w:lang w:val="en-US"/>
        </w:rPr>
        <w:t xml:space="preserve">For 2026, HFISC projects a 2.3% growth rate, within a wider range of uncertainty due to geopolitical tensions, and other vulnerabilities stemming from external shocks, with the DBP forecast at 2.4% sitting at the upper end of HFISC’s range (see, Figure 1). The DBP has revised the expected GDP growth for 2026 upward, to 2.4% from 2.0% (APR, April 2025) following the growth-friendly tax reform designed to stimulate economic activity, continued resilience in investment levels, and steady financial support from the Recovery Funds (see, Figure 2). All the above are expected to boost various sectors of the economy and enhance the overall economic outlook for Greece, though HFISC weighs uncertainties more heavily which is reflected in their more conservative growth projections. </w:t>
      </w:r>
    </w:p>
    <w:tbl>
      <w:tblPr>
        <w:tblW w:w="8967" w:type="dxa"/>
        <w:tblInd w:w="-9" w:type="dxa"/>
        <w:tblLook w:val="0000" w:firstRow="0" w:lastRow="0" w:firstColumn="0" w:lastColumn="0" w:noHBand="0" w:noVBand="0"/>
      </w:tblPr>
      <w:tblGrid>
        <w:gridCol w:w="4637"/>
        <w:gridCol w:w="4476"/>
      </w:tblGrid>
      <w:tr w:rsidR="005D0FEA" w:rsidRPr="00C14AE5" w14:paraId="0C39AD1C" w14:textId="77777777" w:rsidTr="00971CFD">
        <w:trPr>
          <w:trHeight w:val="822"/>
        </w:trPr>
        <w:tc>
          <w:tcPr>
            <w:tcW w:w="8745" w:type="dxa"/>
          </w:tcPr>
          <w:p w14:paraId="39551C84" w14:textId="77777777" w:rsidR="005D0FEA" w:rsidRPr="005D0FEA" w:rsidRDefault="005D0FEA" w:rsidP="005D0FEA">
            <w:pPr>
              <w:spacing w:after="120"/>
              <w:rPr>
                <w:rFonts w:ascii="Times New Roman" w:hAnsi="Times New Roman" w:cs="Times New Roman"/>
                <w:highlight w:val="yellow"/>
                <w:lang w:val="en-US"/>
              </w:rPr>
            </w:pPr>
            <w:r w:rsidRPr="005D0FEA">
              <w:rPr>
                <w:rFonts w:ascii="Times New Roman" w:hAnsi="Times New Roman" w:cs="Times New Roman"/>
                <w:bCs/>
                <w:lang w:val="en-US"/>
              </w:rPr>
              <w:t>Figure 1:</w:t>
            </w:r>
            <w:r w:rsidRPr="005D0FEA">
              <w:rPr>
                <w:rFonts w:ascii="Times New Roman" w:hAnsi="Times New Roman" w:cs="Times New Roman"/>
                <w:b/>
                <w:bCs/>
                <w:lang w:val="en-US"/>
              </w:rPr>
              <w:t xml:space="preserve"> </w:t>
            </w:r>
            <w:r w:rsidRPr="005D0FEA">
              <w:rPr>
                <w:rFonts w:ascii="Times New Roman" w:hAnsi="Times New Roman" w:cs="Times New Roman"/>
                <w:lang w:val="en-US"/>
              </w:rPr>
              <w:t>2025 &amp; 2026, HFISC</w:t>
            </w:r>
            <w:r w:rsidRPr="005D0FEA">
              <w:rPr>
                <w:rFonts w:ascii="Times New Roman" w:hAnsi="Times New Roman" w:cs="Times New Roman"/>
                <w:b/>
                <w:bCs/>
                <w:lang w:val="en-US"/>
              </w:rPr>
              <w:t xml:space="preserve"> </w:t>
            </w:r>
            <w:r w:rsidRPr="005D0FEA">
              <w:rPr>
                <w:rFonts w:ascii="Times New Roman" w:hAnsi="Times New Roman" w:cs="Times New Roman"/>
                <w:lang w:val="en-US"/>
              </w:rPr>
              <w:t>real GDP growth rate forecasts</w:t>
            </w:r>
          </w:p>
        </w:tc>
        <w:tc>
          <w:tcPr>
            <w:tcW w:w="222" w:type="dxa"/>
          </w:tcPr>
          <w:p w14:paraId="1133D331" w14:textId="77777777" w:rsidR="005D0FEA" w:rsidRPr="005D0FEA" w:rsidRDefault="005D0FEA" w:rsidP="005D0FEA">
            <w:pPr>
              <w:spacing w:after="120"/>
              <w:rPr>
                <w:rFonts w:ascii="Times New Roman" w:hAnsi="Times New Roman" w:cs="Times New Roman"/>
                <w:bCs/>
                <w:highlight w:val="yellow"/>
                <w:lang w:val="en-US"/>
              </w:rPr>
            </w:pPr>
            <w:r w:rsidRPr="005D0FEA">
              <w:rPr>
                <w:rFonts w:ascii="Times New Roman" w:hAnsi="Times New Roman" w:cs="Times New Roman"/>
                <w:lang w:val="en-US"/>
              </w:rPr>
              <w:t>Figure 2:</w:t>
            </w:r>
            <w:r w:rsidRPr="005D0FEA">
              <w:rPr>
                <w:rFonts w:ascii="Times New Roman" w:hAnsi="Times New Roman" w:cs="Times New Roman"/>
                <w:b/>
                <w:lang w:val="en-US"/>
              </w:rPr>
              <w:t xml:space="preserve"> </w:t>
            </w:r>
            <w:r w:rsidRPr="005D0FEA">
              <w:rPr>
                <w:rFonts w:ascii="Times New Roman" w:hAnsi="Times New Roman" w:cs="Times New Roman"/>
                <w:lang w:val="en-US"/>
              </w:rPr>
              <w:t>2024-2026, real GDP growth rate projections, MinFin</w:t>
            </w:r>
          </w:p>
        </w:tc>
      </w:tr>
      <w:tr w:rsidR="005D0FEA" w:rsidRPr="003A7200" w14:paraId="07889100" w14:textId="77777777" w:rsidTr="00971CFD">
        <w:trPr>
          <w:trHeight w:val="1638"/>
        </w:trPr>
        <w:tc>
          <w:tcPr>
            <w:tcW w:w="8745" w:type="dxa"/>
          </w:tcPr>
          <w:p w14:paraId="1BB2C864" w14:textId="77777777" w:rsidR="005D0FEA" w:rsidRPr="003672EC" w:rsidRDefault="005D0FEA" w:rsidP="00971CFD">
            <w:pPr>
              <w:spacing w:before="100" w:beforeAutospacing="1" w:after="100" w:afterAutospacing="1" w:line="276" w:lineRule="auto"/>
              <w:rPr>
                <w:rFonts w:ascii="Times New Roman" w:eastAsia="Times New Roman" w:hAnsi="Times New Roman" w:cs="Times New Roman"/>
                <w:sz w:val="24"/>
                <w:szCs w:val="24"/>
              </w:rPr>
            </w:pPr>
            <w:r w:rsidRPr="00A61795">
              <w:rPr>
                <w:rFonts w:ascii="Times New Roman" w:eastAsia="Times New Roman" w:hAnsi="Times New Roman" w:cs="Times New Roman"/>
                <w:noProof/>
                <w:sz w:val="24"/>
                <w:szCs w:val="24"/>
              </w:rPr>
              <w:drawing>
                <wp:inline distT="0" distB="0" distL="0" distR="0" wp14:anchorId="4FC6E967" wp14:editId="1CF4F275">
                  <wp:extent cx="2807667" cy="2346784"/>
                  <wp:effectExtent l="0" t="0" r="0" b="0"/>
                  <wp:docPr id="14" name="Εικόνα 3" descr="C:\Users\koliousi\AppData\Local\Microsoft\Windows\INetCache\Content.Outlook\LMLXJ2S0\FIG 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liousi\AppData\Local\Microsoft\Windows\INetCache\Content.Outlook\LMLXJ2S0\FIG 1 (00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97782" cy="2422107"/>
                          </a:xfrm>
                          <a:prstGeom prst="rect">
                            <a:avLst/>
                          </a:prstGeom>
                          <a:noFill/>
                          <a:ln>
                            <a:noFill/>
                          </a:ln>
                        </pic:spPr>
                      </pic:pic>
                    </a:graphicData>
                  </a:graphic>
                </wp:inline>
              </w:drawing>
            </w:r>
          </w:p>
        </w:tc>
        <w:tc>
          <w:tcPr>
            <w:tcW w:w="222" w:type="dxa"/>
          </w:tcPr>
          <w:p w14:paraId="34BE672A" w14:textId="77777777" w:rsidR="005D0FEA" w:rsidRPr="00FD4405" w:rsidRDefault="005D0FEA" w:rsidP="00971CFD">
            <w:pPr>
              <w:spacing w:line="276" w:lineRule="auto"/>
              <w:jc w:val="center"/>
              <w:rPr>
                <w:rFonts w:ascii="Times New Roman" w:hAnsi="Times New Roman" w:cs="Times New Roman"/>
                <w:noProof/>
                <w:highlight w:val="yellow"/>
              </w:rPr>
            </w:pPr>
            <w:r>
              <w:rPr>
                <w:rFonts w:ascii="Times New Roman" w:hAnsi="Times New Roman" w:cs="Times New Roman"/>
                <w:noProof/>
              </w:rPr>
              <w:drawing>
                <wp:inline distT="0" distB="0" distL="0" distR="0" wp14:anchorId="7C062467" wp14:editId="12AF8293">
                  <wp:extent cx="2699057" cy="2172970"/>
                  <wp:effectExtent l="0" t="0" r="635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 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41923" cy="2207481"/>
                          </a:xfrm>
                          <a:prstGeom prst="rect">
                            <a:avLst/>
                          </a:prstGeom>
                        </pic:spPr>
                      </pic:pic>
                    </a:graphicData>
                  </a:graphic>
                </wp:inline>
              </w:drawing>
            </w:r>
          </w:p>
        </w:tc>
      </w:tr>
      <w:tr w:rsidR="005D0FEA" w:rsidRPr="0082303E" w14:paraId="449A5686" w14:textId="77777777" w:rsidTr="00971CFD">
        <w:trPr>
          <w:trHeight w:val="660"/>
        </w:trPr>
        <w:tc>
          <w:tcPr>
            <w:tcW w:w="8745" w:type="dxa"/>
          </w:tcPr>
          <w:p w14:paraId="1D2F5F34" w14:textId="77777777" w:rsidR="005D0FEA" w:rsidRPr="005D0FEA" w:rsidRDefault="005D0FEA" w:rsidP="00971CFD">
            <w:pPr>
              <w:rPr>
                <w:rFonts w:ascii="Times New Roman" w:hAnsi="Times New Roman" w:cs="Times New Roman"/>
                <w:sz w:val="20"/>
                <w:highlight w:val="yellow"/>
                <w:lang w:val="en-US"/>
              </w:rPr>
            </w:pPr>
            <w:r w:rsidRPr="005D0FEA">
              <w:rPr>
                <w:rFonts w:ascii="Times New Roman" w:hAnsi="Times New Roman" w:cs="Times New Roman"/>
                <w:bCs/>
                <w:sz w:val="18"/>
                <w:lang w:val="en-US"/>
              </w:rPr>
              <w:t>Source:</w:t>
            </w:r>
            <w:r w:rsidRPr="005D0FEA">
              <w:rPr>
                <w:rFonts w:ascii="Times New Roman" w:hAnsi="Times New Roman" w:cs="Times New Roman"/>
                <w:sz w:val="18"/>
                <w:lang w:val="en-US"/>
              </w:rPr>
              <w:t xml:space="preserve"> Econometric forecasting models of HFISC.</w:t>
            </w:r>
          </w:p>
        </w:tc>
        <w:tc>
          <w:tcPr>
            <w:tcW w:w="222" w:type="dxa"/>
          </w:tcPr>
          <w:p w14:paraId="3D641C31" w14:textId="77777777" w:rsidR="005D0FEA" w:rsidRPr="0082303E" w:rsidRDefault="005D0FEA" w:rsidP="00971CFD">
            <w:pPr>
              <w:rPr>
                <w:rFonts w:ascii="Times New Roman" w:hAnsi="Times New Roman" w:cs="Times New Roman"/>
                <w:sz w:val="18"/>
                <w:lang w:val="en-US"/>
              </w:rPr>
            </w:pPr>
            <w:r w:rsidRPr="005D0FEA">
              <w:rPr>
                <w:rFonts w:ascii="Times New Roman" w:hAnsi="Times New Roman" w:cs="Times New Roman"/>
                <w:sz w:val="18"/>
                <w:lang w:val="en-US"/>
              </w:rPr>
              <w:t xml:space="preserve">Sources: Ministry of Economy and Finance (MinFin): 1. State Budget 2025 (SB, November 2024) 2. Annual Progress Report 2025 (APR, April 2025) 3. </w:t>
            </w:r>
            <w:r w:rsidRPr="0082303E">
              <w:rPr>
                <w:rFonts w:ascii="Times New Roman" w:hAnsi="Times New Roman" w:cs="Times New Roman"/>
                <w:sz w:val="18"/>
                <w:lang w:val="en-US"/>
              </w:rPr>
              <w:t>Draft Budgetary Plan 2026 (DBP, October 2025), HFISC data processing.</w:t>
            </w:r>
          </w:p>
        </w:tc>
      </w:tr>
    </w:tbl>
    <w:p w14:paraId="6FF61A89" w14:textId="77777777" w:rsidR="005D0FEA" w:rsidRPr="005D0FEA" w:rsidRDefault="005D0FEA" w:rsidP="005D0FEA">
      <w:pPr>
        <w:spacing w:before="240" w:after="120"/>
        <w:rPr>
          <w:lang w:val="en-US"/>
        </w:rPr>
      </w:pPr>
      <w:r w:rsidRPr="005D0FEA">
        <w:rPr>
          <w:rFonts w:ascii="Times New Roman" w:hAnsi="Times New Roman" w:cs="Times New Roman"/>
          <w:lang w:val="en-US"/>
        </w:rPr>
        <w:t>DBP 2026 growth projections are supported by forecasts from international and national institutions (see, Figure 3). For 2025, most institutions expect GDP growth for Greece at around 2.2% pointing to a favorable outlook, but with balanced risks that justifies though more modest growth estimates compared to previous higher projections. Specially, ELSTAT reported a y-o-y GDP growth 2.0% in the first half of 2025, while the Bank of Greece (BoG, June 2025) and the EC (Spring Forecasts, May 2025) are slightly more optimistic for the whole year at 2.3%, confirming solid momentum consistent with these forecasts. In constant, the International Monetary Fund (IMF, April 2025) and the Organization of Economic Co-operation and Development (OECD, May 2025) forecast a growth of 2.0%, emphasizing broader fiscal challenges across Europe and heightened uncertainty surrounding geopolitical and economic stability.</w:t>
      </w:r>
      <w:r w:rsidRPr="005D0FEA">
        <w:rPr>
          <w:rFonts w:ascii="Times New Roman" w:eastAsia="Times New Roman" w:hAnsi="Times New Roman" w:cs="Times New Roman"/>
          <w:b/>
          <w:lang w:val="en-US"/>
        </w:rPr>
        <w:t xml:space="preserve"> </w:t>
      </w:r>
      <w:r w:rsidRPr="005D0FEA">
        <w:rPr>
          <w:rFonts w:ascii="Times New Roman" w:hAnsi="Times New Roman" w:cs="Times New Roman"/>
          <w:lang w:val="en-US"/>
        </w:rPr>
        <w:t>Collectively, these assessments affirm the solid momentum behind the MinFin’s projections, which align with international forecasts.</w:t>
      </w:r>
    </w:p>
    <w:p w14:paraId="4F64DB07" w14:textId="77777777" w:rsidR="005D0FEA" w:rsidRPr="005D0FEA" w:rsidRDefault="005D0FEA" w:rsidP="00480AD9">
      <w:pPr>
        <w:spacing w:after="120"/>
        <w:rPr>
          <w:rFonts w:ascii="Times New Roman" w:hAnsi="Times New Roman" w:cs="Times New Roman"/>
          <w:lang w:val="en-US"/>
        </w:rPr>
      </w:pPr>
      <w:r w:rsidRPr="005D0FEA">
        <w:rPr>
          <w:rFonts w:ascii="Times New Roman" w:hAnsi="Times New Roman" w:cs="Times New Roman"/>
          <w:lang w:val="en-US"/>
        </w:rPr>
        <w:t>For 2026, the expected growth rates reflect not only how each organization weighs uncertainties, such as the fiscal challenges across Europe and geopolitical risks, but also the fact that more recent data, not yet incorporated into these forecasts, could potentially lead to a revised growth outlook. More specifically, the EC (May 2025) projects growth at 2.2% and the OECD (June 2025) at 2.1%, while the BoG (June 2025) anticipates 2.0%. The IMF (April 2025) remains the most conservative, forecasting only 1.8% growth.</w:t>
      </w:r>
    </w:p>
    <w:p w14:paraId="6B336CB0" w14:textId="77777777" w:rsidR="005D0FEA" w:rsidRPr="005D0FEA" w:rsidRDefault="005D0FEA" w:rsidP="00480AD9">
      <w:pPr>
        <w:rPr>
          <w:rFonts w:ascii="Times New Roman" w:hAnsi="Times New Roman" w:cs="Times New Roman"/>
          <w:lang w:val="en-US"/>
        </w:rPr>
      </w:pPr>
      <w:r w:rsidRPr="005D0FEA">
        <w:rPr>
          <w:rFonts w:ascii="Times New Roman" w:hAnsi="Times New Roman" w:cs="Times New Roman"/>
          <w:lang w:val="en-US"/>
        </w:rPr>
        <w:t>Overall, the convergence of forecasts suggests that Greece's economic growth remains robust, though slightly tempered for 2025 compared to earlier, more optimistic estimates. A solid growth outlook is expected for 2026, but it occurs against a backdrop of geopolitical tensions, fluctuations in global markets, and broader fiscal challenges within Europe</w:t>
      </w:r>
      <w:r w:rsidRPr="005D0FEA">
        <w:rPr>
          <w:rFonts w:ascii="Times New Roman" w:hAnsi="Times New Roman" w:cs="Times New Roman"/>
          <w:b/>
          <w:bCs/>
          <w:lang w:val="en-US"/>
        </w:rPr>
        <w:t xml:space="preserve">. </w:t>
      </w:r>
    </w:p>
    <w:p w14:paraId="2EDD9147" w14:textId="77777777" w:rsidR="005D0FEA" w:rsidRPr="005D0FEA" w:rsidRDefault="005D0FEA" w:rsidP="00480AD9">
      <w:pPr>
        <w:spacing w:before="120" w:after="120" w:line="276" w:lineRule="auto"/>
        <w:rPr>
          <w:rFonts w:ascii="Times New Roman" w:hAnsi="Times New Roman" w:cs="Times New Roman"/>
          <w:sz w:val="20"/>
          <w:lang w:val="en-US"/>
        </w:rPr>
      </w:pPr>
      <w:r w:rsidRPr="005D0FEA">
        <w:rPr>
          <w:rFonts w:ascii="Times New Roman" w:hAnsi="Times New Roman" w:cs="Times New Roman"/>
          <w:bCs/>
          <w:sz w:val="20"/>
          <w:lang w:val="en-US"/>
        </w:rPr>
        <w:t>Figure 3</w:t>
      </w:r>
      <w:r w:rsidRPr="005D0FEA">
        <w:rPr>
          <w:rFonts w:ascii="Times New Roman" w:hAnsi="Times New Roman" w:cs="Times New Roman"/>
          <w:b/>
          <w:bCs/>
          <w:sz w:val="20"/>
          <w:lang w:val="en-US"/>
        </w:rPr>
        <w:t xml:space="preserve">: </w:t>
      </w:r>
      <w:r w:rsidRPr="005D0FEA">
        <w:rPr>
          <w:rFonts w:ascii="Times New Roman" w:hAnsi="Times New Roman" w:cs="Times New Roman"/>
          <w:sz w:val="20"/>
          <w:lang w:val="en-US"/>
        </w:rPr>
        <w:t>2025 &amp; 2026, a comparison of GDP growth rate projections (y-o-y)</w:t>
      </w:r>
    </w:p>
    <w:p w14:paraId="051B15A8" w14:textId="77777777" w:rsidR="005D0FEA" w:rsidRDefault="005D0FEA" w:rsidP="00480AD9">
      <w:pPr>
        <w:spacing w:after="120" w:line="276" w:lineRule="auto"/>
        <w:jc w:val="center"/>
        <w:rPr>
          <w:rFonts w:ascii="Times New Roman" w:hAnsi="Times New Roman" w:cs="Times New Roman"/>
        </w:rPr>
      </w:pPr>
      <w:r>
        <w:rPr>
          <w:rFonts w:ascii="Times New Roman" w:hAnsi="Times New Roman" w:cs="Times New Roman"/>
          <w:noProof/>
        </w:rPr>
        <w:drawing>
          <wp:inline distT="0" distB="0" distL="0" distR="0" wp14:anchorId="7230FE51" wp14:editId="5C995D1D">
            <wp:extent cx="4403705" cy="2260614"/>
            <wp:effectExtent l="0" t="0" r="0" b="635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 3.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453185" cy="2286014"/>
                    </a:xfrm>
                    <a:prstGeom prst="rect">
                      <a:avLst/>
                    </a:prstGeom>
                  </pic:spPr>
                </pic:pic>
              </a:graphicData>
            </a:graphic>
          </wp:inline>
        </w:drawing>
      </w:r>
    </w:p>
    <w:p w14:paraId="7B1A7EBB" w14:textId="77777777" w:rsidR="005D0FEA" w:rsidRPr="005D0FEA" w:rsidRDefault="005D0FEA" w:rsidP="00480AD9">
      <w:pPr>
        <w:spacing w:before="120"/>
        <w:rPr>
          <w:rFonts w:ascii="Times New Roman" w:hAnsi="Times New Roman" w:cs="Times New Roman"/>
          <w:sz w:val="18"/>
          <w:lang w:val="en-US"/>
        </w:rPr>
      </w:pPr>
      <w:r w:rsidRPr="005D0FEA">
        <w:rPr>
          <w:rFonts w:ascii="Times New Roman" w:hAnsi="Times New Roman" w:cs="Times New Roman"/>
          <w:bCs/>
          <w:sz w:val="18"/>
          <w:lang w:val="en-US"/>
        </w:rPr>
        <w:t xml:space="preserve">Sources: </w:t>
      </w:r>
      <w:r w:rsidRPr="005D0FEA">
        <w:rPr>
          <w:rFonts w:ascii="Times New Roman" w:hAnsi="Times New Roman" w:cs="Times New Roman"/>
          <w:sz w:val="18"/>
          <w:lang w:val="en-US"/>
        </w:rPr>
        <w:t>1. IMF, World Economic Outlook (April 2025), 2. EC, European Economic Forecast (May 2025), 3. OECD Economic Outlook, Vol. 2025, No 117 (May 2025), 4. BoG, Monetary Policy Report 2024-2025 (June 2025), 5. HFISC (October 2025), 6. MinFin (October 2025).</w:t>
      </w:r>
    </w:p>
    <w:p w14:paraId="4911E810" w14:textId="77777777" w:rsidR="005D0FEA" w:rsidRPr="005D0FEA" w:rsidRDefault="005D0FEA" w:rsidP="00480AD9">
      <w:pPr>
        <w:spacing w:before="120" w:after="120" w:line="252" w:lineRule="auto"/>
        <w:rPr>
          <w:rFonts w:ascii="Times New Roman" w:hAnsi="Times New Roman" w:cs="Times New Roman"/>
          <w:lang w:val="en-US"/>
        </w:rPr>
      </w:pPr>
      <w:r w:rsidRPr="005D0FEA">
        <w:rPr>
          <w:rFonts w:ascii="Times New Roman" w:hAnsi="Times New Roman" w:cs="Times New Roman"/>
          <w:lang w:val="en-US"/>
        </w:rPr>
        <w:t>According to the macroeconomic scenario underpinning the DBP 2026, growth in 2025 and 2026 will be driven mainly by higher investment and strong private consumption, supported by recent tax relief measures, substantial funding from the Recovery and Resilience Facility (RRF), and favorable labor market conditions.</w:t>
      </w:r>
    </w:p>
    <w:p w14:paraId="4F009B82" w14:textId="77777777" w:rsidR="005D0FEA" w:rsidRPr="005D0FEA" w:rsidRDefault="005D0FEA" w:rsidP="00480AD9">
      <w:pPr>
        <w:spacing w:after="120" w:line="252" w:lineRule="auto"/>
        <w:rPr>
          <w:rFonts w:ascii="Times New Roman" w:hAnsi="Times New Roman" w:cs="Times New Roman"/>
          <w:lang w:val="en-US"/>
        </w:rPr>
      </w:pPr>
      <w:r w:rsidRPr="005D0FEA">
        <w:rPr>
          <w:rFonts w:ascii="Times New Roman" w:hAnsi="Times New Roman" w:cs="Times New Roman"/>
          <w:lang w:val="en-US"/>
        </w:rPr>
        <w:t>In more detail, private consumption is expected to remain robust, with projected growth rates of 1.9% in 2025 and 1.7% in 2026, despite a y-o-y increase of 1.5% in the first half of 2025, reflecting the stabilization of disposable income (see, Table 1). As private consumption constitutes the largest component of GDP, this helps explain the recent upward revisions in growth forecasts. Public consumption in the first half of 2025 was broadly in line with 2024 levels, indicating a contained fiscal stance. For the whole year 2025, it is projected to increase by 1.4%, followed by a 0.7% rise in 2026, mainly reflecting already announced fiscal initiatives.</w:t>
      </w:r>
    </w:p>
    <w:p w14:paraId="655AA111" w14:textId="40E874D3" w:rsidR="005D0FEA" w:rsidRPr="00480AD9" w:rsidRDefault="005D0FEA" w:rsidP="00480AD9">
      <w:pPr>
        <w:spacing w:after="120" w:line="252" w:lineRule="auto"/>
        <w:rPr>
          <w:rFonts w:ascii="Times New Roman" w:hAnsi="Times New Roman" w:cs="Times New Roman"/>
          <w:w w:val="106"/>
          <w:kern w:val="26"/>
          <w:lang w:val="en-US"/>
        </w:rPr>
      </w:pPr>
      <w:r w:rsidRPr="00480AD9">
        <w:rPr>
          <w:rFonts w:ascii="Times New Roman" w:hAnsi="Times New Roman" w:cs="Times New Roman"/>
          <w:w w:val="106"/>
          <w:kern w:val="26"/>
          <w:lang w:val="en-US"/>
        </w:rPr>
        <w:t>At the same time, gross fixed capital formation rose by</w:t>
      </w:r>
      <w:r w:rsidR="00480AD9" w:rsidRPr="00480AD9">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 xml:space="preserve">2.1% in the first semester of 2025, with further increases to be projected at 5.7% for the whole year and 10.2% for 2026. </w:t>
      </w:r>
      <w:r w:rsidR="00480AD9" w:rsidRPr="00480AD9">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 xml:space="preserve">The significant increase in gross fixed capital formation from 2025 to 2026 primarily </w:t>
      </w:r>
      <w:r w:rsidR="00480AD9" w:rsidRPr="00480AD9">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 xml:space="preserve">reflects investment projects financed through the </w:t>
      </w:r>
      <w:r w:rsidR="00480AD9" w:rsidRPr="00480AD9">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 xml:space="preserve">RRF, many of which are expected to reach their implementation peak in 2026. In particular, investment in fixed capital </w:t>
      </w:r>
      <w:r w:rsidR="00480AD9" w:rsidRPr="00480AD9">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 xml:space="preserve">(e.g. machinery, infrastructure) </w:t>
      </w:r>
      <w:r w:rsidR="00480AD9" w:rsidRPr="00480AD9">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 xml:space="preserve">is particularly important, as it strengthens the country's </w:t>
      </w:r>
      <w:r w:rsidR="001775DE">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 xml:space="preserve">long-term productive capacity. As of June 2025, the amount of grants and loans disbursed so far under RRF to the Greek economy is </w:t>
      </w:r>
      <w:r w:rsidR="00480AD9" w:rsidRPr="00480AD9">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 xml:space="preserve">€21.34 billion out of the €35.95 billion </w:t>
      </w:r>
      <w:r w:rsidR="001775DE">
        <w:rPr>
          <w:rFonts w:ascii="Times New Roman" w:hAnsi="Times New Roman" w:cs="Times New Roman"/>
          <w:w w:val="106"/>
          <w:kern w:val="26"/>
          <w:lang w:val="en-US"/>
        </w:rPr>
        <w:t xml:space="preserve"> </w:t>
      </w:r>
      <w:r w:rsidRPr="00480AD9">
        <w:rPr>
          <w:rFonts w:ascii="Times New Roman" w:hAnsi="Times New Roman" w:cs="Times New Roman"/>
          <w:w w:val="106"/>
          <w:kern w:val="26"/>
          <w:lang w:val="en-US"/>
        </w:rPr>
        <w:t>(15.96% as a share of GDP).</w:t>
      </w:r>
      <w:r w:rsidRPr="00480AD9">
        <w:rPr>
          <w:rFonts w:ascii="Times New Roman" w:hAnsi="Times New Roman" w:cs="Times New Roman"/>
          <w:w w:val="106"/>
          <w:kern w:val="26"/>
          <w:vertAlign w:val="superscript"/>
        </w:rPr>
        <w:footnoteReference w:id="11"/>
      </w:r>
      <w:r w:rsidRPr="00480AD9">
        <w:rPr>
          <w:rFonts w:ascii="Times New Roman" w:hAnsi="Times New Roman" w:cs="Times New Roman"/>
          <w:w w:val="106"/>
          <w:kern w:val="26"/>
          <w:lang w:val="en-US"/>
        </w:rPr>
        <w:t xml:space="preserve"> It is important to maintain the pace of RRF fund absorption, while carefully assessing the quality of funded investments to ensure their efficiency and multiplier effect on the economy. Overall, investment remains a key factor in achieving the new economic scenario, with particular emphasis on RRF. </w:t>
      </w:r>
    </w:p>
    <w:p w14:paraId="60E1F705" w14:textId="77777777" w:rsidR="005D0FEA" w:rsidRPr="005D0FEA" w:rsidRDefault="005D0FEA" w:rsidP="005D0FEA">
      <w:pPr>
        <w:spacing w:after="360" w:line="276" w:lineRule="auto"/>
        <w:rPr>
          <w:rFonts w:ascii="Times New Roman" w:hAnsi="Times New Roman" w:cs="Times New Roman"/>
          <w:lang w:val="en-US"/>
        </w:rPr>
      </w:pPr>
      <w:r w:rsidRPr="005D0FEA">
        <w:rPr>
          <w:rFonts w:ascii="Times New Roman" w:hAnsi="Times New Roman" w:cs="Times New Roman"/>
          <w:lang w:val="en-US"/>
        </w:rPr>
        <w:t xml:space="preserve">The current account deficit is projected to narrow in 2025 but to widen again in 2026, reflecting expected pressures from higher imports mainly driven by increased investment activity. Despite the slight improvement observed in the first half of 2025, the current account remains a structural concern for the Greek economy. </w:t>
      </w:r>
    </w:p>
    <w:p w14:paraId="57CE5F98" w14:textId="77777777" w:rsidR="005D0FEA" w:rsidRPr="005D0FEA" w:rsidRDefault="005D0FEA" w:rsidP="005D0FEA">
      <w:pPr>
        <w:spacing w:after="120" w:line="276" w:lineRule="auto"/>
        <w:rPr>
          <w:rFonts w:ascii="Times New Roman" w:hAnsi="Times New Roman" w:cs="Times New Roman"/>
          <w:sz w:val="20"/>
          <w:lang w:val="en-US"/>
        </w:rPr>
      </w:pPr>
      <w:r w:rsidRPr="005D0FEA">
        <w:rPr>
          <w:rFonts w:ascii="Times New Roman" w:hAnsi="Times New Roman" w:cs="Times New Roman"/>
          <w:sz w:val="20"/>
          <w:lang w:val="en-US"/>
        </w:rPr>
        <w:t>Table 1: 2025 &amp; 2026, Key macroeconomic indicators forecasts (% change y-o-y, constant 2020 prices)</w:t>
      </w:r>
    </w:p>
    <w:tbl>
      <w:tblPr>
        <w:tblStyle w:val="TableGrid"/>
        <w:tblW w:w="7087" w:type="dxa"/>
        <w:jc w:val="center"/>
        <w:tblInd w:w="0" w:type="dxa"/>
        <w:tblCellMar>
          <w:top w:w="79" w:type="dxa"/>
          <w:left w:w="80" w:type="dxa"/>
          <w:right w:w="81" w:type="dxa"/>
        </w:tblCellMar>
        <w:tblLook w:val="04A0" w:firstRow="1" w:lastRow="0" w:firstColumn="1" w:lastColumn="0" w:noHBand="0" w:noVBand="1"/>
      </w:tblPr>
      <w:tblGrid>
        <w:gridCol w:w="2426"/>
        <w:gridCol w:w="1684"/>
        <w:gridCol w:w="1418"/>
        <w:gridCol w:w="1559"/>
      </w:tblGrid>
      <w:tr w:rsidR="005D0FEA" w:rsidRPr="00054199" w14:paraId="4491D7E1" w14:textId="77777777" w:rsidTr="00971CFD">
        <w:trPr>
          <w:trHeight w:val="391"/>
          <w:jc w:val="center"/>
        </w:trPr>
        <w:tc>
          <w:tcPr>
            <w:tcW w:w="2426" w:type="dxa"/>
            <w:tcBorders>
              <w:top w:val="single" w:sz="6" w:space="0" w:color="000000"/>
              <w:left w:val="single" w:sz="6" w:space="0" w:color="000000"/>
              <w:bottom w:val="single" w:sz="4" w:space="0" w:color="auto"/>
              <w:right w:val="single" w:sz="6" w:space="0" w:color="000000"/>
            </w:tcBorders>
            <w:shd w:val="clear" w:color="auto" w:fill="59C5F5"/>
            <w:vAlign w:val="center"/>
          </w:tcPr>
          <w:p w14:paraId="23362FD3" w14:textId="77777777" w:rsidR="005D0FEA" w:rsidRPr="00671442" w:rsidRDefault="005D0FEA" w:rsidP="00971CFD">
            <w:pPr>
              <w:spacing w:line="276" w:lineRule="auto"/>
              <w:rPr>
                <w:rFonts w:ascii="Times New Roman" w:hAnsi="Times New Roman" w:cs="Times New Roman"/>
                <w:sz w:val="18"/>
                <w:lang w:val="en-US" w:eastAsia="en-US"/>
              </w:rPr>
            </w:pPr>
          </w:p>
        </w:tc>
        <w:tc>
          <w:tcPr>
            <w:tcW w:w="3102" w:type="dxa"/>
            <w:gridSpan w:val="2"/>
            <w:tcBorders>
              <w:top w:val="single" w:sz="6" w:space="0" w:color="000000"/>
              <w:left w:val="single" w:sz="4" w:space="0" w:color="auto"/>
              <w:bottom w:val="single" w:sz="4" w:space="0" w:color="auto"/>
              <w:right w:val="single" w:sz="6" w:space="0" w:color="000000"/>
            </w:tcBorders>
            <w:shd w:val="clear" w:color="auto" w:fill="59C5F5"/>
            <w:vAlign w:val="center"/>
          </w:tcPr>
          <w:p w14:paraId="70D570D0" w14:textId="77777777" w:rsidR="005D0FEA" w:rsidRPr="00671442" w:rsidRDefault="005D0FEA" w:rsidP="00971CFD">
            <w:pPr>
              <w:spacing w:line="276" w:lineRule="auto"/>
              <w:jc w:val="center"/>
              <w:rPr>
                <w:rFonts w:ascii="Times New Roman" w:hAnsi="Times New Roman" w:cs="Times New Roman"/>
                <w:sz w:val="18"/>
                <w:lang w:val="en-US" w:eastAsia="en-US"/>
              </w:rPr>
            </w:pPr>
            <w:r w:rsidRPr="00671442">
              <w:rPr>
                <w:rFonts w:ascii="Times New Roman" w:hAnsi="Times New Roman" w:cs="Times New Roman"/>
                <w:sz w:val="18"/>
                <w:lang w:val="en-US" w:eastAsia="en-US"/>
              </w:rPr>
              <w:t>Draft Budgetary Plan</w:t>
            </w:r>
            <w:r>
              <w:rPr>
                <w:rFonts w:ascii="Times New Roman" w:hAnsi="Times New Roman" w:cs="Times New Roman"/>
                <w:sz w:val="18"/>
                <w:lang w:eastAsia="en-US"/>
              </w:rPr>
              <w:t xml:space="preserve"> </w:t>
            </w:r>
            <w:r w:rsidRPr="00671442">
              <w:rPr>
                <w:rFonts w:ascii="Times New Roman" w:hAnsi="Times New Roman" w:cs="Times New Roman"/>
                <w:sz w:val="18"/>
                <w:lang w:val="en-US" w:eastAsia="en-US"/>
              </w:rPr>
              <w:t>202</w:t>
            </w:r>
            <w:r w:rsidRPr="00671442">
              <w:rPr>
                <w:rFonts w:ascii="Times New Roman" w:hAnsi="Times New Roman" w:cs="Times New Roman"/>
                <w:sz w:val="18"/>
                <w:lang w:eastAsia="en-US"/>
              </w:rPr>
              <w:t>6</w:t>
            </w:r>
          </w:p>
        </w:tc>
        <w:tc>
          <w:tcPr>
            <w:tcW w:w="1559" w:type="dxa"/>
            <w:tcBorders>
              <w:top w:val="single" w:sz="6" w:space="0" w:color="000000"/>
              <w:left w:val="single" w:sz="6" w:space="0" w:color="000000"/>
              <w:bottom w:val="single" w:sz="4" w:space="0" w:color="auto"/>
              <w:right w:val="single" w:sz="6" w:space="0" w:color="000000"/>
            </w:tcBorders>
            <w:shd w:val="clear" w:color="auto" w:fill="59C5F5"/>
            <w:vAlign w:val="center"/>
          </w:tcPr>
          <w:p w14:paraId="4755E07C" w14:textId="77777777" w:rsidR="005D0FEA" w:rsidRPr="00671442" w:rsidRDefault="005D0FEA" w:rsidP="00971CFD">
            <w:pPr>
              <w:spacing w:line="276" w:lineRule="auto"/>
              <w:rPr>
                <w:rFonts w:ascii="Times New Roman" w:hAnsi="Times New Roman" w:cs="Times New Roman"/>
                <w:sz w:val="18"/>
                <w:lang w:eastAsia="en-US"/>
              </w:rPr>
            </w:pPr>
            <w:r w:rsidRPr="00671442">
              <w:rPr>
                <w:rFonts w:ascii="Times New Roman" w:hAnsi="Times New Roman" w:cs="Times New Roman"/>
                <w:sz w:val="18"/>
                <w:lang w:val="en-US" w:eastAsia="en-US"/>
              </w:rPr>
              <w:t>1</w:t>
            </w:r>
            <w:r w:rsidRPr="00671442">
              <w:rPr>
                <w:rFonts w:ascii="Times New Roman" w:hAnsi="Times New Roman" w:cs="Times New Roman"/>
                <w:sz w:val="18"/>
                <w:vertAlign w:val="superscript"/>
                <w:lang w:val="en-US" w:eastAsia="en-US"/>
              </w:rPr>
              <w:t>st</w:t>
            </w:r>
            <w:r w:rsidRPr="00671442">
              <w:rPr>
                <w:rFonts w:ascii="Times New Roman" w:hAnsi="Times New Roman" w:cs="Times New Roman"/>
                <w:sz w:val="18"/>
                <w:lang w:eastAsia="en-US"/>
              </w:rPr>
              <w:t xml:space="preserve"> </w:t>
            </w:r>
            <w:r w:rsidRPr="00671442">
              <w:rPr>
                <w:rFonts w:ascii="Times New Roman" w:hAnsi="Times New Roman" w:cs="Times New Roman"/>
                <w:sz w:val="18"/>
                <w:lang w:val="en-US" w:eastAsia="en-US"/>
              </w:rPr>
              <w:t>Semester</w:t>
            </w:r>
            <w:r>
              <w:rPr>
                <w:rFonts w:ascii="Times New Roman" w:hAnsi="Times New Roman" w:cs="Times New Roman"/>
                <w:sz w:val="18"/>
                <w:lang w:eastAsia="en-US"/>
              </w:rPr>
              <w:t xml:space="preserve"> </w:t>
            </w:r>
            <w:r w:rsidRPr="00671442">
              <w:rPr>
                <w:rFonts w:ascii="Times New Roman" w:hAnsi="Times New Roman" w:cs="Times New Roman"/>
                <w:sz w:val="18"/>
                <w:lang w:eastAsia="en-US"/>
              </w:rPr>
              <w:t>2025</w:t>
            </w:r>
          </w:p>
        </w:tc>
      </w:tr>
      <w:tr w:rsidR="005D0FEA" w:rsidRPr="00054199" w14:paraId="1D808DEF" w14:textId="77777777" w:rsidTr="00971CFD">
        <w:trPr>
          <w:trHeight w:val="323"/>
          <w:jc w:val="center"/>
        </w:trPr>
        <w:tc>
          <w:tcPr>
            <w:tcW w:w="2426" w:type="dxa"/>
            <w:tcBorders>
              <w:top w:val="single" w:sz="4" w:space="0" w:color="auto"/>
              <w:left w:val="single" w:sz="4" w:space="0" w:color="auto"/>
              <w:bottom w:val="single" w:sz="4" w:space="0" w:color="auto"/>
              <w:right w:val="single" w:sz="4" w:space="0" w:color="auto"/>
            </w:tcBorders>
            <w:shd w:val="clear" w:color="auto" w:fill="FDF0E7"/>
            <w:vAlign w:val="center"/>
          </w:tcPr>
          <w:p w14:paraId="2A139C9F" w14:textId="77777777" w:rsidR="005D0FEA" w:rsidRPr="00671442" w:rsidRDefault="005D0FEA" w:rsidP="00971CFD">
            <w:pPr>
              <w:spacing w:line="276" w:lineRule="auto"/>
              <w:rPr>
                <w:rFonts w:ascii="Times New Roman" w:hAnsi="Times New Roman" w:cs="Times New Roman"/>
                <w:sz w:val="18"/>
                <w:lang w:val="en-US" w:eastAsia="en-US"/>
              </w:rPr>
            </w:pPr>
            <w:r w:rsidRPr="00671442">
              <w:rPr>
                <w:rFonts w:ascii="Times New Roman" w:hAnsi="Times New Roman" w:cs="Times New Roman"/>
                <w:sz w:val="18"/>
                <w:lang w:val="en-US" w:eastAsia="en-US"/>
              </w:rPr>
              <w:t>Years</w:t>
            </w:r>
          </w:p>
        </w:tc>
        <w:tc>
          <w:tcPr>
            <w:tcW w:w="1684" w:type="dxa"/>
            <w:tcBorders>
              <w:top w:val="single" w:sz="4" w:space="0" w:color="auto"/>
              <w:left w:val="single" w:sz="4" w:space="0" w:color="auto"/>
              <w:bottom w:val="single" w:sz="4" w:space="0" w:color="auto"/>
              <w:right w:val="single" w:sz="4" w:space="0" w:color="auto"/>
            </w:tcBorders>
            <w:vAlign w:val="center"/>
          </w:tcPr>
          <w:p w14:paraId="4D6C36FC" w14:textId="77777777" w:rsidR="005D0FEA" w:rsidRPr="00671442" w:rsidRDefault="005D0FEA" w:rsidP="00971CFD">
            <w:pPr>
              <w:spacing w:line="276" w:lineRule="auto"/>
              <w:jc w:val="center"/>
              <w:rPr>
                <w:rFonts w:ascii="Times New Roman" w:hAnsi="Times New Roman" w:cs="Times New Roman"/>
                <w:sz w:val="18"/>
                <w:lang w:val="en-US" w:eastAsia="en-US"/>
              </w:rPr>
            </w:pPr>
            <w:r w:rsidRPr="00671442">
              <w:rPr>
                <w:rFonts w:ascii="Times New Roman" w:hAnsi="Times New Roman" w:cs="Times New Roman"/>
                <w:sz w:val="18"/>
                <w:lang w:eastAsia="en-US"/>
              </w:rPr>
              <w:t>202</w:t>
            </w:r>
            <w:r w:rsidRPr="00671442">
              <w:rPr>
                <w:rFonts w:ascii="Times New Roman" w:hAnsi="Times New Roman" w:cs="Times New Roman"/>
                <w:sz w:val="18"/>
                <w:lang w:val="en-US" w:eastAsia="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4B86365E" w14:textId="77777777" w:rsidR="005D0FEA" w:rsidRPr="00671442" w:rsidRDefault="005D0FEA" w:rsidP="00971CFD">
            <w:pPr>
              <w:spacing w:line="276" w:lineRule="auto"/>
              <w:jc w:val="center"/>
              <w:rPr>
                <w:rFonts w:ascii="Times New Roman" w:hAnsi="Times New Roman" w:cs="Times New Roman"/>
                <w:sz w:val="18"/>
                <w:lang w:val="en-US" w:eastAsia="en-US"/>
              </w:rPr>
            </w:pPr>
            <w:r w:rsidRPr="00671442">
              <w:rPr>
                <w:rFonts w:ascii="Times New Roman" w:hAnsi="Times New Roman" w:cs="Times New Roman"/>
                <w:sz w:val="18"/>
                <w:lang w:eastAsia="en-US"/>
              </w:rPr>
              <w:t>202</w:t>
            </w:r>
            <w:r w:rsidRPr="00671442">
              <w:rPr>
                <w:rFonts w:ascii="Times New Roman" w:hAnsi="Times New Roman" w:cs="Times New Roman"/>
                <w:sz w:val="18"/>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76E07F4C"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sz w:val="18"/>
                <w:lang w:eastAsia="en-US"/>
              </w:rPr>
              <w:t>202</w:t>
            </w:r>
            <w:r w:rsidRPr="00671442">
              <w:rPr>
                <w:rFonts w:ascii="Times New Roman" w:hAnsi="Times New Roman" w:cs="Times New Roman"/>
                <w:sz w:val="18"/>
                <w:lang w:val="en-US" w:eastAsia="en-US"/>
              </w:rPr>
              <w:t>5</w:t>
            </w:r>
          </w:p>
        </w:tc>
      </w:tr>
      <w:tr w:rsidR="005D0FEA" w:rsidRPr="00054199" w14:paraId="6CF0E649" w14:textId="77777777" w:rsidTr="00971CFD">
        <w:trPr>
          <w:trHeight w:val="342"/>
          <w:jc w:val="center"/>
        </w:trPr>
        <w:tc>
          <w:tcPr>
            <w:tcW w:w="2426" w:type="dxa"/>
            <w:tcBorders>
              <w:top w:val="single" w:sz="4" w:space="0" w:color="auto"/>
              <w:left w:val="single" w:sz="4" w:space="0" w:color="auto"/>
              <w:bottom w:val="single" w:sz="4" w:space="0" w:color="auto"/>
              <w:right w:val="single" w:sz="4" w:space="0" w:color="auto"/>
            </w:tcBorders>
            <w:shd w:val="clear" w:color="auto" w:fill="FDF0E7"/>
            <w:vAlign w:val="center"/>
          </w:tcPr>
          <w:p w14:paraId="67D1BF19" w14:textId="77777777" w:rsidR="005D0FEA" w:rsidRPr="00671442" w:rsidRDefault="005D0FEA" w:rsidP="00971CFD">
            <w:pPr>
              <w:spacing w:line="276" w:lineRule="auto"/>
              <w:rPr>
                <w:rFonts w:ascii="Times New Roman" w:hAnsi="Times New Roman" w:cs="Times New Roman"/>
                <w:sz w:val="18"/>
                <w:lang w:eastAsia="en-US"/>
              </w:rPr>
            </w:pPr>
            <w:r w:rsidRPr="00671442">
              <w:rPr>
                <w:rFonts w:ascii="Times New Roman" w:hAnsi="Times New Roman" w:cs="Times New Roman"/>
                <w:bCs/>
                <w:sz w:val="18"/>
                <w:lang w:eastAsia="en-US"/>
              </w:rPr>
              <w:t>GDP</w:t>
            </w:r>
          </w:p>
        </w:tc>
        <w:tc>
          <w:tcPr>
            <w:tcW w:w="1684" w:type="dxa"/>
            <w:tcBorders>
              <w:top w:val="single" w:sz="4" w:space="0" w:color="auto"/>
              <w:left w:val="nil"/>
              <w:bottom w:val="single" w:sz="4" w:space="0" w:color="auto"/>
              <w:right w:val="single" w:sz="4" w:space="0" w:color="auto"/>
            </w:tcBorders>
            <w:shd w:val="clear" w:color="auto" w:fill="auto"/>
            <w:vAlign w:val="center"/>
          </w:tcPr>
          <w:p w14:paraId="749D018A"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2</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2%</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50F4B5"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2</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C89B0C"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2</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0%</w:t>
            </w:r>
          </w:p>
        </w:tc>
      </w:tr>
      <w:tr w:rsidR="005D0FEA" w:rsidRPr="00054199" w14:paraId="724200CD" w14:textId="77777777" w:rsidTr="00971CFD">
        <w:trPr>
          <w:trHeight w:val="344"/>
          <w:jc w:val="center"/>
        </w:trPr>
        <w:tc>
          <w:tcPr>
            <w:tcW w:w="2426" w:type="dxa"/>
            <w:tcBorders>
              <w:top w:val="nil"/>
              <w:left w:val="single" w:sz="4" w:space="0" w:color="auto"/>
              <w:bottom w:val="single" w:sz="4" w:space="0" w:color="auto"/>
              <w:right w:val="single" w:sz="4" w:space="0" w:color="auto"/>
            </w:tcBorders>
            <w:shd w:val="clear" w:color="auto" w:fill="FDF0E7"/>
            <w:vAlign w:val="center"/>
          </w:tcPr>
          <w:p w14:paraId="70BF70EF" w14:textId="77777777" w:rsidR="005D0FEA" w:rsidRPr="00671442" w:rsidRDefault="005D0FEA" w:rsidP="00971CFD">
            <w:pPr>
              <w:spacing w:line="276" w:lineRule="auto"/>
              <w:rPr>
                <w:rFonts w:ascii="Times New Roman" w:hAnsi="Times New Roman" w:cs="Times New Roman"/>
                <w:sz w:val="18"/>
                <w:lang w:eastAsia="en-US"/>
              </w:rPr>
            </w:pPr>
            <w:r w:rsidRPr="00671442">
              <w:rPr>
                <w:rFonts w:ascii="Times New Roman" w:hAnsi="Times New Roman" w:cs="Times New Roman"/>
                <w:bCs/>
                <w:sz w:val="18"/>
                <w:lang w:eastAsia="en-US"/>
              </w:rPr>
              <w:t>Private Consumption</w:t>
            </w:r>
          </w:p>
        </w:tc>
        <w:tc>
          <w:tcPr>
            <w:tcW w:w="1684" w:type="dxa"/>
            <w:tcBorders>
              <w:top w:val="nil"/>
              <w:left w:val="nil"/>
              <w:bottom w:val="single" w:sz="4" w:space="0" w:color="auto"/>
              <w:right w:val="single" w:sz="4" w:space="0" w:color="auto"/>
            </w:tcBorders>
            <w:shd w:val="clear" w:color="auto" w:fill="auto"/>
            <w:vAlign w:val="center"/>
          </w:tcPr>
          <w:p w14:paraId="7B5C68BF"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1</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9%</w:t>
            </w:r>
          </w:p>
        </w:tc>
        <w:tc>
          <w:tcPr>
            <w:tcW w:w="1418" w:type="dxa"/>
            <w:tcBorders>
              <w:top w:val="nil"/>
              <w:left w:val="nil"/>
              <w:bottom w:val="single" w:sz="4" w:space="0" w:color="auto"/>
              <w:right w:val="single" w:sz="4" w:space="0" w:color="auto"/>
            </w:tcBorders>
            <w:shd w:val="clear" w:color="auto" w:fill="auto"/>
            <w:vAlign w:val="center"/>
          </w:tcPr>
          <w:p w14:paraId="232B6532"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1</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7%</w:t>
            </w:r>
          </w:p>
        </w:tc>
        <w:tc>
          <w:tcPr>
            <w:tcW w:w="1559" w:type="dxa"/>
            <w:tcBorders>
              <w:top w:val="nil"/>
              <w:left w:val="nil"/>
              <w:bottom w:val="single" w:sz="4" w:space="0" w:color="auto"/>
              <w:right w:val="single" w:sz="4" w:space="0" w:color="auto"/>
            </w:tcBorders>
            <w:shd w:val="clear" w:color="auto" w:fill="auto"/>
            <w:vAlign w:val="center"/>
          </w:tcPr>
          <w:p w14:paraId="52D5E1BD"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1</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5%</w:t>
            </w:r>
          </w:p>
        </w:tc>
      </w:tr>
      <w:tr w:rsidR="005D0FEA" w:rsidRPr="00054199" w14:paraId="3862B89C" w14:textId="77777777" w:rsidTr="00971CFD">
        <w:trPr>
          <w:trHeight w:val="337"/>
          <w:jc w:val="center"/>
        </w:trPr>
        <w:tc>
          <w:tcPr>
            <w:tcW w:w="2426" w:type="dxa"/>
            <w:tcBorders>
              <w:top w:val="nil"/>
              <w:left w:val="single" w:sz="4" w:space="0" w:color="auto"/>
              <w:bottom w:val="single" w:sz="4" w:space="0" w:color="auto"/>
              <w:right w:val="single" w:sz="4" w:space="0" w:color="auto"/>
            </w:tcBorders>
            <w:shd w:val="clear" w:color="auto" w:fill="FDF0E7"/>
            <w:vAlign w:val="center"/>
          </w:tcPr>
          <w:p w14:paraId="69259CF3" w14:textId="77777777" w:rsidR="005D0FEA" w:rsidRPr="00671442" w:rsidRDefault="005D0FEA" w:rsidP="00971CFD">
            <w:pPr>
              <w:spacing w:line="276" w:lineRule="auto"/>
              <w:rPr>
                <w:rFonts w:ascii="Times New Roman" w:hAnsi="Times New Roman" w:cs="Times New Roman"/>
                <w:sz w:val="18"/>
                <w:lang w:eastAsia="en-US"/>
              </w:rPr>
            </w:pPr>
            <w:r w:rsidRPr="00671442">
              <w:rPr>
                <w:rFonts w:ascii="Times New Roman" w:hAnsi="Times New Roman" w:cs="Times New Roman"/>
                <w:bCs/>
                <w:sz w:val="18"/>
                <w:lang w:eastAsia="en-US"/>
              </w:rPr>
              <w:t>Public Consumption</w:t>
            </w:r>
          </w:p>
        </w:tc>
        <w:tc>
          <w:tcPr>
            <w:tcW w:w="1684" w:type="dxa"/>
            <w:tcBorders>
              <w:top w:val="nil"/>
              <w:left w:val="nil"/>
              <w:bottom w:val="single" w:sz="4" w:space="0" w:color="auto"/>
              <w:right w:val="single" w:sz="4" w:space="0" w:color="auto"/>
            </w:tcBorders>
            <w:shd w:val="clear" w:color="auto" w:fill="auto"/>
            <w:vAlign w:val="center"/>
          </w:tcPr>
          <w:p w14:paraId="63030671"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1</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4%</w:t>
            </w:r>
          </w:p>
        </w:tc>
        <w:tc>
          <w:tcPr>
            <w:tcW w:w="1418" w:type="dxa"/>
            <w:tcBorders>
              <w:top w:val="nil"/>
              <w:left w:val="nil"/>
              <w:bottom w:val="single" w:sz="4" w:space="0" w:color="auto"/>
              <w:right w:val="single" w:sz="4" w:space="0" w:color="auto"/>
            </w:tcBorders>
            <w:shd w:val="clear" w:color="auto" w:fill="auto"/>
            <w:vAlign w:val="center"/>
          </w:tcPr>
          <w:p w14:paraId="061B1A09"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0</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7%</w:t>
            </w:r>
          </w:p>
        </w:tc>
        <w:tc>
          <w:tcPr>
            <w:tcW w:w="1559" w:type="dxa"/>
            <w:tcBorders>
              <w:top w:val="nil"/>
              <w:left w:val="nil"/>
              <w:bottom w:val="single" w:sz="4" w:space="0" w:color="auto"/>
              <w:right w:val="single" w:sz="4" w:space="0" w:color="auto"/>
            </w:tcBorders>
            <w:shd w:val="clear" w:color="auto" w:fill="auto"/>
            <w:vAlign w:val="center"/>
          </w:tcPr>
          <w:p w14:paraId="58C27DD8"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0</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2%</w:t>
            </w:r>
          </w:p>
        </w:tc>
      </w:tr>
      <w:tr w:rsidR="005D0FEA" w:rsidRPr="00054199" w14:paraId="260E970C" w14:textId="77777777" w:rsidTr="00971CFD">
        <w:trPr>
          <w:trHeight w:val="342"/>
          <w:jc w:val="center"/>
        </w:trPr>
        <w:tc>
          <w:tcPr>
            <w:tcW w:w="2426" w:type="dxa"/>
            <w:tcBorders>
              <w:top w:val="nil"/>
              <w:left w:val="single" w:sz="4" w:space="0" w:color="auto"/>
              <w:bottom w:val="single" w:sz="4" w:space="0" w:color="auto"/>
              <w:right w:val="single" w:sz="4" w:space="0" w:color="auto"/>
            </w:tcBorders>
            <w:shd w:val="clear" w:color="auto" w:fill="FDF0E7"/>
            <w:vAlign w:val="center"/>
          </w:tcPr>
          <w:p w14:paraId="3E511D27" w14:textId="77777777" w:rsidR="005D0FEA" w:rsidRPr="00671442" w:rsidRDefault="005D0FEA" w:rsidP="00971CFD">
            <w:pPr>
              <w:spacing w:line="276" w:lineRule="auto"/>
              <w:rPr>
                <w:rFonts w:ascii="Times New Roman" w:hAnsi="Times New Roman" w:cs="Times New Roman"/>
                <w:sz w:val="18"/>
                <w:lang w:eastAsia="en-US"/>
              </w:rPr>
            </w:pPr>
            <w:r w:rsidRPr="00671442">
              <w:rPr>
                <w:rFonts w:ascii="Times New Roman" w:hAnsi="Times New Roman" w:cs="Times New Roman"/>
                <w:bCs/>
                <w:sz w:val="18"/>
                <w:lang w:eastAsia="en-US"/>
              </w:rPr>
              <w:t>Gross Fixed Capital Formation</w:t>
            </w:r>
          </w:p>
        </w:tc>
        <w:tc>
          <w:tcPr>
            <w:tcW w:w="1684" w:type="dxa"/>
            <w:tcBorders>
              <w:top w:val="nil"/>
              <w:left w:val="nil"/>
              <w:bottom w:val="single" w:sz="4" w:space="0" w:color="auto"/>
              <w:right w:val="single" w:sz="4" w:space="0" w:color="auto"/>
            </w:tcBorders>
            <w:shd w:val="clear" w:color="auto" w:fill="auto"/>
            <w:vAlign w:val="center"/>
          </w:tcPr>
          <w:p w14:paraId="48D82AE6"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5</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7%</w:t>
            </w:r>
          </w:p>
        </w:tc>
        <w:tc>
          <w:tcPr>
            <w:tcW w:w="1418" w:type="dxa"/>
            <w:tcBorders>
              <w:top w:val="nil"/>
              <w:left w:val="nil"/>
              <w:bottom w:val="single" w:sz="4" w:space="0" w:color="auto"/>
              <w:right w:val="single" w:sz="4" w:space="0" w:color="auto"/>
            </w:tcBorders>
            <w:shd w:val="clear" w:color="auto" w:fill="auto"/>
            <w:vAlign w:val="center"/>
          </w:tcPr>
          <w:p w14:paraId="27F28935"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10</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2%</w:t>
            </w:r>
          </w:p>
        </w:tc>
        <w:tc>
          <w:tcPr>
            <w:tcW w:w="1559" w:type="dxa"/>
            <w:tcBorders>
              <w:top w:val="nil"/>
              <w:left w:val="nil"/>
              <w:bottom w:val="single" w:sz="4" w:space="0" w:color="auto"/>
              <w:right w:val="single" w:sz="4" w:space="0" w:color="auto"/>
            </w:tcBorders>
            <w:shd w:val="clear" w:color="auto" w:fill="auto"/>
            <w:vAlign w:val="center"/>
          </w:tcPr>
          <w:p w14:paraId="1E866CF4"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2</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1%</w:t>
            </w:r>
          </w:p>
        </w:tc>
      </w:tr>
      <w:tr w:rsidR="005D0FEA" w:rsidRPr="00054199" w14:paraId="7B7E9225" w14:textId="77777777" w:rsidTr="00971CFD">
        <w:trPr>
          <w:trHeight w:val="348"/>
          <w:jc w:val="center"/>
        </w:trPr>
        <w:tc>
          <w:tcPr>
            <w:tcW w:w="2426" w:type="dxa"/>
            <w:tcBorders>
              <w:top w:val="nil"/>
              <w:left w:val="single" w:sz="4" w:space="0" w:color="auto"/>
              <w:bottom w:val="single" w:sz="4" w:space="0" w:color="auto"/>
              <w:right w:val="single" w:sz="4" w:space="0" w:color="auto"/>
            </w:tcBorders>
            <w:shd w:val="clear" w:color="auto" w:fill="FDF0E7"/>
            <w:vAlign w:val="center"/>
          </w:tcPr>
          <w:p w14:paraId="18C56900" w14:textId="77777777" w:rsidR="005D0FEA" w:rsidRPr="00671442" w:rsidRDefault="005D0FEA" w:rsidP="00971CFD">
            <w:pPr>
              <w:spacing w:line="276" w:lineRule="auto"/>
              <w:rPr>
                <w:rFonts w:ascii="Times New Roman" w:hAnsi="Times New Roman" w:cs="Times New Roman"/>
                <w:sz w:val="18"/>
                <w:lang w:val="en-US" w:eastAsia="en-US"/>
              </w:rPr>
            </w:pPr>
            <w:r w:rsidRPr="00671442">
              <w:rPr>
                <w:rFonts w:ascii="Times New Roman" w:hAnsi="Times New Roman" w:cs="Times New Roman"/>
                <w:bCs/>
                <w:sz w:val="18"/>
                <w:lang w:val="en-US" w:eastAsia="en-US"/>
              </w:rPr>
              <w:t>Exports of Goods &amp; Services</w:t>
            </w:r>
          </w:p>
        </w:tc>
        <w:tc>
          <w:tcPr>
            <w:tcW w:w="1684" w:type="dxa"/>
            <w:tcBorders>
              <w:top w:val="nil"/>
              <w:left w:val="nil"/>
              <w:bottom w:val="single" w:sz="4" w:space="0" w:color="auto"/>
              <w:right w:val="single" w:sz="4" w:space="0" w:color="auto"/>
            </w:tcBorders>
            <w:shd w:val="clear" w:color="auto" w:fill="auto"/>
            <w:vAlign w:val="center"/>
          </w:tcPr>
          <w:p w14:paraId="6859DCF8"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2</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2%</w:t>
            </w:r>
          </w:p>
        </w:tc>
        <w:tc>
          <w:tcPr>
            <w:tcW w:w="1418" w:type="dxa"/>
            <w:tcBorders>
              <w:top w:val="nil"/>
              <w:left w:val="nil"/>
              <w:bottom w:val="single" w:sz="4" w:space="0" w:color="auto"/>
              <w:right w:val="single" w:sz="4" w:space="0" w:color="auto"/>
            </w:tcBorders>
            <w:shd w:val="clear" w:color="auto" w:fill="auto"/>
            <w:vAlign w:val="center"/>
          </w:tcPr>
          <w:p w14:paraId="5A7F0A3B"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4</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5%</w:t>
            </w:r>
          </w:p>
        </w:tc>
        <w:tc>
          <w:tcPr>
            <w:tcW w:w="1559" w:type="dxa"/>
            <w:tcBorders>
              <w:top w:val="nil"/>
              <w:left w:val="nil"/>
              <w:bottom w:val="single" w:sz="4" w:space="0" w:color="auto"/>
              <w:right w:val="single" w:sz="4" w:space="0" w:color="auto"/>
            </w:tcBorders>
            <w:shd w:val="clear" w:color="auto" w:fill="auto"/>
            <w:vAlign w:val="center"/>
          </w:tcPr>
          <w:p w14:paraId="56B8681A"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2</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2%</w:t>
            </w:r>
          </w:p>
        </w:tc>
      </w:tr>
      <w:tr w:rsidR="005D0FEA" w:rsidRPr="00054199" w14:paraId="1EAF053A" w14:textId="77777777" w:rsidTr="00971CFD">
        <w:trPr>
          <w:trHeight w:val="354"/>
          <w:jc w:val="center"/>
        </w:trPr>
        <w:tc>
          <w:tcPr>
            <w:tcW w:w="2426" w:type="dxa"/>
            <w:tcBorders>
              <w:top w:val="nil"/>
              <w:left w:val="single" w:sz="4" w:space="0" w:color="auto"/>
              <w:bottom w:val="single" w:sz="4" w:space="0" w:color="auto"/>
              <w:right w:val="single" w:sz="4" w:space="0" w:color="auto"/>
            </w:tcBorders>
            <w:shd w:val="clear" w:color="auto" w:fill="FDF0E7"/>
            <w:vAlign w:val="center"/>
          </w:tcPr>
          <w:p w14:paraId="41B99A70" w14:textId="77777777" w:rsidR="005D0FEA" w:rsidRPr="00671442" w:rsidRDefault="005D0FEA" w:rsidP="00971CFD">
            <w:pPr>
              <w:spacing w:line="276" w:lineRule="auto"/>
              <w:rPr>
                <w:rFonts w:ascii="Times New Roman" w:hAnsi="Times New Roman" w:cs="Times New Roman"/>
                <w:sz w:val="18"/>
                <w:lang w:val="en-US" w:eastAsia="en-US"/>
              </w:rPr>
            </w:pPr>
            <w:r w:rsidRPr="00671442">
              <w:rPr>
                <w:rFonts w:ascii="Times New Roman" w:hAnsi="Times New Roman" w:cs="Times New Roman"/>
                <w:bCs/>
                <w:sz w:val="18"/>
                <w:lang w:val="en-US" w:eastAsia="en-US"/>
              </w:rPr>
              <w:t>Imports of Goods &amp; Services</w:t>
            </w:r>
          </w:p>
        </w:tc>
        <w:tc>
          <w:tcPr>
            <w:tcW w:w="1684" w:type="dxa"/>
            <w:tcBorders>
              <w:top w:val="nil"/>
              <w:left w:val="nil"/>
              <w:bottom w:val="single" w:sz="4" w:space="0" w:color="auto"/>
              <w:right w:val="single" w:sz="4" w:space="0" w:color="auto"/>
            </w:tcBorders>
            <w:shd w:val="clear" w:color="auto" w:fill="auto"/>
            <w:vAlign w:val="center"/>
          </w:tcPr>
          <w:p w14:paraId="0866A46A"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0</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9%</w:t>
            </w:r>
          </w:p>
        </w:tc>
        <w:tc>
          <w:tcPr>
            <w:tcW w:w="1418" w:type="dxa"/>
            <w:tcBorders>
              <w:top w:val="nil"/>
              <w:left w:val="nil"/>
              <w:bottom w:val="single" w:sz="4" w:space="0" w:color="auto"/>
              <w:right w:val="single" w:sz="4" w:space="0" w:color="auto"/>
            </w:tcBorders>
            <w:shd w:val="clear" w:color="auto" w:fill="auto"/>
            <w:vAlign w:val="center"/>
          </w:tcPr>
          <w:p w14:paraId="64BE354C"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4</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6%</w:t>
            </w:r>
          </w:p>
        </w:tc>
        <w:tc>
          <w:tcPr>
            <w:tcW w:w="1559" w:type="dxa"/>
            <w:tcBorders>
              <w:top w:val="nil"/>
              <w:left w:val="nil"/>
              <w:bottom w:val="single" w:sz="4" w:space="0" w:color="auto"/>
              <w:right w:val="single" w:sz="4" w:space="0" w:color="auto"/>
            </w:tcBorders>
            <w:shd w:val="clear" w:color="auto" w:fill="auto"/>
            <w:vAlign w:val="center"/>
          </w:tcPr>
          <w:p w14:paraId="700F86B0" w14:textId="77777777" w:rsidR="005D0FEA" w:rsidRPr="00671442" w:rsidRDefault="005D0FEA" w:rsidP="00971CFD">
            <w:pPr>
              <w:spacing w:line="276" w:lineRule="auto"/>
              <w:jc w:val="center"/>
              <w:rPr>
                <w:rFonts w:ascii="Times New Roman" w:hAnsi="Times New Roman" w:cs="Times New Roman"/>
                <w:sz w:val="18"/>
                <w:lang w:eastAsia="en-US"/>
              </w:rPr>
            </w:pPr>
            <w:r w:rsidRPr="00671442">
              <w:rPr>
                <w:rFonts w:ascii="Times New Roman" w:hAnsi="Times New Roman" w:cs="Times New Roman"/>
                <w:color w:val="000000"/>
                <w:sz w:val="18"/>
              </w:rPr>
              <w:t>-0</w:t>
            </w:r>
            <w:r w:rsidRPr="00671442">
              <w:rPr>
                <w:rFonts w:ascii="Times New Roman" w:hAnsi="Times New Roman" w:cs="Times New Roman"/>
                <w:color w:val="000000"/>
                <w:sz w:val="18"/>
                <w:lang w:val="en-US"/>
              </w:rPr>
              <w:t>.</w:t>
            </w:r>
            <w:r w:rsidRPr="00671442">
              <w:rPr>
                <w:rFonts w:ascii="Times New Roman" w:hAnsi="Times New Roman" w:cs="Times New Roman"/>
                <w:color w:val="000000"/>
                <w:sz w:val="18"/>
              </w:rPr>
              <w:t>6%</w:t>
            </w:r>
          </w:p>
        </w:tc>
      </w:tr>
    </w:tbl>
    <w:p w14:paraId="3B683C24" w14:textId="77777777" w:rsidR="005D0FEA" w:rsidRPr="005D0FEA" w:rsidRDefault="005D0FEA" w:rsidP="005D0FEA">
      <w:pPr>
        <w:spacing w:after="360" w:line="276" w:lineRule="auto"/>
        <w:rPr>
          <w:rFonts w:ascii="Times New Roman" w:hAnsi="Times New Roman" w:cs="Times New Roman"/>
          <w:sz w:val="18"/>
          <w:lang w:val="en-US"/>
        </w:rPr>
      </w:pPr>
      <w:r w:rsidRPr="005D0FEA">
        <w:rPr>
          <w:rFonts w:ascii="Times New Roman" w:hAnsi="Times New Roman" w:cs="Times New Roman"/>
          <w:sz w:val="18"/>
          <w:lang w:val="en-US"/>
        </w:rPr>
        <w:t xml:space="preserve">Sources: MinFin, ELSTAT and HFISC calculations.  </w:t>
      </w:r>
    </w:p>
    <w:p w14:paraId="28D80227" w14:textId="77777777" w:rsidR="005D0FEA" w:rsidRPr="005D0FEA" w:rsidRDefault="005D0FEA" w:rsidP="005D0FEA">
      <w:pPr>
        <w:spacing w:after="240" w:line="276" w:lineRule="auto"/>
        <w:rPr>
          <w:rFonts w:ascii="Times New Roman" w:hAnsi="Times New Roman" w:cs="Times New Roman"/>
          <w:lang w:val="en-US"/>
        </w:rPr>
      </w:pPr>
      <w:r w:rsidRPr="005D0FEA">
        <w:rPr>
          <w:rFonts w:ascii="Times New Roman" w:hAnsi="Times New Roman" w:cs="Times New Roman"/>
          <w:lang w:val="en-US"/>
        </w:rPr>
        <w:t xml:space="preserve">The fundamental assumption underpinning the DBP 2026 projections entails a continued decline in inflation, aiming to align with the European Central Bank’s (ECB's) target of 2.0%. For 2025, inflation (Harmonized Index of Consumer Prices, HICP) is projected to decline to 3.0% (see, Figure 4). More specifically, according to the most recent ELSTAT data, the average inflation sustained at 3.2% in the first eight-month period of 2025 vis-à-vis a 3.0% in the first eight-month period of 2024. Over the past two years, inflation in Greece has remained at an average level of approximately 3%, without displaying a clear downward trend toward the ECB’s target of 2%. For 2026, inflation is expected to fall to 2.2% lower than what was forecasted in APR 2025 (2.4%). </w:t>
      </w:r>
    </w:p>
    <w:p w14:paraId="01D75A2E" w14:textId="77777777" w:rsidR="005D0FEA" w:rsidRPr="005D0FEA" w:rsidRDefault="005D0FEA" w:rsidP="005D0FEA">
      <w:pPr>
        <w:spacing w:after="240" w:line="276" w:lineRule="auto"/>
        <w:rPr>
          <w:rFonts w:ascii="Times New Roman" w:hAnsi="Times New Roman" w:cs="Times New Roman"/>
          <w:lang w:val="en-US"/>
        </w:rPr>
      </w:pPr>
      <w:r w:rsidRPr="005D0FEA">
        <w:rPr>
          <w:rFonts w:ascii="Times New Roman" w:hAnsi="Times New Roman" w:cs="Times New Roman"/>
          <w:lang w:val="en-US"/>
        </w:rPr>
        <w:t xml:space="preserve">The above DBP 2025 forecasts for the inflation are consistent with those of international organizations that fall in a range of 2.4%–2.8% for 2025 and 2.0%–2.3% for 2026 (see, Figure 5). However, compared to the Eurozone average, the Greek economy is still going through a period of inflationary pressure (2.8% for 2025 and 2.3% for 2026 vis-à-vis the Eurozone average 2.1% and 1.7%, respectively, according EC Spring Forecasts, May 2025). The risk of inflation in Greece remaining persistently higher than in other European partners remains a challenge. </w:t>
      </w:r>
    </w:p>
    <w:p w14:paraId="3DAB392E" w14:textId="77777777" w:rsidR="005D0FEA" w:rsidRPr="005D0FEA" w:rsidRDefault="005D0FEA" w:rsidP="005D0FEA">
      <w:pPr>
        <w:spacing w:after="240" w:line="276" w:lineRule="auto"/>
        <w:rPr>
          <w:rFonts w:ascii="Times New Roman" w:hAnsi="Times New Roman" w:cs="Times New Roman"/>
          <w:lang w:val="en-US"/>
        </w:rPr>
      </w:pPr>
    </w:p>
    <w:p w14:paraId="6CBD6277" w14:textId="77777777" w:rsidR="005D0FEA" w:rsidRPr="005D0FEA" w:rsidRDefault="005D0FEA" w:rsidP="005D0FEA">
      <w:pPr>
        <w:spacing w:after="240" w:line="276" w:lineRule="auto"/>
        <w:rPr>
          <w:rFonts w:ascii="Times New Roman" w:hAnsi="Times New Roman" w:cs="Times New Roman"/>
          <w:lang w:val="en-US"/>
        </w:rPr>
      </w:pPr>
    </w:p>
    <w:tbl>
      <w:tblPr>
        <w:tblW w:w="8967" w:type="dxa"/>
        <w:tblInd w:w="-9" w:type="dxa"/>
        <w:tblLook w:val="0000" w:firstRow="0" w:lastRow="0" w:firstColumn="0" w:lastColumn="0" w:noHBand="0" w:noVBand="0"/>
      </w:tblPr>
      <w:tblGrid>
        <w:gridCol w:w="4446"/>
        <w:gridCol w:w="4521"/>
      </w:tblGrid>
      <w:tr w:rsidR="005D0FEA" w:rsidRPr="00C14AE5" w14:paraId="1FDA136E" w14:textId="77777777" w:rsidTr="00971CFD">
        <w:trPr>
          <w:trHeight w:val="785"/>
        </w:trPr>
        <w:tc>
          <w:tcPr>
            <w:tcW w:w="4246" w:type="dxa"/>
          </w:tcPr>
          <w:p w14:paraId="38776E62" w14:textId="77777777" w:rsidR="005D0FEA" w:rsidRPr="00E03BBD" w:rsidRDefault="005D0FEA" w:rsidP="00971CFD">
            <w:pPr>
              <w:spacing w:line="276" w:lineRule="auto"/>
              <w:rPr>
                <w:rFonts w:ascii="Times New Roman" w:hAnsi="Times New Roman" w:cs="Times New Roman"/>
                <w:sz w:val="20"/>
                <w:lang w:val="fr-FR"/>
              </w:rPr>
            </w:pPr>
            <w:r w:rsidRPr="00E03BBD">
              <w:rPr>
                <w:rFonts w:ascii="Times New Roman" w:hAnsi="Times New Roman" w:cs="Times New Roman"/>
                <w:sz w:val="20"/>
                <w:lang w:val="fr-FR"/>
              </w:rPr>
              <w:t>Figure 4: 2024-2026, Inflation (HICP) projections, MinFin</w:t>
            </w:r>
          </w:p>
        </w:tc>
        <w:tc>
          <w:tcPr>
            <w:tcW w:w="4721" w:type="dxa"/>
          </w:tcPr>
          <w:p w14:paraId="58D288E1" w14:textId="77777777" w:rsidR="005D0FEA" w:rsidRPr="00E03BBD" w:rsidRDefault="005D0FEA" w:rsidP="00971CFD">
            <w:pPr>
              <w:spacing w:line="276" w:lineRule="auto"/>
              <w:rPr>
                <w:rFonts w:ascii="Times New Roman" w:hAnsi="Times New Roman" w:cs="Times New Roman"/>
                <w:sz w:val="20"/>
                <w:lang w:val="en-GB"/>
              </w:rPr>
            </w:pPr>
            <w:r w:rsidRPr="005D0FEA">
              <w:rPr>
                <w:rFonts w:ascii="Times New Roman" w:hAnsi="Times New Roman" w:cs="Times New Roman"/>
                <w:bCs/>
                <w:sz w:val="20"/>
                <w:lang w:val="en-US"/>
              </w:rPr>
              <w:t>Figure 5</w:t>
            </w:r>
            <w:r w:rsidRPr="005D0FEA">
              <w:rPr>
                <w:rFonts w:ascii="Times New Roman" w:hAnsi="Times New Roman" w:cs="Times New Roman"/>
                <w:b/>
                <w:bCs/>
                <w:sz w:val="20"/>
                <w:lang w:val="en-US"/>
              </w:rPr>
              <w:t xml:space="preserve">: </w:t>
            </w:r>
            <w:r w:rsidRPr="005D0FEA">
              <w:rPr>
                <w:rFonts w:ascii="Times New Roman" w:hAnsi="Times New Roman" w:cs="Times New Roman"/>
                <w:sz w:val="20"/>
                <w:lang w:val="en-US"/>
              </w:rPr>
              <w:t>2025 &amp; 2026, Inflation (HICP) projections, MinFin and International –National Institutions</w:t>
            </w:r>
          </w:p>
        </w:tc>
      </w:tr>
      <w:tr w:rsidR="005D0FEA" w:rsidRPr="00A5393B" w14:paraId="573ED172" w14:textId="77777777" w:rsidTr="00971CFD">
        <w:trPr>
          <w:trHeight w:val="1560"/>
        </w:trPr>
        <w:tc>
          <w:tcPr>
            <w:tcW w:w="4246" w:type="dxa"/>
          </w:tcPr>
          <w:p w14:paraId="0C2827D3" w14:textId="77777777" w:rsidR="005D0FEA" w:rsidRPr="000419AD" w:rsidRDefault="005D0FEA" w:rsidP="00971CFD">
            <w:pPr>
              <w:spacing w:line="276" w:lineRule="auto"/>
              <w:rPr>
                <w:rFonts w:ascii="Times New Roman" w:hAnsi="Times New Roman" w:cs="Times New Roman"/>
                <w:noProof/>
              </w:rPr>
            </w:pPr>
            <w:r>
              <w:rPr>
                <w:rFonts w:ascii="Times New Roman" w:hAnsi="Times New Roman" w:cs="Times New Roman"/>
                <w:noProof/>
              </w:rPr>
              <w:drawing>
                <wp:inline distT="0" distB="0" distL="0" distR="0" wp14:anchorId="02960CC3" wp14:editId="5174458B">
                  <wp:extent cx="2684698" cy="2053193"/>
                  <wp:effectExtent l="0" t="0" r="1905" b="4445"/>
                  <wp:docPr id="8"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 4.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708061" cy="2071060"/>
                          </a:xfrm>
                          <a:prstGeom prst="rect">
                            <a:avLst/>
                          </a:prstGeom>
                        </pic:spPr>
                      </pic:pic>
                    </a:graphicData>
                  </a:graphic>
                </wp:inline>
              </w:drawing>
            </w:r>
          </w:p>
        </w:tc>
        <w:tc>
          <w:tcPr>
            <w:tcW w:w="4721" w:type="dxa"/>
          </w:tcPr>
          <w:p w14:paraId="7B8C7A5A" w14:textId="77777777" w:rsidR="005D0FEA" w:rsidRPr="00A5393B" w:rsidRDefault="005D0FEA" w:rsidP="00971CFD">
            <w:pPr>
              <w:spacing w:line="276" w:lineRule="auto"/>
              <w:rPr>
                <w:rFonts w:ascii="Times New Roman" w:hAnsi="Times New Roman" w:cs="Times New Roman"/>
                <w:lang w:val="en-GB"/>
              </w:rPr>
            </w:pPr>
            <w:r>
              <w:rPr>
                <w:rFonts w:ascii="Times New Roman" w:hAnsi="Times New Roman" w:cs="Times New Roman"/>
                <w:noProof/>
              </w:rPr>
              <w:drawing>
                <wp:inline distT="0" distB="0" distL="0" distR="0" wp14:anchorId="749CC1E2" wp14:editId="3CC6EA85">
                  <wp:extent cx="2650184" cy="2047583"/>
                  <wp:effectExtent l="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 5.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673837" cy="2065858"/>
                          </a:xfrm>
                          <a:prstGeom prst="rect">
                            <a:avLst/>
                          </a:prstGeom>
                        </pic:spPr>
                      </pic:pic>
                    </a:graphicData>
                  </a:graphic>
                </wp:inline>
              </w:drawing>
            </w:r>
          </w:p>
        </w:tc>
      </w:tr>
      <w:tr w:rsidR="005D0FEA" w:rsidRPr="00397A38" w14:paraId="4A0606E0" w14:textId="77777777" w:rsidTr="00971CFD">
        <w:trPr>
          <w:trHeight w:val="630"/>
        </w:trPr>
        <w:tc>
          <w:tcPr>
            <w:tcW w:w="4246" w:type="dxa"/>
          </w:tcPr>
          <w:p w14:paraId="1FF5DAE8" w14:textId="2CDFAF41" w:rsidR="005D0FEA" w:rsidRPr="00133970" w:rsidRDefault="005D0FEA" w:rsidP="00971CFD">
            <w:pPr>
              <w:spacing w:line="276" w:lineRule="auto"/>
              <w:rPr>
                <w:rFonts w:ascii="Times New Roman" w:hAnsi="Times New Roman" w:cs="Times New Roman"/>
                <w:sz w:val="18"/>
                <w:lang w:val="en-GB"/>
              </w:rPr>
            </w:pPr>
            <w:r w:rsidRPr="005D0FEA">
              <w:rPr>
                <w:rFonts w:ascii="Times New Roman" w:hAnsi="Times New Roman" w:cs="Times New Roman"/>
                <w:sz w:val="18"/>
                <w:lang w:val="en-US"/>
              </w:rPr>
              <w:t xml:space="preserve">Sources: Ministry of Economy and Finance (MinFin): 1. State Budget 2025 (SB, November 2024), 2. Annual Progress Report 2025 (APR, April 2025), 3. </w:t>
            </w:r>
            <w:r w:rsidRPr="00133970">
              <w:rPr>
                <w:rFonts w:ascii="Times New Roman" w:hAnsi="Times New Roman" w:cs="Times New Roman"/>
                <w:sz w:val="18"/>
              </w:rPr>
              <w:t>Draft</w:t>
            </w:r>
            <w:r w:rsidR="0016708A">
              <w:rPr>
                <w:rFonts w:ascii="Times New Roman" w:hAnsi="Times New Roman" w:cs="Times New Roman"/>
                <w:sz w:val="18"/>
                <w:lang w:val="en-US"/>
              </w:rPr>
              <w:t xml:space="preserve"> </w:t>
            </w:r>
            <w:r w:rsidRPr="00133970">
              <w:rPr>
                <w:rFonts w:ascii="Times New Roman" w:hAnsi="Times New Roman" w:cs="Times New Roman"/>
                <w:sz w:val="18"/>
              </w:rPr>
              <w:t xml:space="preserve"> Budgetary Plan 2026 (DBP, October 2025), HFISC data processing.</w:t>
            </w:r>
          </w:p>
        </w:tc>
        <w:tc>
          <w:tcPr>
            <w:tcW w:w="4721" w:type="dxa"/>
          </w:tcPr>
          <w:p w14:paraId="35DBBD9D" w14:textId="77777777" w:rsidR="005D0FEA" w:rsidRPr="00133970" w:rsidRDefault="005D0FEA" w:rsidP="00971CFD">
            <w:pPr>
              <w:spacing w:line="276" w:lineRule="auto"/>
              <w:rPr>
                <w:rFonts w:ascii="Times New Roman" w:hAnsi="Times New Roman" w:cs="Times New Roman"/>
                <w:sz w:val="18"/>
                <w:lang w:val="en-GB"/>
              </w:rPr>
            </w:pPr>
            <w:r w:rsidRPr="005D0FEA">
              <w:rPr>
                <w:rFonts w:ascii="Times New Roman" w:hAnsi="Times New Roman" w:cs="Times New Roman"/>
                <w:bCs/>
                <w:sz w:val="18"/>
                <w:lang w:val="en-US"/>
              </w:rPr>
              <w:t xml:space="preserve">Sources: </w:t>
            </w:r>
            <w:r w:rsidRPr="005D0FEA">
              <w:rPr>
                <w:rFonts w:ascii="Times New Roman" w:hAnsi="Times New Roman" w:cs="Times New Roman"/>
                <w:sz w:val="18"/>
                <w:lang w:val="en-US"/>
              </w:rPr>
              <w:t xml:space="preserve">1. IMF, World Economic Outlook (April 2025), 2. EC, European Economic Forecast (May 2025), 3. OECD Economic Outlook, Vol. 2025, No 117 (May 2025), 4. BoG, Monetary Policy Report 2024-2025 (June 2025), 5. </w:t>
            </w:r>
            <w:r w:rsidRPr="00133970">
              <w:rPr>
                <w:rFonts w:ascii="Times New Roman" w:hAnsi="Times New Roman" w:cs="Times New Roman"/>
                <w:sz w:val="18"/>
              </w:rPr>
              <w:t>MinFin (October 2025), HFISC data processing.</w:t>
            </w:r>
          </w:p>
        </w:tc>
      </w:tr>
    </w:tbl>
    <w:p w14:paraId="6442AD38" w14:textId="77777777" w:rsidR="005D0FEA" w:rsidRDefault="005D0FEA" w:rsidP="005D0FEA">
      <w:pPr>
        <w:spacing w:before="120" w:after="240" w:line="276" w:lineRule="auto"/>
        <w:rPr>
          <w:rFonts w:ascii="Times New Roman" w:eastAsia="Arial" w:hAnsi="Times New Roman" w:cs="Times New Roman"/>
          <w:b/>
          <w:color w:val="0070C0"/>
          <w:sz w:val="24"/>
        </w:rPr>
      </w:pPr>
    </w:p>
    <w:p w14:paraId="6CFC221F" w14:textId="77777777" w:rsidR="005D0FEA" w:rsidRPr="0082303E" w:rsidRDefault="005D0FEA" w:rsidP="005D0FEA">
      <w:pPr>
        <w:spacing w:before="120" w:after="240" w:line="276" w:lineRule="auto"/>
        <w:rPr>
          <w:rFonts w:ascii="Times New Roman" w:eastAsia="Arial" w:hAnsi="Times New Roman" w:cs="Times New Roman"/>
          <w:b/>
          <w:color w:val="0070C0"/>
          <w:sz w:val="24"/>
          <w:lang w:val="en-US"/>
        </w:rPr>
      </w:pPr>
      <w:r w:rsidRPr="0082303E">
        <w:rPr>
          <w:rFonts w:ascii="Times New Roman" w:eastAsia="Arial" w:hAnsi="Times New Roman" w:cs="Times New Roman"/>
          <w:b/>
          <w:color w:val="0070C0"/>
          <w:sz w:val="24"/>
          <w:lang w:val="en-US"/>
        </w:rPr>
        <w:t>Budgetary forecasts</w:t>
      </w:r>
    </w:p>
    <w:p w14:paraId="1FB5E4DE" w14:textId="77777777" w:rsidR="005D0FEA" w:rsidRPr="005D0FEA" w:rsidRDefault="005D0FEA" w:rsidP="005D0FEA">
      <w:pPr>
        <w:spacing w:after="360" w:line="276" w:lineRule="auto"/>
        <w:rPr>
          <w:rFonts w:asciiTheme="majorBidi" w:hAnsiTheme="majorBidi" w:cstheme="majorBidi"/>
          <w:lang w:val="en-US"/>
        </w:rPr>
      </w:pPr>
      <w:r w:rsidRPr="005D0FEA">
        <w:rPr>
          <w:rFonts w:asciiTheme="majorBidi" w:hAnsiTheme="majorBidi" w:cstheme="majorBidi"/>
          <w:lang w:val="en-US"/>
        </w:rPr>
        <w:t xml:space="preserve">According to the 2026 DBP, Greece is expected to maintain primary surpluses, projected at 3.6% of GDP in 2025 and 2.8% in 2026 (see, Figure 6). At the same time, the general government balance is forecast to record a surplus in 2025 (0.6% of GDP) and a marginal deficit in 2026 (-0.1% of GDP) under the baseline scenario. These projections are based on the expected steady growth momentum of the Greek economy, with growth rates above 2%, supported by rising public revenues and prudent expenditure management. </w:t>
      </w:r>
    </w:p>
    <w:p w14:paraId="2019D7D1" w14:textId="77777777" w:rsidR="005D0FEA" w:rsidRPr="005D0FEA" w:rsidRDefault="005D0FEA" w:rsidP="005D0FEA">
      <w:pPr>
        <w:adjustRightInd w:val="0"/>
        <w:spacing w:before="120" w:after="120" w:line="276" w:lineRule="auto"/>
        <w:rPr>
          <w:rFonts w:ascii="Times New Roman" w:eastAsiaTheme="minorHAnsi" w:hAnsi="Times New Roman" w:cs="Times New Roman"/>
          <w:color w:val="000000"/>
          <w:sz w:val="20"/>
          <w:szCs w:val="24"/>
          <w:lang w:val="en-US"/>
        </w:rPr>
      </w:pPr>
      <w:r w:rsidRPr="005D0FEA">
        <w:rPr>
          <w:rFonts w:ascii="Times New Roman" w:eastAsiaTheme="minorHAnsi" w:hAnsi="Times New Roman" w:cs="Times New Roman"/>
          <w:color w:val="000000"/>
          <w:sz w:val="20"/>
          <w:szCs w:val="24"/>
          <w:lang w:val="en-US"/>
        </w:rPr>
        <w:t>Figure 6: General Government Primary Balance 2023-2026 (% GDP)</w:t>
      </w:r>
    </w:p>
    <w:p w14:paraId="1A792520" w14:textId="77777777" w:rsidR="005D0FEA" w:rsidRPr="00F07951" w:rsidRDefault="005D0FEA" w:rsidP="005D0FEA">
      <w:pPr>
        <w:spacing w:line="276" w:lineRule="auto"/>
        <w:jc w:val="center"/>
        <w:rPr>
          <w:rFonts w:ascii="Times New Roman" w:eastAsia="Arial" w:hAnsi="Times New Roman" w:cs="Times New Roman"/>
          <w:color w:val="000000" w:themeColor="text1"/>
        </w:rPr>
      </w:pPr>
      <w:r>
        <w:rPr>
          <w:rFonts w:ascii="Times New Roman" w:eastAsia="Arial" w:hAnsi="Times New Roman" w:cs="Times New Roman"/>
          <w:noProof/>
          <w:color w:val="000000" w:themeColor="text1"/>
        </w:rPr>
        <w:drawing>
          <wp:inline distT="0" distB="0" distL="0" distR="0" wp14:anchorId="361FCE0D" wp14:editId="7D30AB7A">
            <wp:extent cx="4705949" cy="2377947"/>
            <wp:effectExtent l="0" t="0" r="0" b="381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 6.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705949" cy="2377947"/>
                    </a:xfrm>
                    <a:prstGeom prst="rect">
                      <a:avLst/>
                    </a:prstGeom>
                  </pic:spPr>
                </pic:pic>
              </a:graphicData>
            </a:graphic>
          </wp:inline>
        </w:drawing>
      </w:r>
    </w:p>
    <w:p w14:paraId="3491F8F1" w14:textId="77777777" w:rsidR="005D0FEA" w:rsidRPr="005D0FEA" w:rsidRDefault="005D0FEA" w:rsidP="005D0FEA">
      <w:pPr>
        <w:adjustRightInd w:val="0"/>
        <w:spacing w:before="120" w:line="276" w:lineRule="auto"/>
        <w:rPr>
          <w:rFonts w:ascii="Times New Roman" w:eastAsiaTheme="minorHAnsi" w:hAnsi="Times New Roman" w:cs="Times New Roman"/>
          <w:color w:val="000000"/>
          <w:sz w:val="18"/>
          <w:szCs w:val="24"/>
          <w:lang w:val="en-US"/>
        </w:rPr>
      </w:pPr>
      <w:r w:rsidRPr="005D0FEA">
        <w:rPr>
          <w:rFonts w:ascii="Times New Roman" w:eastAsiaTheme="minorHAnsi" w:hAnsi="Times New Roman" w:cs="Times New Roman"/>
          <w:color w:val="000000"/>
          <w:sz w:val="18"/>
          <w:szCs w:val="24"/>
          <w:lang w:val="en-US"/>
        </w:rPr>
        <w:t>Source: Draft Budgetary Plan 2026, MinFin, October 2025.</w:t>
      </w:r>
    </w:p>
    <w:p w14:paraId="5F0817DB" w14:textId="77777777" w:rsidR="005D0FEA" w:rsidRPr="005D0FEA" w:rsidRDefault="005D0FEA" w:rsidP="005D0FEA">
      <w:pPr>
        <w:adjustRightInd w:val="0"/>
        <w:spacing w:line="276" w:lineRule="auto"/>
        <w:rPr>
          <w:rFonts w:ascii="Times New Roman" w:eastAsiaTheme="minorHAnsi" w:hAnsi="Times New Roman" w:cs="Times New Roman"/>
          <w:color w:val="000000"/>
          <w:sz w:val="18"/>
          <w:szCs w:val="24"/>
          <w:lang w:val="en-US"/>
        </w:rPr>
      </w:pPr>
      <w:r w:rsidRPr="005D0FEA">
        <w:rPr>
          <w:rFonts w:ascii="Times New Roman" w:eastAsiaTheme="minorHAnsi" w:hAnsi="Times New Roman" w:cs="Times New Roman"/>
          <w:color w:val="000000"/>
          <w:sz w:val="18"/>
          <w:szCs w:val="24"/>
          <w:lang w:val="en-US"/>
        </w:rPr>
        <w:t>*</w:t>
      </w:r>
      <w:r w:rsidRPr="005D0FEA">
        <w:rPr>
          <w:lang w:val="en-US"/>
        </w:rPr>
        <w:t xml:space="preserve"> </w:t>
      </w:r>
      <w:r w:rsidRPr="005D0FEA">
        <w:rPr>
          <w:rFonts w:ascii="Times New Roman" w:eastAsiaTheme="minorHAnsi" w:hAnsi="Times New Roman" w:cs="Times New Roman"/>
          <w:color w:val="000000"/>
          <w:sz w:val="18"/>
          <w:szCs w:val="24"/>
          <w:lang w:val="en-US"/>
        </w:rPr>
        <w:t>The figures for 2025 are estimates, and those for 2026 are forecasts.</w:t>
      </w:r>
    </w:p>
    <w:p w14:paraId="54881263" w14:textId="77777777" w:rsidR="005D0FEA" w:rsidRPr="005D0FEA" w:rsidRDefault="005D0FEA" w:rsidP="005D0FEA">
      <w:pPr>
        <w:adjustRightInd w:val="0"/>
        <w:spacing w:line="276" w:lineRule="auto"/>
        <w:rPr>
          <w:rFonts w:ascii="Times New Roman" w:eastAsiaTheme="minorHAnsi" w:hAnsi="Times New Roman" w:cs="Times New Roman"/>
          <w:color w:val="000000"/>
          <w:sz w:val="12"/>
          <w:szCs w:val="24"/>
          <w:lang w:val="en-US"/>
        </w:rPr>
      </w:pPr>
    </w:p>
    <w:p w14:paraId="51770F77" w14:textId="77777777" w:rsidR="005D0FEA" w:rsidRPr="005D0FEA" w:rsidRDefault="005D0FEA" w:rsidP="009C2B35">
      <w:pPr>
        <w:spacing w:after="120" w:line="252" w:lineRule="auto"/>
        <w:rPr>
          <w:rFonts w:asciiTheme="majorBidi" w:hAnsiTheme="majorBidi" w:cstheme="majorBidi"/>
          <w:lang w:val="en-US"/>
        </w:rPr>
      </w:pPr>
      <w:r w:rsidRPr="005D0FEA">
        <w:rPr>
          <w:rFonts w:asciiTheme="majorBidi" w:hAnsiTheme="majorBidi" w:cstheme="majorBidi"/>
          <w:lang w:val="en-US"/>
        </w:rPr>
        <w:t>For 2025, the DBP 2026 moves to revise the primary surplus target to 3.6% of GDP, up from the 2.4% of GDP forecast in the SB 2025. Based on the data currently available, the achievement of the revised target is considered feasible. Specifically, the General Government bulletins for the first seven months of 2025 show a cash-based primary surplus of €9.1 billion, equal to 3.70% of GDP (see, Table 2). This improvement is largely due to an increase in revenues of €5.9 billion (9.9%), deriving from both tax revenues and social contributions, while expenditures rose by €3.1 billion (5.8%) compared with the corresponding period of the previous year. Provided that no extraordinary fiscal pressures arise (such as fines, court-ordered compensation, or geopolitical instability) and that fiscal discipline is maintained, achieving the revised target of 3.6% of GDP remains feasible, though it will require heightened commitment to the implementation of the budget.</w:t>
      </w:r>
    </w:p>
    <w:p w14:paraId="5F992C09" w14:textId="77777777" w:rsidR="005D0FEA" w:rsidRPr="005D0FEA" w:rsidRDefault="005D0FEA" w:rsidP="009C2B35">
      <w:pPr>
        <w:spacing w:before="120" w:after="0" w:line="276" w:lineRule="auto"/>
        <w:rPr>
          <w:rFonts w:ascii="Times New Roman" w:eastAsia="Arial" w:hAnsi="Times New Roman" w:cs="Times New Roman"/>
          <w:color w:val="000000" w:themeColor="text1"/>
          <w:sz w:val="20"/>
          <w:lang w:val="en-US"/>
        </w:rPr>
      </w:pPr>
      <w:r w:rsidRPr="005D0FEA">
        <w:rPr>
          <w:rFonts w:ascii="Times New Roman" w:eastAsia="Arial" w:hAnsi="Times New Roman" w:cs="Times New Roman"/>
          <w:color w:val="000000" w:themeColor="text1"/>
          <w:sz w:val="20"/>
          <w:lang w:val="en-US"/>
        </w:rPr>
        <w:t>Table 2: General Government Budget Execution (million euros*), Jan – Jul 2025</w:t>
      </w:r>
    </w:p>
    <w:tbl>
      <w:tblPr>
        <w:tblW w:w="8941" w:type="dxa"/>
        <w:jc w:val="center"/>
        <w:tblLook w:val="04A0" w:firstRow="1" w:lastRow="0" w:firstColumn="1" w:lastColumn="0" w:noHBand="0" w:noVBand="1"/>
      </w:tblPr>
      <w:tblGrid>
        <w:gridCol w:w="3584"/>
        <w:gridCol w:w="1368"/>
        <w:gridCol w:w="1417"/>
        <w:gridCol w:w="1276"/>
        <w:gridCol w:w="1296"/>
      </w:tblGrid>
      <w:tr w:rsidR="005D0FEA" w:rsidRPr="009C2B35" w14:paraId="746A243F" w14:textId="77777777" w:rsidTr="009C2B35">
        <w:trPr>
          <w:trHeight w:val="113"/>
          <w:jc w:val="center"/>
        </w:trPr>
        <w:tc>
          <w:tcPr>
            <w:tcW w:w="3584" w:type="dxa"/>
            <w:tcBorders>
              <w:top w:val="single" w:sz="8" w:space="0" w:color="auto"/>
              <w:left w:val="single" w:sz="8" w:space="0" w:color="auto"/>
              <w:bottom w:val="single" w:sz="8" w:space="0" w:color="auto"/>
              <w:right w:val="single" w:sz="8" w:space="0" w:color="auto"/>
            </w:tcBorders>
            <w:shd w:val="clear" w:color="auto" w:fill="59C5F5"/>
            <w:noWrap/>
            <w:vAlign w:val="center"/>
            <w:hideMark/>
          </w:tcPr>
          <w:p w14:paraId="123B4404" w14:textId="77777777" w:rsidR="005D0FEA" w:rsidRPr="009C2B35" w:rsidRDefault="005D0FEA" w:rsidP="009C2B35">
            <w:pPr>
              <w:spacing w:line="240" w:lineRule="auto"/>
              <w:jc w:val="center"/>
              <w:rPr>
                <w:rFonts w:ascii="Times New Roman" w:eastAsia="Arial" w:hAnsi="Times New Roman" w:cs="Times New Roman"/>
                <w:color w:val="000000" w:themeColor="text1"/>
                <w:sz w:val="18"/>
                <w:szCs w:val="18"/>
                <w:lang w:val="en-US"/>
              </w:rPr>
            </w:pPr>
          </w:p>
        </w:tc>
        <w:tc>
          <w:tcPr>
            <w:tcW w:w="1368" w:type="dxa"/>
            <w:tcBorders>
              <w:top w:val="single" w:sz="8" w:space="0" w:color="auto"/>
              <w:left w:val="nil"/>
              <w:bottom w:val="single" w:sz="8" w:space="0" w:color="auto"/>
              <w:right w:val="single" w:sz="8" w:space="0" w:color="auto"/>
            </w:tcBorders>
            <w:shd w:val="clear" w:color="auto" w:fill="59C5F5"/>
            <w:vAlign w:val="center"/>
            <w:hideMark/>
          </w:tcPr>
          <w:p w14:paraId="06AD12C4" w14:textId="77777777" w:rsidR="005D0FEA" w:rsidRPr="009C2B35" w:rsidRDefault="005D0FEA" w:rsidP="009C2B35">
            <w:pPr>
              <w:spacing w:line="240" w:lineRule="auto"/>
              <w:jc w:val="center"/>
              <w:rPr>
                <w:rFonts w:ascii="Times New Roman" w:eastAsia="Arial" w:hAnsi="Times New Roman" w:cs="Times New Roman"/>
                <w:b/>
                <w:bCs/>
                <w:color w:val="000000" w:themeColor="text1"/>
                <w:sz w:val="18"/>
                <w:szCs w:val="18"/>
              </w:rPr>
            </w:pPr>
            <w:r w:rsidRPr="009C2B35">
              <w:rPr>
                <w:rFonts w:ascii="Times New Roman" w:eastAsia="Arial" w:hAnsi="Times New Roman" w:cs="Times New Roman"/>
                <w:b/>
                <w:bCs/>
                <w:color w:val="000000" w:themeColor="text1"/>
                <w:sz w:val="18"/>
                <w:szCs w:val="18"/>
              </w:rPr>
              <w:t>Jan - Jul 2024</w:t>
            </w:r>
          </w:p>
        </w:tc>
        <w:tc>
          <w:tcPr>
            <w:tcW w:w="1417" w:type="dxa"/>
            <w:tcBorders>
              <w:top w:val="single" w:sz="8" w:space="0" w:color="auto"/>
              <w:left w:val="nil"/>
              <w:bottom w:val="single" w:sz="8" w:space="0" w:color="auto"/>
              <w:right w:val="single" w:sz="8" w:space="0" w:color="auto"/>
            </w:tcBorders>
            <w:shd w:val="clear" w:color="auto" w:fill="59C5F5"/>
            <w:vAlign w:val="center"/>
            <w:hideMark/>
          </w:tcPr>
          <w:p w14:paraId="38B59D5B" w14:textId="77777777" w:rsidR="005D0FEA" w:rsidRPr="009C2B35" w:rsidRDefault="005D0FEA" w:rsidP="009C2B35">
            <w:pPr>
              <w:spacing w:line="240" w:lineRule="auto"/>
              <w:jc w:val="center"/>
              <w:rPr>
                <w:rFonts w:ascii="Times New Roman" w:eastAsia="Arial" w:hAnsi="Times New Roman" w:cs="Times New Roman"/>
                <w:b/>
                <w:bCs/>
                <w:color w:val="000000" w:themeColor="text1"/>
                <w:sz w:val="18"/>
                <w:szCs w:val="18"/>
              </w:rPr>
            </w:pPr>
            <w:r w:rsidRPr="009C2B35">
              <w:rPr>
                <w:rFonts w:ascii="Times New Roman" w:eastAsia="Arial" w:hAnsi="Times New Roman" w:cs="Times New Roman"/>
                <w:b/>
                <w:bCs/>
                <w:color w:val="000000" w:themeColor="text1"/>
                <w:sz w:val="18"/>
                <w:szCs w:val="18"/>
              </w:rPr>
              <w:t>Jan - Jul 2025</w:t>
            </w:r>
          </w:p>
        </w:tc>
        <w:tc>
          <w:tcPr>
            <w:tcW w:w="1276" w:type="dxa"/>
            <w:tcBorders>
              <w:top w:val="single" w:sz="8" w:space="0" w:color="auto"/>
              <w:left w:val="nil"/>
              <w:bottom w:val="single" w:sz="8" w:space="0" w:color="auto"/>
              <w:right w:val="single" w:sz="8" w:space="0" w:color="auto"/>
            </w:tcBorders>
            <w:shd w:val="clear" w:color="auto" w:fill="59C5F5"/>
            <w:vAlign w:val="center"/>
            <w:hideMark/>
          </w:tcPr>
          <w:p w14:paraId="1D64C082" w14:textId="7F27D7BA" w:rsidR="005D0FEA" w:rsidRPr="009C2B35" w:rsidRDefault="005D0FEA" w:rsidP="009C2B35">
            <w:pPr>
              <w:spacing w:line="240" w:lineRule="auto"/>
              <w:jc w:val="center"/>
              <w:rPr>
                <w:rFonts w:ascii="Times New Roman" w:eastAsia="Arial" w:hAnsi="Times New Roman" w:cs="Times New Roman"/>
                <w:b/>
                <w:bCs/>
                <w:color w:val="000000" w:themeColor="text1"/>
                <w:sz w:val="18"/>
                <w:szCs w:val="18"/>
              </w:rPr>
            </w:pPr>
            <w:r w:rsidRPr="009C2B35">
              <w:rPr>
                <w:rFonts w:ascii="Times New Roman" w:eastAsia="Arial" w:hAnsi="Times New Roman" w:cs="Times New Roman"/>
                <w:b/>
                <w:bCs/>
                <w:color w:val="000000" w:themeColor="text1"/>
                <w:sz w:val="18"/>
                <w:szCs w:val="18"/>
              </w:rPr>
              <w:t>Difference</w:t>
            </w:r>
            <w:r w:rsidR="009C2B35">
              <w:rPr>
                <w:rFonts w:ascii="Times New Roman" w:eastAsia="Arial" w:hAnsi="Times New Roman" w:cs="Times New Roman"/>
                <w:b/>
                <w:bCs/>
                <w:color w:val="000000" w:themeColor="text1"/>
                <w:sz w:val="18"/>
                <w:szCs w:val="18"/>
                <w:lang w:val="en-US"/>
              </w:rPr>
              <w:t xml:space="preserve"> </w:t>
            </w:r>
            <w:r w:rsidRPr="009C2B35">
              <w:rPr>
                <w:rFonts w:ascii="Times New Roman" w:eastAsia="Arial" w:hAnsi="Times New Roman" w:cs="Times New Roman"/>
                <w:b/>
                <w:bCs/>
                <w:color w:val="000000" w:themeColor="text1"/>
                <w:sz w:val="18"/>
                <w:szCs w:val="18"/>
              </w:rPr>
              <w:t>2024-2025</w:t>
            </w:r>
          </w:p>
        </w:tc>
        <w:tc>
          <w:tcPr>
            <w:tcW w:w="1296" w:type="dxa"/>
            <w:tcBorders>
              <w:top w:val="single" w:sz="8" w:space="0" w:color="auto"/>
              <w:left w:val="nil"/>
              <w:bottom w:val="single" w:sz="8" w:space="0" w:color="auto"/>
              <w:right w:val="single" w:sz="8" w:space="0" w:color="auto"/>
            </w:tcBorders>
            <w:shd w:val="clear" w:color="auto" w:fill="59C5F5"/>
            <w:vAlign w:val="center"/>
            <w:hideMark/>
          </w:tcPr>
          <w:p w14:paraId="770ACD12" w14:textId="41AC3DC5" w:rsidR="005D0FEA" w:rsidRPr="009C2B35" w:rsidRDefault="005D0FEA" w:rsidP="009C2B35">
            <w:pPr>
              <w:spacing w:line="240" w:lineRule="auto"/>
              <w:jc w:val="center"/>
              <w:rPr>
                <w:rFonts w:ascii="Times New Roman" w:eastAsia="Arial" w:hAnsi="Times New Roman" w:cs="Times New Roman"/>
                <w:b/>
                <w:bCs/>
                <w:color w:val="000000" w:themeColor="text1"/>
                <w:sz w:val="18"/>
                <w:szCs w:val="18"/>
              </w:rPr>
            </w:pPr>
            <w:r w:rsidRPr="009C2B35">
              <w:rPr>
                <w:rFonts w:ascii="Times New Roman" w:eastAsia="Arial" w:hAnsi="Times New Roman" w:cs="Times New Roman"/>
                <w:b/>
                <w:bCs/>
                <w:color w:val="000000" w:themeColor="text1"/>
                <w:sz w:val="18"/>
                <w:szCs w:val="18"/>
              </w:rPr>
              <w:t>% Difference</w:t>
            </w:r>
            <w:r w:rsidR="009C2B35">
              <w:rPr>
                <w:rFonts w:ascii="Times New Roman" w:eastAsia="Arial" w:hAnsi="Times New Roman" w:cs="Times New Roman"/>
                <w:b/>
                <w:bCs/>
                <w:color w:val="000000" w:themeColor="text1"/>
                <w:sz w:val="18"/>
                <w:szCs w:val="18"/>
                <w:lang w:val="en-US"/>
              </w:rPr>
              <w:t xml:space="preserve"> </w:t>
            </w:r>
            <w:r w:rsidRPr="009C2B35">
              <w:rPr>
                <w:rFonts w:ascii="Times New Roman" w:eastAsia="Arial" w:hAnsi="Times New Roman" w:cs="Times New Roman"/>
                <w:b/>
                <w:bCs/>
                <w:color w:val="000000" w:themeColor="text1"/>
                <w:sz w:val="18"/>
                <w:szCs w:val="18"/>
              </w:rPr>
              <w:t>2024-2025</w:t>
            </w:r>
          </w:p>
        </w:tc>
      </w:tr>
      <w:tr w:rsidR="005D0FEA" w:rsidRPr="009C2B35" w14:paraId="2A5DB8A2"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FFF"/>
            <w:noWrap/>
            <w:vAlign w:val="center"/>
            <w:hideMark/>
          </w:tcPr>
          <w:p w14:paraId="26FD76B4" w14:textId="77777777" w:rsidR="005D0FEA" w:rsidRPr="009C2B35" w:rsidRDefault="005D0FEA" w:rsidP="009C2B35">
            <w:pPr>
              <w:spacing w:line="240" w:lineRule="auto"/>
              <w:rPr>
                <w:rFonts w:ascii="Times New Roman" w:eastAsia="Arial" w:hAnsi="Times New Roman" w:cs="Times New Roman"/>
                <w:color w:val="000000" w:themeColor="text1"/>
                <w:sz w:val="18"/>
                <w:szCs w:val="18"/>
              </w:rPr>
            </w:pPr>
            <w:r w:rsidRPr="009C2B35">
              <w:rPr>
                <w:rFonts w:ascii="Times New Roman" w:eastAsia="Arial" w:hAnsi="Times New Roman" w:cs="Times New Roman"/>
                <w:color w:val="000000" w:themeColor="text1"/>
                <w:sz w:val="18"/>
                <w:szCs w:val="18"/>
              </w:rPr>
              <w:t> </w:t>
            </w:r>
          </w:p>
        </w:tc>
        <w:tc>
          <w:tcPr>
            <w:tcW w:w="1368" w:type="dxa"/>
            <w:tcBorders>
              <w:top w:val="nil"/>
              <w:left w:val="nil"/>
              <w:bottom w:val="single" w:sz="8" w:space="0" w:color="auto"/>
              <w:right w:val="single" w:sz="8" w:space="0" w:color="auto"/>
            </w:tcBorders>
            <w:shd w:val="clear" w:color="auto" w:fill="FFFFFF"/>
            <w:vAlign w:val="center"/>
            <w:hideMark/>
          </w:tcPr>
          <w:p w14:paraId="64BFADEE"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(a)</w:t>
            </w:r>
          </w:p>
        </w:tc>
        <w:tc>
          <w:tcPr>
            <w:tcW w:w="1417" w:type="dxa"/>
            <w:tcBorders>
              <w:top w:val="nil"/>
              <w:left w:val="nil"/>
              <w:bottom w:val="single" w:sz="8" w:space="0" w:color="auto"/>
              <w:right w:val="single" w:sz="8" w:space="0" w:color="auto"/>
            </w:tcBorders>
            <w:shd w:val="clear" w:color="auto" w:fill="FFFFFF"/>
            <w:vAlign w:val="center"/>
            <w:hideMark/>
          </w:tcPr>
          <w:p w14:paraId="28807BCC"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(b)</w:t>
            </w:r>
          </w:p>
        </w:tc>
        <w:tc>
          <w:tcPr>
            <w:tcW w:w="1276" w:type="dxa"/>
            <w:tcBorders>
              <w:top w:val="nil"/>
              <w:left w:val="nil"/>
              <w:bottom w:val="single" w:sz="8" w:space="0" w:color="auto"/>
              <w:right w:val="single" w:sz="8" w:space="0" w:color="auto"/>
            </w:tcBorders>
            <w:shd w:val="clear" w:color="auto" w:fill="FFFFFF"/>
            <w:vAlign w:val="center"/>
            <w:hideMark/>
          </w:tcPr>
          <w:p w14:paraId="641A1002"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(c) = (b) - (a)</w:t>
            </w:r>
          </w:p>
        </w:tc>
        <w:tc>
          <w:tcPr>
            <w:tcW w:w="1296" w:type="dxa"/>
            <w:tcBorders>
              <w:top w:val="nil"/>
              <w:left w:val="nil"/>
              <w:bottom w:val="single" w:sz="8" w:space="0" w:color="auto"/>
              <w:right w:val="single" w:sz="8" w:space="0" w:color="auto"/>
            </w:tcBorders>
            <w:shd w:val="clear" w:color="auto" w:fill="FFFFFF"/>
            <w:vAlign w:val="center"/>
            <w:hideMark/>
          </w:tcPr>
          <w:p w14:paraId="56E500D4"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(d) = (c)/(a)</w:t>
            </w:r>
          </w:p>
        </w:tc>
      </w:tr>
      <w:tr w:rsidR="005D0FEA" w:rsidRPr="009C2B35" w14:paraId="4FB590A3"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9E7"/>
            <w:noWrap/>
            <w:vAlign w:val="center"/>
            <w:hideMark/>
          </w:tcPr>
          <w:p w14:paraId="6880DCBD"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Α. Revenues</w:t>
            </w:r>
          </w:p>
        </w:tc>
        <w:tc>
          <w:tcPr>
            <w:tcW w:w="1368" w:type="dxa"/>
            <w:tcBorders>
              <w:top w:val="nil"/>
              <w:left w:val="nil"/>
              <w:bottom w:val="single" w:sz="8" w:space="0" w:color="auto"/>
              <w:right w:val="single" w:sz="8" w:space="0" w:color="auto"/>
            </w:tcBorders>
            <w:shd w:val="clear" w:color="auto" w:fill="FFFFFF" w:themeFill="background1"/>
            <w:noWrap/>
            <w:vAlign w:val="center"/>
            <w:hideMark/>
          </w:tcPr>
          <w:p w14:paraId="32A14036"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59,745</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14:paraId="6F2933A0"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65,671</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1AAE836E"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5,926</w:t>
            </w:r>
          </w:p>
        </w:tc>
        <w:tc>
          <w:tcPr>
            <w:tcW w:w="1296" w:type="dxa"/>
            <w:tcBorders>
              <w:top w:val="nil"/>
              <w:left w:val="nil"/>
              <w:bottom w:val="single" w:sz="8" w:space="0" w:color="auto"/>
              <w:right w:val="single" w:sz="8" w:space="0" w:color="auto"/>
            </w:tcBorders>
            <w:shd w:val="clear" w:color="auto" w:fill="FFFFFF" w:themeFill="background1"/>
            <w:noWrap/>
            <w:vAlign w:val="center"/>
            <w:hideMark/>
          </w:tcPr>
          <w:p w14:paraId="33F4C1A4"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9.9%</w:t>
            </w:r>
          </w:p>
        </w:tc>
      </w:tr>
      <w:tr w:rsidR="005D0FEA" w:rsidRPr="009C2B35" w14:paraId="0A55C998"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9E7"/>
            <w:noWrap/>
            <w:vAlign w:val="center"/>
            <w:hideMark/>
          </w:tcPr>
          <w:p w14:paraId="037A91D0"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 xml:space="preserve">Β. Expenditures </w:t>
            </w:r>
          </w:p>
        </w:tc>
        <w:tc>
          <w:tcPr>
            <w:tcW w:w="1368" w:type="dxa"/>
            <w:tcBorders>
              <w:top w:val="nil"/>
              <w:left w:val="nil"/>
              <w:bottom w:val="single" w:sz="8" w:space="0" w:color="auto"/>
              <w:right w:val="single" w:sz="8" w:space="0" w:color="auto"/>
            </w:tcBorders>
            <w:shd w:val="clear" w:color="auto" w:fill="FFFFFF" w:themeFill="background1"/>
            <w:noWrap/>
            <w:vAlign w:val="center"/>
            <w:hideMark/>
          </w:tcPr>
          <w:p w14:paraId="10388ED0"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53,774</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14:paraId="64CB8885"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56,872</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6F4130AD"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3,098</w:t>
            </w:r>
          </w:p>
        </w:tc>
        <w:tc>
          <w:tcPr>
            <w:tcW w:w="1296" w:type="dxa"/>
            <w:tcBorders>
              <w:top w:val="nil"/>
              <w:left w:val="nil"/>
              <w:bottom w:val="single" w:sz="8" w:space="0" w:color="auto"/>
              <w:right w:val="single" w:sz="8" w:space="0" w:color="auto"/>
            </w:tcBorders>
            <w:shd w:val="clear" w:color="auto" w:fill="FFFFFF" w:themeFill="background1"/>
            <w:noWrap/>
            <w:vAlign w:val="center"/>
            <w:hideMark/>
          </w:tcPr>
          <w:p w14:paraId="32F55F4D"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5.8%</w:t>
            </w:r>
          </w:p>
        </w:tc>
      </w:tr>
      <w:tr w:rsidR="005D0FEA" w:rsidRPr="009C2B35" w14:paraId="2232D652"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9E7"/>
            <w:vAlign w:val="center"/>
            <w:hideMark/>
          </w:tcPr>
          <w:p w14:paraId="18237DAD"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lang w:val="en-US"/>
              </w:rPr>
            </w:pPr>
            <w:r w:rsidRPr="009C2B35">
              <w:rPr>
                <w:rFonts w:ascii="Times New Roman" w:eastAsia="Arial" w:hAnsi="Times New Roman" w:cs="Times New Roman"/>
                <w:bCs/>
                <w:color w:val="000000" w:themeColor="text1"/>
                <w:sz w:val="18"/>
                <w:szCs w:val="18"/>
                <w:lang w:val="en-US"/>
              </w:rPr>
              <w:t xml:space="preserve">C. Net acquisitions of non-financial assets </w:t>
            </w:r>
          </w:p>
        </w:tc>
        <w:tc>
          <w:tcPr>
            <w:tcW w:w="1368" w:type="dxa"/>
            <w:tcBorders>
              <w:top w:val="nil"/>
              <w:left w:val="nil"/>
              <w:bottom w:val="single" w:sz="8" w:space="0" w:color="auto"/>
              <w:right w:val="single" w:sz="8" w:space="0" w:color="auto"/>
            </w:tcBorders>
            <w:shd w:val="clear" w:color="auto" w:fill="FFFFFF" w:themeFill="background1"/>
            <w:noWrap/>
            <w:vAlign w:val="center"/>
            <w:hideMark/>
          </w:tcPr>
          <w:p w14:paraId="249904D4"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lang w:val="en-US"/>
              </w:rPr>
              <w:t xml:space="preserve">  </w:t>
            </w:r>
            <w:r w:rsidRPr="009C2B35">
              <w:rPr>
                <w:rFonts w:ascii="Times New Roman" w:eastAsia="Arial" w:hAnsi="Times New Roman" w:cs="Times New Roman"/>
                <w:bCs/>
                <w:color w:val="000000" w:themeColor="text1"/>
                <w:sz w:val="18"/>
                <w:szCs w:val="18"/>
              </w:rPr>
              <w:t>5,543</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14:paraId="1D5B0E96"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4,438</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494B549A"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-1,105</w:t>
            </w:r>
          </w:p>
        </w:tc>
        <w:tc>
          <w:tcPr>
            <w:tcW w:w="1296" w:type="dxa"/>
            <w:tcBorders>
              <w:top w:val="nil"/>
              <w:left w:val="nil"/>
              <w:bottom w:val="single" w:sz="8" w:space="0" w:color="auto"/>
              <w:right w:val="single" w:sz="8" w:space="0" w:color="auto"/>
            </w:tcBorders>
            <w:shd w:val="clear" w:color="auto" w:fill="FFFFFF" w:themeFill="background1"/>
            <w:noWrap/>
            <w:vAlign w:val="center"/>
            <w:hideMark/>
          </w:tcPr>
          <w:p w14:paraId="69F9760E"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-19.9%</w:t>
            </w:r>
          </w:p>
        </w:tc>
      </w:tr>
      <w:tr w:rsidR="005D0FEA" w:rsidRPr="009C2B35" w14:paraId="5183EA62"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9E7"/>
            <w:vAlign w:val="center"/>
            <w:hideMark/>
          </w:tcPr>
          <w:p w14:paraId="1354DC76"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lang w:val="en-US"/>
              </w:rPr>
            </w:pPr>
            <w:r w:rsidRPr="009C2B35">
              <w:rPr>
                <w:rFonts w:ascii="Times New Roman" w:eastAsia="Arial" w:hAnsi="Times New Roman" w:cs="Times New Roman"/>
                <w:bCs/>
                <w:color w:val="000000" w:themeColor="text1"/>
                <w:sz w:val="18"/>
                <w:szCs w:val="18"/>
                <w:lang w:val="en-US"/>
              </w:rPr>
              <w:t>Surplus/ Deficit  (</w:t>
            </w:r>
            <w:r w:rsidRPr="009C2B35">
              <w:rPr>
                <w:rFonts w:ascii="Times New Roman" w:eastAsia="Arial" w:hAnsi="Times New Roman" w:cs="Times New Roman"/>
                <w:bCs/>
                <w:color w:val="000000" w:themeColor="text1"/>
                <w:sz w:val="18"/>
                <w:szCs w:val="18"/>
              </w:rPr>
              <w:t>Α</w:t>
            </w:r>
            <w:r w:rsidRPr="009C2B35">
              <w:rPr>
                <w:rFonts w:ascii="Times New Roman" w:eastAsia="Arial" w:hAnsi="Times New Roman" w:cs="Times New Roman"/>
                <w:bCs/>
                <w:color w:val="000000" w:themeColor="text1"/>
                <w:sz w:val="18"/>
                <w:szCs w:val="18"/>
                <w:lang w:val="en-US"/>
              </w:rPr>
              <w:t>-</w:t>
            </w:r>
            <w:r w:rsidRPr="009C2B35">
              <w:rPr>
                <w:rFonts w:ascii="Times New Roman" w:eastAsia="Arial" w:hAnsi="Times New Roman" w:cs="Times New Roman"/>
                <w:bCs/>
                <w:color w:val="000000" w:themeColor="text1"/>
                <w:sz w:val="18"/>
                <w:szCs w:val="18"/>
              </w:rPr>
              <w:t>Β</w:t>
            </w:r>
            <w:r w:rsidRPr="009C2B35">
              <w:rPr>
                <w:rFonts w:ascii="Times New Roman" w:eastAsia="Arial" w:hAnsi="Times New Roman" w:cs="Times New Roman"/>
                <w:bCs/>
                <w:color w:val="000000" w:themeColor="text1"/>
                <w:sz w:val="18"/>
                <w:szCs w:val="18"/>
                <w:lang w:val="en-US"/>
              </w:rPr>
              <w:t>-C)</w:t>
            </w:r>
          </w:p>
        </w:tc>
        <w:tc>
          <w:tcPr>
            <w:tcW w:w="1368" w:type="dxa"/>
            <w:tcBorders>
              <w:top w:val="nil"/>
              <w:left w:val="nil"/>
              <w:bottom w:val="single" w:sz="8" w:space="0" w:color="auto"/>
              <w:right w:val="single" w:sz="8" w:space="0" w:color="auto"/>
            </w:tcBorders>
            <w:shd w:val="clear" w:color="auto" w:fill="FFFFFF" w:themeFill="background1"/>
            <w:noWrap/>
            <w:vAlign w:val="center"/>
            <w:hideMark/>
          </w:tcPr>
          <w:p w14:paraId="399A5816"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428</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14:paraId="713206D3"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4,361</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273CCDC1" w14:textId="77777777" w:rsidR="005D0FEA" w:rsidRPr="009C2B35" w:rsidRDefault="005D0FEA" w:rsidP="009C2B35">
            <w:pPr>
              <w:spacing w:line="240" w:lineRule="auto"/>
              <w:jc w:val="center"/>
              <w:rPr>
                <w:rFonts w:ascii="Times New Roman" w:eastAsia="Arial" w:hAnsi="Times New Roman" w:cs="Times New Roman"/>
                <w:color w:val="000000" w:themeColor="text1"/>
                <w:sz w:val="18"/>
                <w:szCs w:val="18"/>
              </w:rPr>
            </w:pPr>
            <w:r w:rsidRPr="009C2B35">
              <w:rPr>
                <w:rFonts w:ascii="Times New Roman" w:eastAsia="Arial" w:hAnsi="Times New Roman" w:cs="Times New Roman"/>
                <w:color w:val="000000" w:themeColor="text1"/>
                <w:sz w:val="18"/>
                <w:szCs w:val="18"/>
              </w:rPr>
              <w:t>3,933</w:t>
            </w:r>
          </w:p>
        </w:tc>
        <w:tc>
          <w:tcPr>
            <w:tcW w:w="1296" w:type="dxa"/>
            <w:tcBorders>
              <w:top w:val="nil"/>
              <w:left w:val="nil"/>
              <w:bottom w:val="single" w:sz="8" w:space="0" w:color="auto"/>
              <w:right w:val="single" w:sz="8" w:space="0" w:color="auto"/>
            </w:tcBorders>
            <w:shd w:val="clear" w:color="auto" w:fill="FFFFFF" w:themeFill="background1"/>
            <w:noWrap/>
            <w:vAlign w:val="center"/>
            <w:hideMark/>
          </w:tcPr>
          <w:p w14:paraId="62AE3DC0" w14:textId="77777777" w:rsidR="005D0FEA" w:rsidRPr="009C2B35" w:rsidRDefault="005D0FEA" w:rsidP="009C2B35">
            <w:pPr>
              <w:spacing w:line="240" w:lineRule="auto"/>
              <w:rPr>
                <w:rFonts w:ascii="Times New Roman" w:eastAsia="Arial" w:hAnsi="Times New Roman" w:cs="Times New Roman"/>
                <w:color w:val="000000" w:themeColor="text1"/>
                <w:sz w:val="18"/>
                <w:szCs w:val="18"/>
              </w:rPr>
            </w:pPr>
          </w:p>
        </w:tc>
      </w:tr>
      <w:tr w:rsidR="005D0FEA" w:rsidRPr="009C2B35" w14:paraId="18204CF4"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9E7"/>
            <w:noWrap/>
            <w:vAlign w:val="center"/>
            <w:hideMark/>
          </w:tcPr>
          <w:p w14:paraId="4CC38033"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 xml:space="preserve">     % GDP</w:t>
            </w:r>
          </w:p>
        </w:tc>
        <w:tc>
          <w:tcPr>
            <w:tcW w:w="1368" w:type="dxa"/>
            <w:tcBorders>
              <w:top w:val="nil"/>
              <w:left w:val="nil"/>
              <w:bottom w:val="single" w:sz="8" w:space="0" w:color="auto"/>
              <w:right w:val="single" w:sz="8" w:space="0" w:color="auto"/>
            </w:tcBorders>
            <w:shd w:val="clear" w:color="auto" w:fill="FFFFFF" w:themeFill="background1"/>
            <w:noWrap/>
            <w:vAlign w:val="center"/>
            <w:hideMark/>
          </w:tcPr>
          <w:p w14:paraId="031A1320" w14:textId="77777777" w:rsidR="005D0FEA" w:rsidRPr="009C2B35" w:rsidRDefault="005D0FEA" w:rsidP="009C2B35">
            <w:pPr>
              <w:spacing w:line="240" w:lineRule="auto"/>
              <w:jc w:val="center"/>
              <w:rPr>
                <w:rFonts w:ascii="Times New Roman" w:eastAsia="Arial" w:hAnsi="Times New Roman" w:cs="Times New Roman"/>
                <w:color w:val="000000" w:themeColor="text1"/>
                <w:sz w:val="18"/>
                <w:szCs w:val="18"/>
              </w:rPr>
            </w:pPr>
            <w:r w:rsidRPr="009C2B35">
              <w:rPr>
                <w:rFonts w:ascii="Times New Roman" w:eastAsia="Arial" w:hAnsi="Times New Roman" w:cs="Times New Roman"/>
                <w:color w:val="000000" w:themeColor="text1"/>
                <w:sz w:val="18"/>
                <w:szCs w:val="18"/>
              </w:rPr>
              <w:t>0.2%</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14:paraId="1A5C6A00" w14:textId="77777777" w:rsidR="005D0FEA" w:rsidRPr="009C2B35" w:rsidRDefault="005D0FEA" w:rsidP="009C2B35">
            <w:pPr>
              <w:spacing w:line="240" w:lineRule="auto"/>
              <w:jc w:val="center"/>
              <w:rPr>
                <w:rFonts w:ascii="Times New Roman" w:eastAsia="Arial" w:hAnsi="Times New Roman" w:cs="Times New Roman"/>
                <w:color w:val="000000" w:themeColor="text1"/>
                <w:sz w:val="18"/>
                <w:szCs w:val="18"/>
              </w:rPr>
            </w:pPr>
            <w:r w:rsidRPr="009C2B35">
              <w:rPr>
                <w:rFonts w:ascii="Times New Roman" w:eastAsia="Arial" w:hAnsi="Times New Roman" w:cs="Times New Roman"/>
                <w:color w:val="000000" w:themeColor="text1"/>
                <w:sz w:val="18"/>
                <w:szCs w:val="18"/>
              </w:rPr>
              <w:t>1.8%</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665B3E64" w14:textId="77777777" w:rsidR="005D0FEA" w:rsidRPr="009C2B35" w:rsidRDefault="005D0FEA" w:rsidP="009C2B35">
            <w:pPr>
              <w:spacing w:line="240" w:lineRule="auto"/>
              <w:rPr>
                <w:rFonts w:ascii="Times New Roman" w:eastAsia="Arial" w:hAnsi="Times New Roman" w:cs="Times New Roman"/>
                <w:color w:val="000000" w:themeColor="text1"/>
                <w:sz w:val="18"/>
                <w:szCs w:val="18"/>
              </w:rPr>
            </w:pPr>
          </w:p>
        </w:tc>
        <w:tc>
          <w:tcPr>
            <w:tcW w:w="1296" w:type="dxa"/>
            <w:tcBorders>
              <w:top w:val="nil"/>
              <w:left w:val="nil"/>
              <w:bottom w:val="single" w:sz="8" w:space="0" w:color="auto"/>
              <w:right w:val="single" w:sz="8" w:space="0" w:color="auto"/>
            </w:tcBorders>
            <w:shd w:val="clear" w:color="auto" w:fill="FFFFFF" w:themeFill="background1"/>
            <w:noWrap/>
            <w:vAlign w:val="center"/>
            <w:hideMark/>
          </w:tcPr>
          <w:p w14:paraId="5575829B" w14:textId="77777777" w:rsidR="005D0FEA" w:rsidRPr="009C2B35" w:rsidRDefault="005D0FEA" w:rsidP="009C2B35">
            <w:pPr>
              <w:spacing w:line="240" w:lineRule="auto"/>
              <w:rPr>
                <w:rFonts w:asciiTheme="minorHAnsi" w:eastAsiaTheme="minorHAnsi" w:hAnsiTheme="minorHAnsi"/>
                <w:sz w:val="18"/>
                <w:szCs w:val="18"/>
              </w:rPr>
            </w:pPr>
          </w:p>
        </w:tc>
      </w:tr>
      <w:tr w:rsidR="005D0FEA" w:rsidRPr="009C2B35" w14:paraId="76EB877B"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9E7"/>
            <w:noWrap/>
            <w:vAlign w:val="center"/>
            <w:hideMark/>
          </w:tcPr>
          <w:p w14:paraId="2A34DB8C"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lang w:val="en-US"/>
              </w:rPr>
            </w:pPr>
            <w:r w:rsidRPr="009C2B35">
              <w:rPr>
                <w:rFonts w:ascii="Times New Roman" w:eastAsia="Arial" w:hAnsi="Times New Roman" w:cs="Times New Roman"/>
                <w:bCs/>
                <w:color w:val="000000" w:themeColor="text1"/>
                <w:sz w:val="18"/>
                <w:szCs w:val="18"/>
                <w:lang w:val="en-US"/>
              </w:rPr>
              <w:t xml:space="preserve">Primary Balance of General Government  </w:t>
            </w:r>
          </w:p>
        </w:tc>
        <w:tc>
          <w:tcPr>
            <w:tcW w:w="1368" w:type="dxa"/>
            <w:tcBorders>
              <w:top w:val="nil"/>
              <w:left w:val="nil"/>
              <w:bottom w:val="single" w:sz="8" w:space="0" w:color="auto"/>
              <w:right w:val="single" w:sz="8" w:space="0" w:color="auto"/>
            </w:tcBorders>
            <w:shd w:val="clear" w:color="auto" w:fill="FFFFFF" w:themeFill="background1"/>
            <w:noWrap/>
            <w:vAlign w:val="center"/>
            <w:hideMark/>
          </w:tcPr>
          <w:p w14:paraId="48D75875"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5,261</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14:paraId="08696F1A"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9,147</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4FD7EFD1"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3,886</w:t>
            </w:r>
          </w:p>
        </w:tc>
        <w:tc>
          <w:tcPr>
            <w:tcW w:w="1296" w:type="dxa"/>
            <w:tcBorders>
              <w:top w:val="nil"/>
              <w:left w:val="nil"/>
              <w:bottom w:val="single" w:sz="8" w:space="0" w:color="auto"/>
              <w:right w:val="single" w:sz="8" w:space="0" w:color="auto"/>
            </w:tcBorders>
            <w:shd w:val="clear" w:color="auto" w:fill="FFFFFF" w:themeFill="background1"/>
            <w:noWrap/>
            <w:vAlign w:val="center"/>
            <w:hideMark/>
          </w:tcPr>
          <w:p w14:paraId="2A1807AF"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rPr>
            </w:pPr>
          </w:p>
        </w:tc>
      </w:tr>
      <w:tr w:rsidR="005D0FEA" w:rsidRPr="009C2B35" w14:paraId="5FCFF155"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9E7"/>
            <w:noWrap/>
            <w:vAlign w:val="center"/>
            <w:hideMark/>
          </w:tcPr>
          <w:p w14:paraId="44B981C1"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 xml:space="preserve">     %  GDP </w:t>
            </w:r>
          </w:p>
        </w:tc>
        <w:tc>
          <w:tcPr>
            <w:tcW w:w="1368" w:type="dxa"/>
            <w:tcBorders>
              <w:top w:val="nil"/>
              <w:left w:val="nil"/>
              <w:bottom w:val="single" w:sz="8" w:space="0" w:color="auto"/>
              <w:right w:val="single" w:sz="8" w:space="0" w:color="auto"/>
            </w:tcBorders>
            <w:shd w:val="clear" w:color="auto" w:fill="FFFFFF" w:themeFill="background1"/>
            <w:noWrap/>
            <w:vAlign w:val="center"/>
            <w:hideMark/>
          </w:tcPr>
          <w:p w14:paraId="1BB39D8F" w14:textId="77777777" w:rsidR="005D0FEA" w:rsidRPr="009C2B35" w:rsidRDefault="005D0FEA" w:rsidP="009C2B35">
            <w:pPr>
              <w:spacing w:line="240" w:lineRule="auto"/>
              <w:jc w:val="center"/>
              <w:rPr>
                <w:rFonts w:ascii="Times New Roman" w:eastAsia="Arial" w:hAnsi="Times New Roman" w:cs="Times New Roman"/>
                <w:color w:val="000000" w:themeColor="text1"/>
                <w:sz w:val="18"/>
                <w:szCs w:val="18"/>
              </w:rPr>
            </w:pPr>
            <w:r w:rsidRPr="009C2B35">
              <w:rPr>
                <w:rFonts w:ascii="Times New Roman" w:eastAsia="Arial" w:hAnsi="Times New Roman" w:cs="Times New Roman"/>
                <w:color w:val="000000" w:themeColor="text1"/>
                <w:sz w:val="18"/>
                <w:szCs w:val="18"/>
              </w:rPr>
              <w:t>2.2%</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14:paraId="54B0459F" w14:textId="77777777" w:rsidR="005D0FEA" w:rsidRPr="009C2B35" w:rsidRDefault="005D0FEA" w:rsidP="009C2B35">
            <w:pPr>
              <w:spacing w:line="240" w:lineRule="auto"/>
              <w:jc w:val="center"/>
              <w:rPr>
                <w:rFonts w:ascii="Times New Roman" w:eastAsia="Arial" w:hAnsi="Times New Roman" w:cs="Times New Roman"/>
                <w:color w:val="000000" w:themeColor="text1"/>
                <w:sz w:val="18"/>
                <w:szCs w:val="18"/>
              </w:rPr>
            </w:pPr>
            <w:r w:rsidRPr="009C2B35">
              <w:rPr>
                <w:rFonts w:ascii="Times New Roman" w:eastAsia="Arial" w:hAnsi="Times New Roman" w:cs="Times New Roman"/>
                <w:color w:val="000000" w:themeColor="text1"/>
                <w:sz w:val="18"/>
                <w:szCs w:val="18"/>
              </w:rPr>
              <w:t>3.7%</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096BDA54" w14:textId="77777777" w:rsidR="005D0FEA" w:rsidRPr="009C2B35" w:rsidRDefault="005D0FEA" w:rsidP="009C2B35">
            <w:pPr>
              <w:spacing w:line="240" w:lineRule="auto"/>
              <w:rPr>
                <w:rFonts w:ascii="Times New Roman" w:eastAsia="Arial" w:hAnsi="Times New Roman" w:cs="Times New Roman"/>
                <w:color w:val="000000" w:themeColor="text1"/>
                <w:sz w:val="18"/>
                <w:szCs w:val="18"/>
              </w:rPr>
            </w:pPr>
          </w:p>
        </w:tc>
        <w:tc>
          <w:tcPr>
            <w:tcW w:w="1296" w:type="dxa"/>
            <w:tcBorders>
              <w:top w:val="nil"/>
              <w:left w:val="nil"/>
              <w:bottom w:val="single" w:sz="8" w:space="0" w:color="auto"/>
              <w:right w:val="single" w:sz="8" w:space="0" w:color="auto"/>
            </w:tcBorders>
            <w:shd w:val="clear" w:color="auto" w:fill="FFFFFF" w:themeFill="background1"/>
            <w:noWrap/>
            <w:vAlign w:val="center"/>
            <w:hideMark/>
          </w:tcPr>
          <w:p w14:paraId="09A37BC5" w14:textId="77777777" w:rsidR="005D0FEA" w:rsidRPr="009C2B35" w:rsidRDefault="005D0FEA" w:rsidP="009C2B35">
            <w:pPr>
              <w:spacing w:line="240" w:lineRule="auto"/>
              <w:rPr>
                <w:rFonts w:asciiTheme="minorHAnsi" w:eastAsiaTheme="minorHAnsi" w:hAnsiTheme="minorHAnsi"/>
                <w:sz w:val="18"/>
                <w:szCs w:val="18"/>
              </w:rPr>
            </w:pPr>
          </w:p>
        </w:tc>
      </w:tr>
      <w:tr w:rsidR="005D0FEA" w:rsidRPr="009C2B35" w14:paraId="636DBFEF" w14:textId="77777777" w:rsidTr="009C2B35">
        <w:trPr>
          <w:trHeight w:val="113"/>
          <w:jc w:val="center"/>
        </w:trPr>
        <w:tc>
          <w:tcPr>
            <w:tcW w:w="3584" w:type="dxa"/>
            <w:tcBorders>
              <w:top w:val="nil"/>
              <w:left w:val="single" w:sz="8" w:space="0" w:color="auto"/>
              <w:bottom w:val="single" w:sz="8" w:space="0" w:color="auto"/>
              <w:right w:val="single" w:sz="8" w:space="0" w:color="auto"/>
            </w:tcBorders>
            <w:shd w:val="clear" w:color="auto" w:fill="FFF9E7"/>
            <w:noWrap/>
            <w:vAlign w:val="center"/>
            <w:hideMark/>
          </w:tcPr>
          <w:p w14:paraId="476A2FA2"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sz w:val="18"/>
                <w:szCs w:val="18"/>
              </w:rPr>
              <w:t>GDP</w:t>
            </w:r>
          </w:p>
        </w:tc>
        <w:tc>
          <w:tcPr>
            <w:tcW w:w="1368" w:type="dxa"/>
            <w:tcBorders>
              <w:top w:val="nil"/>
              <w:left w:val="nil"/>
              <w:bottom w:val="single" w:sz="8" w:space="0" w:color="auto"/>
              <w:right w:val="single" w:sz="8" w:space="0" w:color="auto"/>
            </w:tcBorders>
            <w:shd w:val="clear" w:color="auto" w:fill="FFFFFF" w:themeFill="background1"/>
            <w:vAlign w:val="center"/>
            <w:hideMark/>
          </w:tcPr>
          <w:p w14:paraId="4FB226F4"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237,573</w:t>
            </w:r>
          </w:p>
        </w:tc>
        <w:tc>
          <w:tcPr>
            <w:tcW w:w="1417" w:type="dxa"/>
            <w:tcBorders>
              <w:top w:val="nil"/>
              <w:left w:val="nil"/>
              <w:bottom w:val="single" w:sz="8" w:space="0" w:color="auto"/>
              <w:right w:val="single" w:sz="8" w:space="0" w:color="auto"/>
            </w:tcBorders>
            <w:shd w:val="clear" w:color="auto" w:fill="FFFFFF" w:themeFill="background1"/>
            <w:vAlign w:val="center"/>
            <w:hideMark/>
          </w:tcPr>
          <w:p w14:paraId="008D34F6" w14:textId="77777777" w:rsidR="005D0FEA" w:rsidRPr="009C2B35" w:rsidRDefault="005D0FEA" w:rsidP="009C2B35">
            <w:pPr>
              <w:spacing w:line="240" w:lineRule="auto"/>
              <w:jc w:val="center"/>
              <w:rPr>
                <w:rFonts w:ascii="Times New Roman" w:eastAsia="Arial" w:hAnsi="Times New Roman" w:cs="Times New Roman"/>
                <w:bCs/>
                <w:color w:val="000000" w:themeColor="text1"/>
                <w:sz w:val="18"/>
                <w:szCs w:val="18"/>
              </w:rPr>
            </w:pPr>
            <w:r w:rsidRPr="009C2B35">
              <w:rPr>
                <w:rFonts w:ascii="Times New Roman" w:eastAsia="Arial" w:hAnsi="Times New Roman" w:cs="Times New Roman"/>
                <w:bCs/>
                <w:color w:val="000000" w:themeColor="text1"/>
                <w:sz w:val="18"/>
                <w:szCs w:val="18"/>
              </w:rPr>
              <w:t>247,514</w:t>
            </w:r>
          </w:p>
        </w:tc>
        <w:tc>
          <w:tcPr>
            <w:tcW w:w="1276" w:type="dxa"/>
            <w:tcBorders>
              <w:top w:val="nil"/>
              <w:left w:val="nil"/>
              <w:bottom w:val="single" w:sz="8" w:space="0" w:color="auto"/>
              <w:right w:val="single" w:sz="8" w:space="0" w:color="auto"/>
            </w:tcBorders>
            <w:shd w:val="clear" w:color="auto" w:fill="FFFFFF" w:themeFill="background1"/>
            <w:noWrap/>
            <w:vAlign w:val="center"/>
            <w:hideMark/>
          </w:tcPr>
          <w:p w14:paraId="44357E6F" w14:textId="77777777" w:rsidR="005D0FEA" w:rsidRPr="009C2B35" w:rsidRDefault="005D0FEA" w:rsidP="009C2B35">
            <w:pPr>
              <w:spacing w:line="240" w:lineRule="auto"/>
              <w:rPr>
                <w:rFonts w:ascii="Times New Roman" w:eastAsia="Arial" w:hAnsi="Times New Roman" w:cs="Times New Roman"/>
                <w:bCs/>
                <w:color w:val="000000" w:themeColor="text1"/>
                <w:sz w:val="18"/>
                <w:szCs w:val="18"/>
              </w:rPr>
            </w:pPr>
          </w:p>
        </w:tc>
        <w:tc>
          <w:tcPr>
            <w:tcW w:w="1296" w:type="dxa"/>
            <w:tcBorders>
              <w:top w:val="nil"/>
              <w:left w:val="nil"/>
              <w:bottom w:val="single" w:sz="8" w:space="0" w:color="auto"/>
              <w:right w:val="single" w:sz="8" w:space="0" w:color="auto"/>
            </w:tcBorders>
            <w:shd w:val="clear" w:color="auto" w:fill="FFFFFF" w:themeFill="background1"/>
            <w:noWrap/>
            <w:vAlign w:val="center"/>
            <w:hideMark/>
          </w:tcPr>
          <w:p w14:paraId="53404396" w14:textId="77777777" w:rsidR="005D0FEA" w:rsidRPr="009C2B35" w:rsidRDefault="005D0FEA" w:rsidP="009C2B35">
            <w:pPr>
              <w:spacing w:line="240" w:lineRule="auto"/>
              <w:rPr>
                <w:rFonts w:asciiTheme="minorHAnsi" w:eastAsiaTheme="minorHAnsi" w:hAnsiTheme="minorHAnsi"/>
                <w:sz w:val="18"/>
                <w:szCs w:val="18"/>
              </w:rPr>
            </w:pPr>
          </w:p>
        </w:tc>
      </w:tr>
    </w:tbl>
    <w:p w14:paraId="046929FD" w14:textId="77777777" w:rsidR="005D0FEA" w:rsidRPr="005D0FEA" w:rsidRDefault="005D0FEA" w:rsidP="009C2B35">
      <w:pPr>
        <w:spacing w:after="120" w:line="276" w:lineRule="auto"/>
        <w:rPr>
          <w:rFonts w:ascii="Times New Roman" w:eastAsiaTheme="minorHAnsi" w:hAnsi="Times New Roman" w:cs="Times New Roman"/>
          <w:iCs/>
          <w:sz w:val="18"/>
          <w:szCs w:val="20"/>
          <w:lang w:val="en-US"/>
        </w:rPr>
      </w:pPr>
      <w:r w:rsidRPr="005D0FEA">
        <w:rPr>
          <w:rFonts w:ascii="Times New Roman" w:eastAsiaTheme="minorHAnsi" w:hAnsi="Times New Roman" w:cs="Times New Roman"/>
          <w:sz w:val="18"/>
          <w:szCs w:val="20"/>
          <w:lang w:val="en-US"/>
        </w:rPr>
        <w:t>Source: Monthly Bulletin of General Government Data, July 2025, MinFin. HFISC data processing. *</w:t>
      </w:r>
      <w:r w:rsidRPr="005D0FEA">
        <w:rPr>
          <w:rFonts w:ascii="Times New Roman" w:eastAsiaTheme="minorHAnsi" w:hAnsi="Times New Roman" w:cs="Times New Roman"/>
          <w:iCs/>
          <w:sz w:val="18"/>
          <w:szCs w:val="20"/>
          <w:lang w:val="en-US"/>
        </w:rPr>
        <w:t>Data on a cash basis</w:t>
      </w:r>
    </w:p>
    <w:p w14:paraId="517C938B" w14:textId="77777777" w:rsidR="005D0FEA" w:rsidRPr="005D0FEA" w:rsidRDefault="005D0FEA" w:rsidP="009C2B35">
      <w:pPr>
        <w:spacing w:after="120" w:line="252" w:lineRule="auto"/>
        <w:ind w:left="-6" w:right="-6" w:hanging="11"/>
        <w:rPr>
          <w:rFonts w:asciiTheme="majorBidi" w:hAnsiTheme="majorBidi" w:cstheme="majorBidi"/>
          <w:lang w:val="en-US"/>
        </w:rPr>
      </w:pPr>
      <w:r w:rsidRPr="005D0FEA">
        <w:rPr>
          <w:rFonts w:asciiTheme="majorBidi" w:eastAsia="Times New Roman" w:hAnsiTheme="majorBidi" w:cstheme="majorBidi"/>
          <w:color w:val="000000"/>
          <w:lang w:val="en-US"/>
        </w:rPr>
        <w:t xml:space="preserve">The fiscal projections of the MinFin for 2025 are broadly aligned with those of the EC and other international institutions (see, Table 2). The EC’s spring forecasts are slightly more optimistic, projecting a primary surplus of 3.8% of GDP and a general government surplus of 0.7% in 2025, rising to 4.4% and 1.4% </w:t>
      </w:r>
      <w:r w:rsidRPr="005D0FEA">
        <w:rPr>
          <w:rFonts w:asciiTheme="majorBidi" w:hAnsiTheme="majorBidi" w:cstheme="majorBidi"/>
          <w:lang w:val="en-US"/>
        </w:rPr>
        <w:t>of GDP,</w:t>
      </w:r>
      <w:r w:rsidRPr="005D0FEA">
        <w:rPr>
          <w:rFonts w:asciiTheme="majorBidi" w:eastAsia="Times New Roman" w:hAnsiTheme="majorBidi" w:cstheme="majorBidi"/>
          <w:color w:val="000000"/>
          <w:lang w:val="en-US"/>
        </w:rPr>
        <w:t xml:space="preserve"> respectively, in 2026. </w:t>
      </w:r>
      <w:r w:rsidRPr="005D0FEA">
        <w:rPr>
          <w:rFonts w:asciiTheme="majorBidi" w:hAnsiTheme="majorBidi" w:cstheme="majorBidi"/>
          <w:lang w:val="en-US"/>
        </w:rPr>
        <w:t>The IMF (April 2025) takes a more conservative view, projecting a primary surplus of 2.5% and a general government deficit of 0.5% in 2025, and 2.4% and 0.6%, respectively, in 2026. Finally, the OECD (June 2025) provides more restrained forecasts, estimating primary surpluses of 2.1% in 2025 and 2.2% in 2026, with a balanced or slightly negative general government balance. It also highlights fiscal risks from declining EU investment support, productivity challenges, and potential natural disasters or other unforeseen events that could further strain public finances.</w:t>
      </w:r>
    </w:p>
    <w:p w14:paraId="18B3BC92" w14:textId="77777777" w:rsidR="005D0FEA" w:rsidRPr="005D0FEA" w:rsidRDefault="005D0FEA" w:rsidP="009C2B35">
      <w:pPr>
        <w:spacing w:after="0" w:line="276" w:lineRule="auto"/>
        <w:ind w:left="-6" w:right="-6" w:hanging="11"/>
        <w:rPr>
          <w:rFonts w:ascii="Times New Roman" w:eastAsia="Times New Roman" w:hAnsi="Times New Roman" w:cs="Times New Roman"/>
          <w:color w:val="000000"/>
          <w:sz w:val="20"/>
          <w:lang w:val="en-US"/>
        </w:rPr>
      </w:pPr>
      <w:r w:rsidRPr="005D0FEA">
        <w:rPr>
          <w:rFonts w:ascii="Times New Roman" w:eastAsia="Times New Roman" w:hAnsi="Times New Roman" w:cs="Times New Roman"/>
          <w:color w:val="000000"/>
          <w:sz w:val="20"/>
          <w:lang w:val="en-US"/>
        </w:rPr>
        <w:t>Table 3: Forecasts by International Institutions, General Government Balance and Primary Balance (% GDP)</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281"/>
        <w:gridCol w:w="992"/>
        <w:gridCol w:w="883"/>
        <w:gridCol w:w="813"/>
        <w:gridCol w:w="850"/>
      </w:tblGrid>
      <w:tr w:rsidR="005D0FEA" w:rsidRPr="00C00483" w14:paraId="26EBFBCA" w14:textId="77777777" w:rsidTr="009C2B35">
        <w:trPr>
          <w:trHeight w:val="417"/>
          <w:jc w:val="center"/>
        </w:trPr>
        <w:tc>
          <w:tcPr>
            <w:tcW w:w="3692" w:type="dxa"/>
            <w:gridSpan w:val="2"/>
            <w:vMerge w:val="restart"/>
            <w:shd w:val="clear" w:color="auto" w:fill="59C5F5"/>
            <w:vAlign w:val="center"/>
          </w:tcPr>
          <w:p w14:paraId="73313E05" w14:textId="1C5B123B" w:rsidR="005D0FEA" w:rsidRPr="009C2B35" w:rsidRDefault="005D0FEA" w:rsidP="009C2B35">
            <w:pPr>
              <w:adjustRightInd w:val="0"/>
              <w:spacing w:line="252" w:lineRule="auto"/>
              <w:rPr>
                <w:rFonts w:ascii="Times New Roman" w:eastAsia="Calibri" w:hAnsi="Times New Roman" w:cs="Trebuchet MS"/>
                <w:color w:val="000000"/>
                <w:sz w:val="18"/>
                <w:szCs w:val="24"/>
                <w:lang w:val="en-US"/>
              </w:rPr>
            </w:pPr>
            <w:r w:rsidRPr="005D0FEA">
              <w:rPr>
                <w:rFonts w:ascii="Times New Roman" w:eastAsia="Calibri" w:hAnsi="Times New Roman" w:cs="Trebuchet MS"/>
                <w:color w:val="000000"/>
                <w:sz w:val="18"/>
                <w:szCs w:val="24"/>
                <w:lang w:val="en-US"/>
              </w:rPr>
              <w:t> </w:t>
            </w:r>
          </w:p>
        </w:tc>
        <w:tc>
          <w:tcPr>
            <w:tcW w:w="1875" w:type="dxa"/>
            <w:gridSpan w:val="2"/>
            <w:shd w:val="clear" w:color="auto" w:fill="59C5F5"/>
            <w:vAlign w:val="center"/>
          </w:tcPr>
          <w:p w14:paraId="4325383B" w14:textId="77777777" w:rsidR="005D0FEA" w:rsidRPr="00C00483" w:rsidRDefault="005D0FEA" w:rsidP="009C2B35">
            <w:pPr>
              <w:adjustRightInd w:val="0"/>
              <w:spacing w:line="252" w:lineRule="auto"/>
              <w:jc w:val="center"/>
              <w:rPr>
                <w:rFonts w:ascii="Times New Roman" w:eastAsia="Calibri" w:hAnsi="Times New Roman" w:cs="Trebuchet MS"/>
                <w:b/>
                <w:bCs/>
                <w:color w:val="000000"/>
                <w:sz w:val="18"/>
                <w:szCs w:val="24"/>
              </w:rPr>
            </w:pPr>
            <w:r>
              <w:rPr>
                <w:rFonts w:ascii="Times New Roman" w:eastAsia="Calibri" w:hAnsi="Times New Roman" w:cs="Trebuchet MS"/>
                <w:b/>
                <w:bCs/>
                <w:color w:val="000000"/>
                <w:sz w:val="18"/>
                <w:szCs w:val="24"/>
              </w:rPr>
              <w:t>General Government Balance</w:t>
            </w:r>
          </w:p>
        </w:tc>
        <w:tc>
          <w:tcPr>
            <w:tcW w:w="1663" w:type="dxa"/>
            <w:gridSpan w:val="2"/>
            <w:shd w:val="clear" w:color="auto" w:fill="59C5F5"/>
            <w:vAlign w:val="center"/>
          </w:tcPr>
          <w:p w14:paraId="05EB175D" w14:textId="77777777" w:rsidR="005D0FEA" w:rsidRPr="00C00483" w:rsidRDefault="005D0FEA" w:rsidP="009C2B35">
            <w:pPr>
              <w:adjustRightInd w:val="0"/>
              <w:spacing w:line="252" w:lineRule="auto"/>
              <w:jc w:val="center"/>
              <w:rPr>
                <w:rFonts w:ascii="Times New Roman" w:eastAsia="Calibri" w:hAnsi="Times New Roman" w:cs="Trebuchet MS"/>
                <w:b/>
                <w:bCs/>
                <w:color w:val="000000"/>
                <w:sz w:val="18"/>
                <w:szCs w:val="24"/>
              </w:rPr>
            </w:pPr>
            <w:r>
              <w:rPr>
                <w:rFonts w:ascii="Times New Roman" w:eastAsia="Calibri" w:hAnsi="Times New Roman" w:cs="Trebuchet MS"/>
                <w:b/>
                <w:bCs/>
                <w:color w:val="000000"/>
                <w:sz w:val="18"/>
                <w:szCs w:val="24"/>
              </w:rPr>
              <w:t>Primary Balance</w:t>
            </w:r>
          </w:p>
        </w:tc>
      </w:tr>
      <w:tr w:rsidR="005D0FEA" w:rsidRPr="00C00483" w14:paraId="44DDF195" w14:textId="77777777" w:rsidTr="00971CFD">
        <w:trPr>
          <w:trHeight w:val="332"/>
          <w:jc w:val="center"/>
        </w:trPr>
        <w:tc>
          <w:tcPr>
            <w:tcW w:w="3692" w:type="dxa"/>
            <w:gridSpan w:val="2"/>
            <w:vMerge/>
            <w:shd w:val="clear" w:color="auto" w:fill="59C5F5"/>
            <w:vAlign w:val="center"/>
            <w:hideMark/>
          </w:tcPr>
          <w:p w14:paraId="46274648" w14:textId="77777777" w:rsidR="005D0FEA" w:rsidRPr="00C00483" w:rsidRDefault="005D0FEA" w:rsidP="009C2B35">
            <w:pPr>
              <w:adjustRightInd w:val="0"/>
              <w:spacing w:line="252" w:lineRule="auto"/>
              <w:rPr>
                <w:rFonts w:ascii="Times New Roman" w:eastAsia="Calibri" w:hAnsi="Times New Roman" w:cs="Trebuchet MS"/>
                <w:b/>
                <w:bCs/>
                <w:color w:val="000000"/>
                <w:sz w:val="18"/>
                <w:szCs w:val="24"/>
              </w:rPr>
            </w:pPr>
          </w:p>
        </w:tc>
        <w:tc>
          <w:tcPr>
            <w:tcW w:w="992" w:type="dxa"/>
            <w:shd w:val="clear" w:color="auto" w:fill="59C5F5"/>
            <w:vAlign w:val="center"/>
            <w:hideMark/>
          </w:tcPr>
          <w:p w14:paraId="6BC00016" w14:textId="77777777" w:rsidR="005D0FEA" w:rsidRPr="00C00483" w:rsidRDefault="005D0FEA" w:rsidP="009C2B35">
            <w:pPr>
              <w:adjustRightInd w:val="0"/>
              <w:spacing w:line="252" w:lineRule="auto"/>
              <w:jc w:val="center"/>
              <w:rPr>
                <w:rFonts w:ascii="Times New Roman" w:eastAsia="Calibri" w:hAnsi="Times New Roman" w:cs="Trebuchet MS"/>
                <w:b/>
                <w:bCs/>
                <w:color w:val="000000"/>
                <w:sz w:val="18"/>
                <w:szCs w:val="24"/>
              </w:rPr>
            </w:pPr>
            <w:r w:rsidRPr="00C00483">
              <w:rPr>
                <w:rFonts w:ascii="Times New Roman" w:eastAsia="Calibri" w:hAnsi="Times New Roman" w:cs="Trebuchet MS"/>
                <w:b/>
                <w:bCs/>
                <w:color w:val="000000"/>
                <w:sz w:val="18"/>
                <w:szCs w:val="24"/>
              </w:rPr>
              <w:t>2025</w:t>
            </w:r>
          </w:p>
        </w:tc>
        <w:tc>
          <w:tcPr>
            <w:tcW w:w="883" w:type="dxa"/>
            <w:shd w:val="clear" w:color="auto" w:fill="59C5F5"/>
            <w:vAlign w:val="center"/>
            <w:hideMark/>
          </w:tcPr>
          <w:p w14:paraId="3FD03438" w14:textId="77777777" w:rsidR="005D0FEA" w:rsidRPr="00C00483" w:rsidRDefault="005D0FEA" w:rsidP="009C2B35">
            <w:pPr>
              <w:adjustRightInd w:val="0"/>
              <w:spacing w:line="252" w:lineRule="auto"/>
              <w:jc w:val="center"/>
              <w:rPr>
                <w:rFonts w:ascii="Times New Roman" w:eastAsia="Calibri" w:hAnsi="Times New Roman" w:cs="Trebuchet MS"/>
                <w:b/>
                <w:bCs/>
                <w:color w:val="000000"/>
                <w:sz w:val="18"/>
                <w:szCs w:val="24"/>
              </w:rPr>
            </w:pPr>
            <w:r w:rsidRPr="00C00483">
              <w:rPr>
                <w:rFonts w:ascii="Times New Roman" w:eastAsia="Calibri" w:hAnsi="Times New Roman" w:cs="Trebuchet MS"/>
                <w:b/>
                <w:bCs/>
                <w:color w:val="000000"/>
                <w:sz w:val="18"/>
                <w:szCs w:val="24"/>
              </w:rPr>
              <w:t>2026</w:t>
            </w:r>
          </w:p>
        </w:tc>
        <w:tc>
          <w:tcPr>
            <w:tcW w:w="813" w:type="dxa"/>
            <w:shd w:val="clear" w:color="auto" w:fill="59C5F5"/>
            <w:vAlign w:val="center"/>
          </w:tcPr>
          <w:p w14:paraId="3170154C" w14:textId="77777777" w:rsidR="005D0FEA" w:rsidRPr="00C00483" w:rsidRDefault="005D0FEA" w:rsidP="009C2B35">
            <w:pPr>
              <w:adjustRightInd w:val="0"/>
              <w:spacing w:line="252" w:lineRule="auto"/>
              <w:jc w:val="center"/>
              <w:rPr>
                <w:rFonts w:ascii="Times New Roman" w:eastAsia="Calibri" w:hAnsi="Times New Roman" w:cs="Trebuchet MS"/>
                <w:b/>
                <w:bCs/>
                <w:color w:val="000000"/>
                <w:sz w:val="18"/>
                <w:szCs w:val="24"/>
              </w:rPr>
            </w:pPr>
            <w:r w:rsidRPr="00C00483">
              <w:rPr>
                <w:rFonts w:ascii="Times New Roman" w:eastAsia="Calibri" w:hAnsi="Times New Roman" w:cs="Trebuchet MS"/>
                <w:b/>
                <w:bCs/>
                <w:color w:val="000000"/>
                <w:sz w:val="18"/>
                <w:szCs w:val="24"/>
              </w:rPr>
              <w:t>2025</w:t>
            </w:r>
          </w:p>
        </w:tc>
        <w:tc>
          <w:tcPr>
            <w:tcW w:w="850" w:type="dxa"/>
            <w:shd w:val="clear" w:color="auto" w:fill="59C5F5"/>
            <w:vAlign w:val="center"/>
          </w:tcPr>
          <w:p w14:paraId="33EDCCFE" w14:textId="77777777" w:rsidR="005D0FEA" w:rsidRPr="00C00483" w:rsidRDefault="005D0FEA" w:rsidP="009C2B35">
            <w:pPr>
              <w:adjustRightInd w:val="0"/>
              <w:spacing w:line="252" w:lineRule="auto"/>
              <w:jc w:val="center"/>
              <w:rPr>
                <w:rFonts w:ascii="Times New Roman" w:eastAsia="Calibri" w:hAnsi="Times New Roman" w:cs="Trebuchet MS"/>
                <w:b/>
                <w:bCs/>
                <w:color w:val="000000"/>
                <w:sz w:val="18"/>
                <w:szCs w:val="24"/>
              </w:rPr>
            </w:pPr>
            <w:r w:rsidRPr="00C00483">
              <w:rPr>
                <w:rFonts w:ascii="Times New Roman" w:eastAsia="Calibri" w:hAnsi="Times New Roman" w:cs="Trebuchet MS"/>
                <w:b/>
                <w:bCs/>
                <w:color w:val="000000"/>
                <w:sz w:val="18"/>
                <w:szCs w:val="24"/>
              </w:rPr>
              <w:t>2026</w:t>
            </w:r>
          </w:p>
        </w:tc>
      </w:tr>
      <w:tr w:rsidR="005D0FEA" w:rsidRPr="00C00483" w14:paraId="69146868" w14:textId="77777777" w:rsidTr="00971CFD">
        <w:trPr>
          <w:trHeight w:val="369"/>
          <w:jc w:val="center"/>
        </w:trPr>
        <w:tc>
          <w:tcPr>
            <w:tcW w:w="2411" w:type="dxa"/>
            <w:shd w:val="clear" w:color="auto" w:fill="FFF9E7"/>
            <w:vAlign w:val="center"/>
            <w:hideMark/>
          </w:tcPr>
          <w:p w14:paraId="1189BBA5" w14:textId="77777777" w:rsidR="005D0FEA" w:rsidRPr="00C00483" w:rsidRDefault="005D0FEA" w:rsidP="009C2B35">
            <w:pPr>
              <w:adjustRightInd w:val="0"/>
              <w:spacing w:line="252" w:lineRule="auto"/>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IMF</w:t>
            </w:r>
          </w:p>
        </w:tc>
        <w:tc>
          <w:tcPr>
            <w:tcW w:w="1281" w:type="dxa"/>
            <w:shd w:val="clear" w:color="auto" w:fill="FFF9E7"/>
            <w:vAlign w:val="center"/>
            <w:hideMark/>
          </w:tcPr>
          <w:p w14:paraId="6BF06C99" w14:textId="77777777" w:rsidR="005D0FEA" w:rsidRPr="00C00483" w:rsidRDefault="005D0FEA" w:rsidP="009C2B35">
            <w:pPr>
              <w:adjustRightInd w:val="0"/>
              <w:spacing w:line="252" w:lineRule="auto"/>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April</w:t>
            </w:r>
            <w:r w:rsidRPr="00C00483">
              <w:rPr>
                <w:rFonts w:ascii="Times New Roman" w:eastAsia="Calibri" w:hAnsi="Times New Roman" w:cs="Trebuchet MS"/>
                <w:color w:val="000000"/>
                <w:sz w:val="18"/>
                <w:szCs w:val="24"/>
              </w:rPr>
              <w:t xml:space="preserve"> 2025</w:t>
            </w:r>
          </w:p>
        </w:tc>
        <w:tc>
          <w:tcPr>
            <w:tcW w:w="992" w:type="dxa"/>
            <w:shd w:val="clear" w:color="000000" w:fill="FFFFFF"/>
            <w:vAlign w:val="center"/>
            <w:hideMark/>
          </w:tcPr>
          <w:p w14:paraId="01832A9D"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-0.</w:t>
            </w:r>
            <w:r w:rsidRPr="00C00483">
              <w:rPr>
                <w:rFonts w:ascii="Times New Roman" w:eastAsia="Calibri" w:hAnsi="Times New Roman" w:cs="Trebuchet MS"/>
                <w:color w:val="000000"/>
                <w:sz w:val="18"/>
                <w:szCs w:val="24"/>
              </w:rPr>
              <w:t>5%</w:t>
            </w:r>
          </w:p>
        </w:tc>
        <w:tc>
          <w:tcPr>
            <w:tcW w:w="883" w:type="dxa"/>
            <w:shd w:val="clear" w:color="000000" w:fill="FFFFFF"/>
            <w:vAlign w:val="center"/>
            <w:hideMark/>
          </w:tcPr>
          <w:p w14:paraId="2006746C"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-0.</w:t>
            </w:r>
            <w:r w:rsidRPr="00C00483">
              <w:rPr>
                <w:rFonts w:ascii="Times New Roman" w:eastAsia="Calibri" w:hAnsi="Times New Roman" w:cs="Trebuchet MS"/>
                <w:color w:val="000000"/>
                <w:sz w:val="18"/>
                <w:szCs w:val="24"/>
              </w:rPr>
              <w:t>6%</w:t>
            </w:r>
          </w:p>
        </w:tc>
        <w:tc>
          <w:tcPr>
            <w:tcW w:w="813" w:type="dxa"/>
            <w:shd w:val="clear" w:color="000000" w:fill="FFFFFF"/>
            <w:vAlign w:val="center"/>
          </w:tcPr>
          <w:p w14:paraId="32AD0D3B"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2.</w:t>
            </w:r>
            <w:r w:rsidRPr="00C00483">
              <w:rPr>
                <w:rFonts w:ascii="Times New Roman" w:eastAsia="Calibri" w:hAnsi="Times New Roman" w:cs="Trebuchet MS"/>
                <w:color w:val="000000"/>
                <w:sz w:val="18"/>
                <w:szCs w:val="24"/>
              </w:rPr>
              <w:t>5%</w:t>
            </w:r>
          </w:p>
        </w:tc>
        <w:tc>
          <w:tcPr>
            <w:tcW w:w="850" w:type="dxa"/>
            <w:shd w:val="clear" w:color="000000" w:fill="FFFFFF"/>
            <w:vAlign w:val="center"/>
          </w:tcPr>
          <w:p w14:paraId="33E1660A"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2.</w:t>
            </w:r>
            <w:r w:rsidRPr="00C00483">
              <w:rPr>
                <w:rFonts w:ascii="Times New Roman" w:eastAsia="Calibri" w:hAnsi="Times New Roman" w:cs="Trebuchet MS"/>
                <w:color w:val="000000"/>
                <w:sz w:val="18"/>
                <w:szCs w:val="24"/>
              </w:rPr>
              <w:t>4%</w:t>
            </w:r>
          </w:p>
        </w:tc>
      </w:tr>
      <w:tr w:rsidR="005D0FEA" w:rsidRPr="00C00483" w14:paraId="70821479" w14:textId="77777777" w:rsidTr="00971CFD">
        <w:trPr>
          <w:trHeight w:val="369"/>
          <w:jc w:val="center"/>
        </w:trPr>
        <w:tc>
          <w:tcPr>
            <w:tcW w:w="2411" w:type="dxa"/>
            <w:shd w:val="clear" w:color="auto" w:fill="FFF9E7"/>
            <w:vAlign w:val="center"/>
            <w:hideMark/>
          </w:tcPr>
          <w:p w14:paraId="4EF64D03" w14:textId="77777777" w:rsidR="005D0FEA" w:rsidRPr="00C00483" w:rsidRDefault="005D0FEA" w:rsidP="009C2B35">
            <w:pPr>
              <w:adjustRightInd w:val="0"/>
              <w:spacing w:line="252" w:lineRule="auto"/>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European Commission</w:t>
            </w:r>
          </w:p>
        </w:tc>
        <w:tc>
          <w:tcPr>
            <w:tcW w:w="1281" w:type="dxa"/>
            <w:shd w:val="clear" w:color="auto" w:fill="FFF9E7"/>
            <w:vAlign w:val="center"/>
            <w:hideMark/>
          </w:tcPr>
          <w:p w14:paraId="59F54B8C" w14:textId="77777777" w:rsidR="005D0FEA" w:rsidRPr="00C00483" w:rsidRDefault="005D0FEA" w:rsidP="009C2B35">
            <w:pPr>
              <w:adjustRightInd w:val="0"/>
              <w:spacing w:line="252" w:lineRule="auto"/>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May</w:t>
            </w:r>
            <w:r w:rsidRPr="00C00483">
              <w:rPr>
                <w:rFonts w:ascii="Times New Roman" w:eastAsia="Calibri" w:hAnsi="Times New Roman" w:cs="Trebuchet MS"/>
                <w:color w:val="000000"/>
                <w:sz w:val="18"/>
                <w:szCs w:val="24"/>
              </w:rPr>
              <w:t xml:space="preserve"> 2025</w:t>
            </w:r>
          </w:p>
        </w:tc>
        <w:tc>
          <w:tcPr>
            <w:tcW w:w="992" w:type="dxa"/>
            <w:shd w:val="clear" w:color="auto" w:fill="auto"/>
            <w:vAlign w:val="center"/>
            <w:hideMark/>
          </w:tcPr>
          <w:p w14:paraId="3260236F"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0.</w:t>
            </w:r>
            <w:r w:rsidRPr="00C00483">
              <w:rPr>
                <w:rFonts w:ascii="Times New Roman" w:eastAsia="Calibri" w:hAnsi="Times New Roman" w:cs="Trebuchet MS"/>
                <w:color w:val="000000"/>
                <w:sz w:val="18"/>
                <w:szCs w:val="24"/>
              </w:rPr>
              <w:t>7%</w:t>
            </w:r>
          </w:p>
        </w:tc>
        <w:tc>
          <w:tcPr>
            <w:tcW w:w="883" w:type="dxa"/>
            <w:shd w:val="clear" w:color="auto" w:fill="auto"/>
            <w:vAlign w:val="center"/>
            <w:hideMark/>
          </w:tcPr>
          <w:p w14:paraId="2D3C308B"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1.</w:t>
            </w:r>
            <w:r w:rsidRPr="00C00483">
              <w:rPr>
                <w:rFonts w:ascii="Times New Roman" w:eastAsia="Calibri" w:hAnsi="Times New Roman" w:cs="Trebuchet MS"/>
                <w:color w:val="000000"/>
                <w:sz w:val="18"/>
                <w:szCs w:val="24"/>
              </w:rPr>
              <w:t>4%</w:t>
            </w:r>
          </w:p>
        </w:tc>
        <w:tc>
          <w:tcPr>
            <w:tcW w:w="813" w:type="dxa"/>
            <w:shd w:val="clear" w:color="000000" w:fill="FFFFFF"/>
            <w:vAlign w:val="center"/>
          </w:tcPr>
          <w:p w14:paraId="791F0874"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3.</w:t>
            </w:r>
            <w:r w:rsidRPr="00C00483">
              <w:rPr>
                <w:rFonts w:ascii="Times New Roman" w:eastAsia="Calibri" w:hAnsi="Times New Roman" w:cs="Trebuchet MS"/>
                <w:color w:val="000000"/>
                <w:sz w:val="18"/>
                <w:szCs w:val="24"/>
              </w:rPr>
              <w:t>8%</w:t>
            </w:r>
          </w:p>
        </w:tc>
        <w:tc>
          <w:tcPr>
            <w:tcW w:w="850" w:type="dxa"/>
            <w:shd w:val="clear" w:color="000000" w:fill="FFFFFF"/>
            <w:vAlign w:val="center"/>
          </w:tcPr>
          <w:p w14:paraId="369440AE"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4.</w:t>
            </w:r>
            <w:r w:rsidRPr="00C00483">
              <w:rPr>
                <w:rFonts w:ascii="Times New Roman" w:eastAsia="Calibri" w:hAnsi="Times New Roman" w:cs="Trebuchet MS"/>
                <w:color w:val="000000"/>
                <w:sz w:val="18"/>
                <w:szCs w:val="24"/>
              </w:rPr>
              <w:t>4%</w:t>
            </w:r>
          </w:p>
        </w:tc>
      </w:tr>
      <w:tr w:rsidR="005D0FEA" w:rsidRPr="00C00483" w14:paraId="40BBD982" w14:textId="77777777" w:rsidTr="00971CFD">
        <w:trPr>
          <w:trHeight w:val="369"/>
          <w:jc w:val="center"/>
        </w:trPr>
        <w:tc>
          <w:tcPr>
            <w:tcW w:w="2411" w:type="dxa"/>
            <w:shd w:val="clear" w:color="auto" w:fill="FFF9E7"/>
            <w:vAlign w:val="center"/>
            <w:hideMark/>
          </w:tcPr>
          <w:p w14:paraId="495847D0" w14:textId="77777777" w:rsidR="005D0FEA" w:rsidRPr="00C00483" w:rsidRDefault="005D0FEA" w:rsidP="009C2B35">
            <w:pPr>
              <w:adjustRightInd w:val="0"/>
              <w:spacing w:line="252" w:lineRule="auto"/>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OECD</w:t>
            </w:r>
          </w:p>
        </w:tc>
        <w:tc>
          <w:tcPr>
            <w:tcW w:w="1281" w:type="dxa"/>
            <w:shd w:val="clear" w:color="auto" w:fill="FFF9E7"/>
            <w:vAlign w:val="center"/>
            <w:hideMark/>
          </w:tcPr>
          <w:p w14:paraId="5AC7D918" w14:textId="77777777" w:rsidR="005D0FEA" w:rsidRPr="00C00483" w:rsidRDefault="005D0FEA" w:rsidP="009C2B35">
            <w:pPr>
              <w:adjustRightInd w:val="0"/>
              <w:spacing w:line="252" w:lineRule="auto"/>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June</w:t>
            </w:r>
            <w:r w:rsidRPr="00C00483">
              <w:rPr>
                <w:rFonts w:ascii="Times New Roman" w:eastAsia="Calibri" w:hAnsi="Times New Roman" w:cs="Trebuchet MS"/>
                <w:color w:val="000000"/>
                <w:sz w:val="18"/>
                <w:szCs w:val="24"/>
              </w:rPr>
              <w:t xml:space="preserve"> 2025</w:t>
            </w:r>
          </w:p>
        </w:tc>
        <w:tc>
          <w:tcPr>
            <w:tcW w:w="992" w:type="dxa"/>
            <w:shd w:val="clear" w:color="000000" w:fill="FFFFFF"/>
            <w:vAlign w:val="center"/>
            <w:hideMark/>
          </w:tcPr>
          <w:p w14:paraId="3FE04217"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0.</w:t>
            </w:r>
            <w:r w:rsidRPr="00C00483">
              <w:rPr>
                <w:rFonts w:ascii="Times New Roman" w:eastAsia="Calibri" w:hAnsi="Times New Roman" w:cs="Trebuchet MS"/>
                <w:color w:val="000000"/>
                <w:sz w:val="18"/>
                <w:szCs w:val="24"/>
              </w:rPr>
              <w:t>0%</w:t>
            </w:r>
          </w:p>
        </w:tc>
        <w:tc>
          <w:tcPr>
            <w:tcW w:w="883" w:type="dxa"/>
            <w:shd w:val="clear" w:color="000000" w:fill="FFFFFF"/>
            <w:vAlign w:val="center"/>
            <w:hideMark/>
          </w:tcPr>
          <w:p w14:paraId="19543411"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-0.</w:t>
            </w:r>
            <w:r w:rsidRPr="00C00483">
              <w:rPr>
                <w:rFonts w:ascii="Times New Roman" w:eastAsia="Calibri" w:hAnsi="Times New Roman" w:cs="Trebuchet MS"/>
                <w:color w:val="000000"/>
                <w:sz w:val="18"/>
                <w:szCs w:val="24"/>
              </w:rPr>
              <w:t>2%</w:t>
            </w:r>
          </w:p>
        </w:tc>
        <w:tc>
          <w:tcPr>
            <w:tcW w:w="813" w:type="dxa"/>
            <w:shd w:val="clear" w:color="000000" w:fill="FFFFFF"/>
            <w:vAlign w:val="center"/>
          </w:tcPr>
          <w:p w14:paraId="4E5E1D22"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2.</w:t>
            </w:r>
            <w:r w:rsidRPr="00C00483">
              <w:rPr>
                <w:rFonts w:ascii="Times New Roman" w:eastAsia="Calibri" w:hAnsi="Times New Roman" w:cs="Trebuchet MS"/>
                <w:color w:val="000000"/>
                <w:sz w:val="18"/>
                <w:szCs w:val="24"/>
              </w:rPr>
              <w:t>1%</w:t>
            </w:r>
          </w:p>
        </w:tc>
        <w:tc>
          <w:tcPr>
            <w:tcW w:w="850" w:type="dxa"/>
            <w:shd w:val="clear" w:color="000000" w:fill="FFFFFF"/>
            <w:vAlign w:val="center"/>
          </w:tcPr>
          <w:p w14:paraId="0B907A98"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2.</w:t>
            </w:r>
            <w:r w:rsidRPr="00C00483">
              <w:rPr>
                <w:rFonts w:ascii="Times New Roman" w:eastAsia="Calibri" w:hAnsi="Times New Roman" w:cs="Trebuchet MS"/>
                <w:color w:val="000000"/>
                <w:sz w:val="18"/>
                <w:szCs w:val="24"/>
              </w:rPr>
              <w:t>2%</w:t>
            </w:r>
          </w:p>
        </w:tc>
      </w:tr>
      <w:tr w:rsidR="005D0FEA" w:rsidRPr="00C00483" w14:paraId="563D7EF2" w14:textId="77777777" w:rsidTr="00971CFD">
        <w:trPr>
          <w:trHeight w:val="369"/>
          <w:jc w:val="center"/>
        </w:trPr>
        <w:tc>
          <w:tcPr>
            <w:tcW w:w="2411" w:type="dxa"/>
            <w:shd w:val="clear" w:color="auto" w:fill="FFF9E7"/>
            <w:vAlign w:val="center"/>
          </w:tcPr>
          <w:p w14:paraId="0194243A" w14:textId="77777777" w:rsidR="005D0FEA" w:rsidRPr="00C00483" w:rsidRDefault="005D0FEA" w:rsidP="009C2B35">
            <w:pPr>
              <w:adjustRightInd w:val="0"/>
              <w:spacing w:line="252" w:lineRule="auto"/>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MinFin</w:t>
            </w:r>
          </w:p>
        </w:tc>
        <w:tc>
          <w:tcPr>
            <w:tcW w:w="1281" w:type="dxa"/>
            <w:shd w:val="clear" w:color="auto" w:fill="FFF9E7"/>
            <w:vAlign w:val="center"/>
          </w:tcPr>
          <w:p w14:paraId="2B3E69F0" w14:textId="77777777" w:rsidR="005D0FEA" w:rsidRPr="00C00483" w:rsidRDefault="005D0FEA" w:rsidP="009C2B35">
            <w:pPr>
              <w:adjustRightInd w:val="0"/>
              <w:spacing w:line="252" w:lineRule="auto"/>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October</w:t>
            </w:r>
            <w:r w:rsidRPr="00C00483">
              <w:rPr>
                <w:rFonts w:ascii="Times New Roman" w:eastAsia="Calibri" w:hAnsi="Times New Roman" w:cs="Trebuchet MS"/>
                <w:color w:val="000000"/>
                <w:sz w:val="18"/>
                <w:szCs w:val="24"/>
              </w:rPr>
              <w:t xml:space="preserve"> 2025</w:t>
            </w:r>
          </w:p>
        </w:tc>
        <w:tc>
          <w:tcPr>
            <w:tcW w:w="992" w:type="dxa"/>
            <w:shd w:val="clear" w:color="000000" w:fill="FFFFFF"/>
            <w:vAlign w:val="center"/>
          </w:tcPr>
          <w:p w14:paraId="1472DDC1"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0.</w:t>
            </w:r>
            <w:r w:rsidRPr="00C00483">
              <w:rPr>
                <w:rFonts w:ascii="Times New Roman" w:eastAsia="Calibri" w:hAnsi="Times New Roman" w:cs="Trebuchet MS"/>
                <w:color w:val="000000"/>
                <w:sz w:val="18"/>
                <w:szCs w:val="24"/>
              </w:rPr>
              <w:t>6%</w:t>
            </w:r>
          </w:p>
        </w:tc>
        <w:tc>
          <w:tcPr>
            <w:tcW w:w="883" w:type="dxa"/>
            <w:shd w:val="clear" w:color="000000" w:fill="FFFFFF"/>
            <w:vAlign w:val="center"/>
          </w:tcPr>
          <w:p w14:paraId="15B1F19F"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-0.</w:t>
            </w:r>
            <w:r w:rsidRPr="00C00483">
              <w:rPr>
                <w:rFonts w:ascii="Times New Roman" w:eastAsia="Calibri" w:hAnsi="Times New Roman" w:cs="Trebuchet MS"/>
                <w:color w:val="000000"/>
                <w:sz w:val="18"/>
                <w:szCs w:val="24"/>
              </w:rPr>
              <w:t>1%</w:t>
            </w:r>
          </w:p>
        </w:tc>
        <w:tc>
          <w:tcPr>
            <w:tcW w:w="813" w:type="dxa"/>
            <w:shd w:val="clear" w:color="000000" w:fill="FFFFFF"/>
            <w:vAlign w:val="center"/>
          </w:tcPr>
          <w:p w14:paraId="668F1AF1"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3.</w:t>
            </w:r>
            <w:r w:rsidRPr="00C00483">
              <w:rPr>
                <w:rFonts w:ascii="Times New Roman" w:eastAsia="Calibri" w:hAnsi="Times New Roman" w:cs="Trebuchet MS"/>
                <w:color w:val="000000"/>
                <w:sz w:val="18"/>
                <w:szCs w:val="24"/>
              </w:rPr>
              <w:t>6%</w:t>
            </w:r>
          </w:p>
        </w:tc>
        <w:tc>
          <w:tcPr>
            <w:tcW w:w="850" w:type="dxa"/>
            <w:shd w:val="clear" w:color="000000" w:fill="FFFFFF"/>
            <w:vAlign w:val="center"/>
          </w:tcPr>
          <w:p w14:paraId="1B097E43" w14:textId="77777777" w:rsidR="005D0FEA" w:rsidRPr="00C00483" w:rsidRDefault="005D0FEA" w:rsidP="009C2B35">
            <w:pPr>
              <w:adjustRightInd w:val="0"/>
              <w:spacing w:line="252" w:lineRule="auto"/>
              <w:jc w:val="center"/>
              <w:rPr>
                <w:rFonts w:ascii="Times New Roman" w:eastAsia="Calibri" w:hAnsi="Times New Roman" w:cs="Trebuchet MS"/>
                <w:color w:val="000000"/>
                <w:sz w:val="18"/>
                <w:szCs w:val="24"/>
              </w:rPr>
            </w:pPr>
            <w:r>
              <w:rPr>
                <w:rFonts w:ascii="Times New Roman" w:eastAsia="Calibri" w:hAnsi="Times New Roman" w:cs="Trebuchet MS"/>
                <w:color w:val="000000"/>
                <w:sz w:val="18"/>
                <w:szCs w:val="24"/>
              </w:rPr>
              <w:t>2.</w:t>
            </w:r>
            <w:r w:rsidRPr="00C00483">
              <w:rPr>
                <w:rFonts w:ascii="Times New Roman" w:eastAsia="Calibri" w:hAnsi="Times New Roman" w:cs="Trebuchet MS"/>
                <w:color w:val="000000"/>
                <w:sz w:val="18"/>
                <w:szCs w:val="24"/>
              </w:rPr>
              <w:t>8%</w:t>
            </w:r>
          </w:p>
        </w:tc>
      </w:tr>
    </w:tbl>
    <w:p w14:paraId="103BE302" w14:textId="77777777" w:rsidR="005D0FEA" w:rsidRPr="005D0FEA" w:rsidRDefault="005D0FEA" w:rsidP="009C2B35">
      <w:pPr>
        <w:spacing w:after="120" w:line="240" w:lineRule="auto"/>
        <w:ind w:right="-6"/>
        <w:rPr>
          <w:rFonts w:ascii="Times New Roman" w:eastAsiaTheme="minorHAnsi" w:hAnsi="Times New Roman" w:cs="Times New Roman"/>
          <w:color w:val="000000"/>
          <w:sz w:val="18"/>
          <w:szCs w:val="24"/>
          <w:lang w:val="en-US"/>
        </w:rPr>
      </w:pPr>
      <w:r w:rsidRPr="005D0FEA">
        <w:rPr>
          <w:rFonts w:ascii="Times New Roman" w:eastAsia="Times New Roman" w:hAnsi="Times New Roman" w:cs="Times New Roman"/>
          <w:color w:val="000000"/>
          <w:sz w:val="18"/>
          <w:lang w:val="en-US"/>
        </w:rPr>
        <w:t xml:space="preserve">Sources: 1. IMF, World Economic Outlook Database (April 2025), 2. European Commission, European Economic Forecast, Spring 2025 (May 2025), 3. OECD Economic Outlook, No 117 (May 2025), and 4. </w:t>
      </w:r>
      <w:r w:rsidRPr="005D0FEA">
        <w:rPr>
          <w:rFonts w:ascii="Times New Roman" w:eastAsiaTheme="minorHAnsi" w:hAnsi="Times New Roman" w:cs="Times New Roman"/>
          <w:color w:val="000000"/>
          <w:sz w:val="18"/>
          <w:szCs w:val="24"/>
          <w:lang w:val="en-US"/>
        </w:rPr>
        <w:t xml:space="preserve">Draft Budgetary Plan 2026, MinFin (October 2025). </w:t>
      </w:r>
    </w:p>
    <w:p w14:paraId="64807614" w14:textId="77777777" w:rsidR="005D0FEA" w:rsidRPr="005D0FEA" w:rsidRDefault="005D0FEA" w:rsidP="005D0FEA">
      <w:pPr>
        <w:spacing w:before="120" w:after="240" w:line="276" w:lineRule="auto"/>
        <w:rPr>
          <w:rFonts w:asciiTheme="majorBidi" w:hAnsiTheme="majorBidi" w:cstheme="majorBidi"/>
          <w:lang w:val="en-US"/>
        </w:rPr>
      </w:pPr>
      <w:r w:rsidRPr="005D0FEA">
        <w:rPr>
          <w:rFonts w:asciiTheme="majorBidi" w:hAnsiTheme="majorBidi" w:cstheme="majorBidi"/>
          <w:lang w:val="en-US"/>
        </w:rPr>
        <w:t>According to the DBP 2026, the general government debt-to-GDP ratio is expected to reach 145.3% in 2025, marking a decline of 8.2 percentage points compared with 2024 (see, Figure 7). This downward trend is projected to continue in 2026, with debt falling by a further 7.8 percentage points to 137.6% of GDP. If these projections materialize, the country’s public debt is expected, for the first time in 15 years, to drop below the 140% of GDP threshold, a milestone with particular symbolic significance for Greece’s long-standing fiscal stabilization effort.</w:t>
      </w:r>
    </w:p>
    <w:p w14:paraId="2F3EB981" w14:textId="77777777" w:rsidR="005D0FEA" w:rsidRPr="005D0FEA" w:rsidRDefault="005D0FEA" w:rsidP="005D0FEA">
      <w:pPr>
        <w:spacing w:after="360" w:line="276" w:lineRule="auto"/>
        <w:rPr>
          <w:rFonts w:asciiTheme="majorBidi" w:hAnsiTheme="majorBidi" w:cstheme="majorBidi"/>
          <w:lang w:val="en-US"/>
        </w:rPr>
      </w:pPr>
      <w:r w:rsidRPr="005D0FEA">
        <w:rPr>
          <w:rFonts w:asciiTheme="majorBidi" w:hAnsiTheme="majorBidi" w:cstheme="majorBidi"/>
          <w:lang w:val="en-US"/>
        </w:rPr>
        <w:t>The main factors driving this strong decline in debt are the persistence of high nominal economic growth and the improvement in the primary surplus. In the coming years, the effect of the gap between the implicit interest rate and the nominal growth rate is expected to lessen, while the contribution of the primary surplus will become more decisive in reducing the debt-to-GDP ratio. Despite the substantial decrease, the still-elevated level of public debt requires continued monitoring and fiscal vigilance, as it remains well above the 60% of GDP benchmark set by the EU’s Stability and Growth Pact (SGP).</w:t>
      </w:r>
    </w:p>
    <w:p w14:paraId="145F5458" w14:textId="77777777" w:rsidR="005D0FEA" w:rsidRPr="00957918" w:rsidRDefault="005D0FEA" w:rsidP="005D0FEA">
      <w:pPr>
        <w:spacing w:before="240" w:after="120" w:line="276" w:lineRule="auto"/>
        <w:rPr>
          <w:rFonts w:ascii="Times New Roman" w:eastAsia="Times New Roman" w:hAnsi="Times New Roman" w:cs="Times New Roman"/>
          <w:color w:val="000000"/>
          <w:sz w:val="20"/>
          <w:szCs w:val="20"/>
        </w:rPr>
      </w:pPr>
      <w:r w:rsidRPr="00957918">
        <w:rPr>
          <w:rFonts w:ascii="Times New Roman" w:eastAsia="Times New Roman" w:hAnsi="Times New Roman" w:cs="Times New Roman"/>
          <w:color w:val="000000"/>
          <w:sz w:val="20"/>
          <w:szCs w:val="20"/>
        </w:rPr>
        <w:t xml:space="preserve">Figure 7: Debt of General Government </w:t>
      </w:r>
    </w:p>
    <w:p w14:paraId="28337C93" w14:textId="77777777" w:rsidR="005D0FEA" w:rsidRDefault="005D0FEA" w:rsidP="005D0FEA">
      <w:pPr>
        <w:spacing w:line="276" w:lineRule="auto"/>
        <w:ind w:left="-15"/>
        <w:jc w:val="center"/>
        <w:rPr>
          <w:rFonts w:ascii="Times New Roman" w:eastAsia="Times New Roman" w:hAnsi="Times New Roman" w:cs="Times New Roman"/>
          <w:noProof/>
          <w:color w:val="000000"/>
          <w:szCs w:val="20"/>
        </w:rPr>
      </w:pPr>
      <w:r>
        <w:rPr>
          <w:rFonts w:ascii="Times New Roman" w:eastAsia="Times New Roman" w:hAnsi="Times New Roman" w:cs="Times New Roman"/>
          <w:noProof/>
          <w:color w:val="000000"/>
          <w:szCs w:val="20"/>
        </w:rPr>
        <w:drawing>
          <wp:inline distT="0" distB="0" distL="0" distR="0" wp14:anchorId="4F2F5098" wp14:editId="6533B900">
            <wp:extent cx="4291866" cy="2835775"/>
            <wp:effectExtent l="0" t="0" r="0" b="3175"/>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 7.png"/>
                    <pic:cNvPicPr/>
                  </pic:nvPicPr>
                  <pic:blipFill rotWithShape="1">
                    <a:blip r:embed="rId34" cstate="print">
                      <a:extLst>
                        <a:ext uri="{28A0092B-C50C-407E-A947-70E740481C1C}">
                          <a14:useLocalDpi xmlns:a14="http://schemas.microsoft.com/office/drawing/2010/main" val="0"/>
                        </a:ext>
                      </a:extLst>
                    </a:blip>
                    <a:srcRect b="6255"/>
                    <a:stretch/>
                  </pic:blipFill>
                  <pic:spPr bwMode="auto">
                    <a:xfrm>
                      <a:off x="0" y="0"/>
                      <a:ext cx="4344432" cy="2870507"/>
                    </a:xfrm>
                    <a:prstGeom prst="rect">
                      <a:avLst/>
                    </a:prstGeom>
                    <a:ln>
                      <a:noFill/>
                    </a:ln>
                    <a:extLst>
                      <a:ext uri="{53640926-AAD7-44D8-BBD7-CCE9431645EC}">
                        <a14:shadowObscured xmlns:a14="http://schemas.microsoft.com/office/drawing/2010/main"/>
                      </a:ext>
                    </a:extLst>
                  </pic:spPr>
                </pic:pic>
              </a:graphicData>
            </a:graphic>
          </wp:inline>
        </w:drawing>
      </w:r>
    </w:p>
    <w:p w14:paraId="5A3EED9D" w14:textId="77777777" w:rsidR="005D0FEA" w:rsidRPr="005D0FEA" w:rsidRDefault="005D0FEA" w:rsidP="005D0FEA">
      <w:pPr>
        <w:spacing w:before="120" w:after="120" w:line="276" w:lineRule="auto"/>
        <w:ind w:left="-15"/>
        <w:rPr>
          <w:rFonts w:ascii="Times New Roman" w:eastAsia="Times New Roman" w:hAnsi="Times New Roman" w:cs="Times New Roman"/>
          <w:noProof/>
          <w:color w:val="000000"/>
          <w:szCs w:val="20"/>
          <w:highlight w:val="yellow"/>
          <w:lang w:val="en-US"/>
        </w:rPr>
      </w:pPr>
      <w:r w:rsidRPr="005D0FEA">
        <w:rPr>
          <w:rFonts w:ascii="Times New Roman" w:eastAsia="Times New Roman" w:hAnsi="Times New Roman" w:cs="Times New Roman"/>
          <w:color w:val="000000"/>
          <w:sz w:val="18"/>
          <w:szCs w:val="20"/>
          <w:lang w:val="en-US"/>
        </w:rPr>
        <w:t>Source: MinFin (October 2025), ELSTAT, HFISC data processing.</w:t>
      </w:r>
    </w:p>
    <w:p w14:paraId="3B2E948D" w14:textId="77777777" w:rsidR="005D0FEA" w:rsidRPr="005D0FEA" w:rsidRDefault="005D0FEA" w:rsidP="005D0FEA">
      <w:pPr>
        <w:spacing w:before="360" w:after="120" w:line="276" w:lineRule="auto"/>
        <w:ind w:right="-14"/>
        <w:rPr>
          <w:rFonts w:ascii="Times New Roman" w:eastAsia="Arial" w:hAnsi="Times New Roman" w:cs="Times New Roman"/>
          <w:b/>
          <w:color w:val="0070C0"/>
          <w:sz w:val="24"/>
          <w:lang w:val="en-US"/>
        </w:rPr>
      </w:pPr>
      <w:r w:rsidRPr="005D0FEA">
        <w:rPr>
          <w:rFonts w:ascii="Times New Roman" w:eastAsia="Arial" w:hAnsi="Times New Roman" w:cs="Times New Roman"/>
          <w:b/>
          <w:color w:val="0070C0"/>
          <w:sz w:val="24"/>
          <w:lang w:val="en-US"/>
        </w:rPr>
        <w:t xml:space="preserve">Compliance with Fiscal Rules </w:t>
      </w:r>
    </w:p>
    <w:p w14:paraId="0505AA03" w14:textId="77777777" w:rsidR="005D0FEA" w:rsidRPr="00234309" w:rsidRDefault="005D0FEA" w:rsidP="005D0FEA">
      <w:pPr>
        <w:pStyle w:val="Web"/>
        <w:jc w:val="both"/>
        <w:rPr>
          <w:sz w:val="22"/>
          <w:szCs w:val="22"/>
          <w:lang w:val="en-US"/>
        </w:rPr>
      </w:pPr>
      <w:r w:rsidRPr="00234309">
        <w:rPr>
          <w:sz w:val="22"/>
          <w:szCs w:val="22"/>
          <w:lang w:val="en-US"/>
        </w:rPr>
        <w:t>The general principles governing fiscal planning, set out in Article 34 of Law 4270/2014, as amended, and aligned with the new European Union economic governance framework effective from 30 April 2024, focus on controlling public finances.</w:t>
      </w:r>
      <w:r w:rsidRPr="00234309">
        <w:rPr>
          <w:rFonts w:eastAsia="Arial"/>
          <w:color w:val="000000" w:themeColor="text1"/>
          <w:sz w:val="22"/>
          <w:szCs w:val="22"/>
          <w:vertAlign w:val="superscript"/>
          <w:lang w:val="en-US" w:eastAsia="el-GR"/>
        </w:rPr>
        <w:footnoteReference w:id="12"/>
      </w:r>
      <w:r w:rsidRPr="00234309">
        <w:rPr>
          <w:sz w:val="22"/>
          <w:szCs w:val="22"/>
          <w:lang w:val="en-US"/>
        </w:rPr>
        <w:t xml:space="preserve"> Specifically, they aim to maintain the growth of net nationally financed primary expenditure of the general government at levels that ensure both the sustainability of public debt and the containment of the fiscal deficit below the 3% of GDP reference value over the medium term.</w:t>
      </w:r>
      <w:r w:rsidRPr="00234309">
        <w:rPr>
          <w:rStyle w:val="af1"/>
          <w:sz w:val="22"/>
          <w:szCs w:val="22"/>
          <w:lang w:val="en-US"/>
        </w:rPr>
        <w:footnoteReference w:id="13"/>
      </w:r>
      <w:r w:rsidRPr="00234309">
        <w:rPr>
          <w:sz w:val="22"/>
          <w:szCs w:val="22"/>
          <w:lang w:val="en-US"/>
        </w:rPr>
        <w:t xml:space="preserve"> They also aim at shaping the fiscal position of the </w:t>
      </w:r>
      <w:r>
        <w:rPr>
          <w:sz w:val="22"/>
          <w:szCs w:val="22"/>
          <w:lang w:val="en-US"/>
        </w:rPr>
        <w:t>g</w:t>
      </w:r>
      <w:r w:rsidRPr="00234309">
        <w:rPr>
          <w:sz w:val="22"/>
          <w:szCs w:val="22"/>
          <w:lang w:val="en-US"/>
        </w:rPr>
        <w:t xml:space="preserve">eneral </w:t>
      </w:r>
      <w:r>
        <w:rPr>
          <w:sz w:val="22"/>
          <w:szCs w:val="22"/>
          <w:lang w:val="en-US"/>
        </w:rPr>
        <w:t>g</w:t>
      </w:r>
      <w:r w:rsidRPr="00234309">
        <w:rPr>
          <w:sz w:val="22"/>
          <w:szCs w:val="22"/>
          <w:lang w:val="en-US"/>
        </w:rPr>
        <w:t>overnment’s primary balance into a surplus.</w:t>
      </w:r>
    </w:p>
    <w:p w14:paraId="4557DED3" w14:textId="77777777" w:rsidR="005D0FEA" w:rsidRPr="005D0FEA" w:rsidRDefault="005D0FEA" w:rsidP="003E438E">
      <w:pPr>
        <w:rPr>
          <w:rFonts w:ascii="Times New Roman" w:hAnsi="Times New Roman" w:cs="Times New Roman"/>
          <w:lang w:val="en-US"/>
        </w:rPr>
      </w:pPr>
      <w:r w:rsidRPr="005D0FEA">
        <w:rPr>
          <w:rFonts w:ascii="Times New Roman" w:hAnsi="Times New Roman" w:cs="Times New Roman"/>
          <w:lang w:val="en-US"/>
        </w:rPr>
        <w:t>According to the DBP 2026, the annual increase in the general government’s net primary expenditure is estimated at 4.4% for 2025 and 5.8% for 2026, both rates exceeding the upper limits set in the MTFS 2025–2028 (3.7% and 3.6%, respectively). Despite this deviation, the projections remain consistent with the new fiscal framework, as the actual change recorded in 2024 was -0.4% of GDP, lower than the established ceiling, thus creating fiscal space for higher expenditure during 2025–2026. This deviation is mainly attributed to the stronger-than-expected impact of discretionary revenue measures. Under the new fiscal framework, an annual deviation of up to 0.3 percentage points of GDP (around €0.7 billion) is allowed, providing additional flexibility.</w:t>
      </w:r>
      <w:r w:rsidRPr="000E3D45">
        <w:rPr>
          <w:rFonts w:ascii="Times New Roman" w:eastAsia="Times New Roman" w:hAnsi="Times New Roman" w:cs="Times New Roman"/>
          <w:szCs w:val="24"/>
          <w:vertAlign w:val="superscript"/>
        </w:rPr>
        <w:footnoteReference w:id="14"/>
      </w:r>
      <w:r w:rsidRPr="005D0FEA">
        <w:rPr>
          <w:rFonts w:ascii="Times New Roman" w:hAnsi="Times New Roman" w:cs="Times New Roman"/>
          <w:lang w:val="en-US"/>
        </w:rPr>
        <w:t xml:space="preserve"> </w:t>
      </w:r>
    </w:p>
    <w:p w14:paraId="07FA6DF0" w14:textId="77777777" w:rsidR="005D0FEA" w:rsidRPr="005D0FEA" w:rsidRDefault="005D0FEA" w:rsidP="003E438E">
      <w:pPr>
        <w:spacing w:before="240"/>
        <w:rPr>
          <w:rFonts w:ascii="Times New Roman" w:hAnsi="Times New Roman" w:cs="Times New Roman"/>
          <w:bCs/>
          <w:lang w:val="en-US"/>
        </w:rPr>
      </w:pPr>
      <w:r w:rsidRPr="005D0FEA">
        <w:rPr>
          <w:rFonts w:ascii="Times New Roman" w:hAnsi="Times New Roman" w:cs="Times New Roman"/>
          <w:lang w:val="en-US"/>
        </w:rPr>
        <w:t>In addition, the</w:t>
      </w:r>
      <w:r w:rsidRPr="005D0FEA">
        <w:rPr>
          <w:rFonts w:ascii="Times New Roman" w:hAnsi="Times New Roman" w:cs="Times New Roman"/>
          <w:bCs/>
          <w:lang w:val="en-US"/>
        </w:rPr>
        <w:t xml:space="preserve"> national escape clause, foreseen in Regulation (EU) 2024/1263, provides for a justified deviation from the endorsed net expenditure path in the presence of exceptional circumstances with a major fiscal impact beyond the control of Member States.</w:t>
      </w:r>
      <w:r w:rsidRPr="00F02BD0">
        <w:rPr>
          <w:rFonts w:ascii="Times New Roman" w:hAnsi="Times New Roman" w:cs="Times New Roman"/>
          <w:iCs/>
          <w:vertAlign w:val="superscript"/>
        </w:rPr>
        <w:footnoteReference w:id="15"/>
      </w:r>
      <w:r w:rsidRPr="005D0FEA">
        <w:rPr>
          <w:rFonts w:ascii="Times New Roman" w:hAnsi="Times New Roman" w:cs="Times New Roman"/>
          <w:lang w:val="en-US"/>
        </w:rPr>
        <w:t xml:space="preserve"> </w:t>
      </w:r>
      <w:r w:rsidRPr="005D0FEA">
        <w:rPr>
          <w:rFonts w:ascii="Times New Roman" w:hAnsi="Times New Roman" w:cs="Times New Roman"/>
          <w:bCs/>
          <w:lang w:val="en-US"/>
        </w:rPr>
        <w:t>Specifically, defense expenditures are estimated to increase by approximately 0.1% of GDP in 2025 and 0.3% of GDP in 2026, compared to the baseline year 2024. It is also noted that, the projected cumulative increase in net primary expenditures aligns with the MTP 2025–2028 limits of 6.5% of GDP in 2025 and 10.3% in 2026, remaining within the prescribed thresholds.</w:t>
      </w:r>
    </w:p>
    <w:p w14:paraId="309E261C" w14:textId="77777777" w:rsidR="005D0FEA" w:rsidRPr="005D0FEA" w:rsidRDefault="005D0FEA" w:rsidP="003E438E">
      <w:pPr>
        <w:spacing w:before="240" w:after="240"/>
        <w:rPr>
          <w:rFonts w:ascii="Times New Roman" w:hAnsi="Times New Roman" w:cs="Times New Roman"/>
          <w:bCs/>
          <w:lang w:val="en-US"/>
        </w:rPr>
      </w:pPr>
      <w:r w:rsidRPr="005D0FEA">
        <w:rPr>
          <w:rFonts w:ascii="Times New Roman" w:hAnsi="Times New Roman" w:cs="Times New Roman"/>
          <w:bCs/>
          <w:lang w:val="en-US"/>
        </w:rPr>
        <w:t>Furthermore, compliance with the 3% of GDP reference value for the general government deficit is ensured for both years. The deficit is projected to register a surplus of 0.6% of GDP in 2025 and a marginal deficit of -0.1% of GDP in 2026. The general government primary balance remains in surplus for both years, in full alignment with the national numerical fiscal rule. Finally, the dynamics of public debt are reflected in the steady and significant decline in the debt-to-GDP ratio, with a reduction of 8.2 percentage points in 2025 and 7.8 percentage points in 2026. This trajectory exceeds the forecasts of the MTP 2025–2028, demonstrating the strengthened resilience and positive outlook of the Greek economy.</w:t>
      </w:r>
    </w:p>
    <w:p w14:paraId="3E28C568" w14:textId="77777777" w:rsidR="005D0FEA" w:rsidRPr="005D0FEA" w:rsidRDefault="005D0FEA" w:rsidP="003E438E">
      <w:pPr>
        <w:spacing w:before="360" w:after="120"/>
        <w:rPr>
          <w:rFonts w:ascii="Times New Roman" w:eastAsia="Times New Roman" w:hAnsi="Times New Roman" w:cs="Times New Roman"/>
          <w:b/>
          <w:color w:val="0070C0"/>
          <w:highlight w:val="yellow"/>
          <w:lang w:val="en-US"/>
        </w:rPr>
      </w:pPr>
      <w:r w:rsidRPr="005D0FEA">
        <w:rPr>
          <w:rFonts w:ascii="Times New Roman" w:eastAsia="Arial" w:hAnsi="Times New Roman" w:cs="Times New Roman"/>
          <w:b/>
          <w:color w:val="0070C0"/>
          <w:sz w:val="24"/>
          <w:lang w:val="en-US"/>
        </w:rPr>
        <w:t xml:space="preserve">Upside-downside risks </w:t>
      </w:r>
    </w:p>
    <w:p w14:paraId="3D29FA54" w14:textId="77777777" w:rsidR="005D0FEA" w:rsidRPr="005D0FEA" w:rsidRDefault="005D0FEA" w:rsidP="003E438E">
      <w:pPr>
        <w:spacing w:after="177"/>
        <w:rPr>
          <w:rFonts w:ascii="Times New Roman" w:eastAsia="Times New Roman" w:hAnsi="Times New Roman" w:cs="Times New Roman"/>
          <w:color w:val="000000"/>
          <w:lang w:val="en-US"/>
        </w:rPr>
      </w:pPr>
      <w:r w:rsidRPr="005D0FEA">
        <w:rPr>
          <w:rFonts w:ascii="Times New Roman" w:eastAsia="Times New Roman" w:hAnsi="Times New Roman" w:cs="Times New Roman"/>
          <w:color w:val="000000"/>
          <w:lang w:val="en-US"/>
        </w:rPr>
        <w:t xml:space="preserve">In 2026, the Greek economy </w:t>
      </w:r>
      <w:r w:rsidRPr="005D0FEA">
        <w:rPr>
          <w:rFonts w:ascii="Times New Roman" w:eastAsia="Times New Roman" w:hAnsi="Times New Roman" w:cs="Times New Roman"/>
          <w:bCs/>
          <w:color w:val="000000"/>
          <w:lang w:val="en-US"/>
        </w:rPr>
        <w:t>may</w:t>
      </w:r>
      <w:r w:rsidRPr="005D0FEA">
        <w:rPr>
          <w:rFonts w:ascii="Times New Roman" w:eastAsia="Times New Roman" w:hAnsi="Times New Roman" w:cs="Times New Roman"/>
          <w:color w:val="000000"/>
          <w:lang w:val="en-US"/>
        </w:rPr>
        <w:t xml:space="preserve"> face several uncertainties that could hold back the strong economic momentum </w:t>
      </w:r>
      <w:r w:rsidRPr="005D0FEA">
        <w:rPr>
          <w:rFonts w:ascii="Times New Roman" w:eastAsia="Times New Roman" w:hAnsi="Times New Roman" w:cs="Times New Roman"/>
          <w:bCs/>
          <w:color w:val="000000"/>
          <w:lang w:val="en-US"/>
        </w:rPr>
        <w:t>experienced in recent years</w:t>
      </w:r>
      <w:r w:rsidRPr="005D0FEA">
        <w:rPr>
          <w:rFonts w:ascii="Times New Roman" w:eastAsia="Times New Roman" w:hAnsi="Times New Roman" w:cs="Times New Roman"/>
          <w:color w:val="000000"/>
          <w:lang w:val="en-US"/>
        </w:rPr>
        <w:t xml:space="preserve">. </w:t>
      </w:r>
    </w:p>
    <w:p w14:paraId="0E75304D" w14:textId="77777777" w:rsidR="005D0FEA" w:rsidRPr="005D0FEA" w:rsidRDefault="005D0FEA" w:rsidP="003E438E">
      <w:pPr>
        <w:spacing w:after="177"/>
        <w:rPr>
          <w:rFonts w:ascii="Times New Roman" w:eastAsia="Times New Roman" w:hAnsi="Times New Roman" w:cs="Times New Roman"/>
          <w:color w:val="000000"/>
          <w:lang w:val="en-US"/>
        </w:rPr>
      </w:pPr>
      <w:r w:rsidRPr="005D0FEA">
        <w:rPr>
          <w:rFonts w:ascii="Times New Roman" w:eastAsia="Times New Roman" w:hAnsi="Times New Roman" w:cs="Times New Roman"/>
          <w:color w:val="000000"/>
          <w:lang w:val="en-US"/>
        </w:rPr>
        <w:t xml:space="preserve">A key downside external risk stems from the geopolitical and </w:t>
      </w:r>
      <w:r w:rsidRPr="005D0FEA">
        <w:rPr>
          <w:rFonts w:ascii="Times New Roman" w:eastAsia="Times New Roman" w:hAnsi="Times New Roman" w:cs="Times New Roman"/>
          <w:bCs/>
          <w:color w:val="000000"/>
          <w:lang w:val="en-US"/>
        </w:rPr>
        <w:t>world trade uncertainties as well as problems in European countries facing fiscal challenges and political tensions, all of which combined could</w:t>
      </w:r>
      <w:r w:rsidRPr="005D0FEA">
        <w:rPr>
          <w:rFonts w:ascii="Times New Roman" w:eastAsia="Times New Roman" w:hAnsi="Times New Roman" w:cs="Times New Roman"/>
          <w:color w:val="000000"/>
          <w:lang w:val="en-US"/>
        </w:rPr>
        <w:t xml:space="preserve"> disrupt markets and </w:t>
      </w:r>
      <w:r w:rsidRPr="005D0FEA">
        <w:rPr>
          <w:rFonts w:ascii="Times New Roman" w:eastAsia="Times New Roman" w:hAnsi="Times New Roman" w:cs="Times New Roman"/>
          <w:bCs/>
          <w:color w:val="000000"/>
          <w:lang w:val="en-US"/>
        </w:rPr>
        <w:t>weigh</w:t>
      </w:r>
      <w:r w:rsidRPr="005D0FEA">
        <w:rPr>
          <w:rFonts w:ascii="Times New Roman" w:eastAsia="Times New Roman" w:hAnsi="Times New Roman" w:cs="Times New Roman"/>
          <w:color w:val="000000"/>
          <w:lang w:val="en-US"/>
        </w:rPr>
        <w:t xml:space="preserve"> on growth. </w:t>
      </w:r>
      <w:r w:rsidRPr="005D0FEA">
        <w:rPr>
          <w:rFonts w:ascii="Times New Roman" w:eastAsia="Times New Roman" w:hAnsi="Times New Roman" w:cs="Times New Roman"/>
          <w:bCs/>
          <w:color w:val="000000"/>
          <w:lang w:val="en-US"/>
        </w:rPr>
        <w:t>Within this international environment</w:t>
      </w:r>
      <w:r w:rsidRPr="005D0FEA">
        <w:rPr>
          <w:rFonts w:ascii="Times New Roman" w:eastAsia="Times New Roman" w:hAnsi="Times New Roman" w:cs="Times New Roman"/>
          <w:color w:val="000000"/>
          <w:lang w:val="en-US"/>
        </w:rPr>
        <w:t xml:space="preserve">, weaker external demand, particularly if tourism underperforms, would hit </w:t>
      </w:r>
      <w:r w:rsidRPr="005D0FEA">
        <w:rPr>
          <w:rFonts w:ascii="Times New Roman" w:eastAsia="Times New Roman" w:hAnsi="Times New Roman" w:cs="Times New Roman"/>
          <w:bCs/>
          <w:color w:val="000000"/>
          <w:lang w:val="en-US"/>
        </w:rPr>
        <w:t>Greece’s exports, overall economic activity, tax</w:t>
      </w:r>
      <w:r w:rsidRPr="005D0FEA">
        <w:rPr>
          <w:rFonts w:ascii="Times New Roman" w:eastAsia="Times New Roman" w:hAnsi="Times New Roman" w:cs="Times New Roman"/>
          <w:color w:val="000000"/>
          <w:lang w:val="en-US"/>
        </w:rPr>
        <w:t xml:space="preserve"> revenues and the current account. </w:t>
      </w:r>
      <w:r w:rsidRPr="005D0FEA">
        <w:rPr>
          <w:rFonts w:ascii="Times New Roman" w:eastAsia="Times New Roman" w:hAnsi="Times New Roman" w:cs="Times New Roman"/>
          <w:bCs/>
          <w:color w:val="000000"/>
          <w:lang w:val="en-US"/>
        </w:rPr>
        <w:t>A h</w:t>
      </w:r>
      <w:r w:rsidRPr="005D0FEA">
        <w:rPr>
          <w:rFonts w:ascii="Times New Roman" w:eastAsia="Times New Roman" w:hAnsi="Times New Roman" w:cs="Times New Roman"/>
          <w:color w:val="000000"/>
          <w:lang w:val="en-US"/>
        </w:rPr>
        <w:t xml:space="preserve">igher disposable income, </w:t>
      </w:r>
      <w:r w:rsidRPr="005D0FEA">
        <w:rPr>
          <w:rFonts w:ascii="Times New Roman" w:eastAsia="Times New Roman" w:hAnsi="Times New Roman" w:cs="Times New Roman"/>
          <w:bCs/>
          <w:color w:val="000000"/>
          <w:lang w:val="en-US"/>
        </w:rPr>
        <w:t>due to favorable tax reforms like the recently announced one</w:t>
      </w:r>
      <w:r w:rsidRPr="005D0FEA">
        <w:rPr>
          <w:rFonts w:ascii="Times New Roman" w:eastAsia="Times New Roman" w:hAnsi="Times New Roman" w:cs="Times New Roman"/>
          <w:color w:val="000000"/>
          <w:lang w:val="en-US"/>
        </w:rPr>
        <w:t xml:space="preserve">, may further boost consumption and increase aggregate demand, but its net macroeconomic effect will also depend on inflation as well as the broader macroeconomic environment. </w:t>
      </w:r>
      <w:r w:rsidRPr="005D0FEA">
        <w:rPr>
          <w:rFonts w:ascii="Times New Roman" w:eastAsia="Times New Roman" w:hAnsi="Times New Roman" w:cs="Times New Roman"/>
          <w:bCs/>
          <w:color w:val="000000"/>
          <w:lang w:val="en-US"/>
        </w:rPr>
        <w:t>For instance</w:t>
      </w:r>
      <w:r w:rsidRPr="005D0FEA">
        <w:rPr>
          <w:rFonts w:ascii="Times New Roman" w:eastAsia="Times New Roman" w:hAnsi="Times New Roman" w:cs="Times New Roman"/>
          <w:color w:val="000000"/>
          <w:lang w:val="en-US"/>
        </w:rPr>
        <w:t xml:space="preserve">, persistent or renewed inflationary pressures compared with other European countries might erode household purchasing power, highlighting the need to closely monitor divergence from the Eurozone average. Delays in carrying out structural reforms to boost market competition could slow productivity gains and reduce the economy’s ability to absorb shocks. </w:t>
      </w:r>
      <w:r w:rsidRPr="005D0FEA">
        <w:rPr>
          <w:rFonts w:ascii="Times New Roman" w:eastAsia="Times New Roman" w:hAnsi="Times New Roman" w:cs="Times New Roman"/>
          <w:bCs/>
          <w:color w:val="000000"/>
          <w:lang w:val="en-US"/>
        </w:rPr>
        <w:t xml:space="preserve">A </w:t>
      </w:r>
      <w:r w:rsidRPr="005D0FEA">
        <w:rPr>
          <w:rFonts w:ascii="Times New Roman" w:eastAsia="Times New Roman" w:hAnsi="Times New Roman" w:cs="Times New Roman"/>
          <w:color w:val="000000"/>
          <w:lang w:val="en-US"/>
        </w:rPr>
        <w:t xml:space="preserve">slower-than-expected absorption of EU Recovery and Resilience Facility funds might </w:t>
      </w:r>
      <w:r w:rsidRPr="005D0FEA">
        <w:rPr>
          <w:rFonts w:ascii="Times New Roman" w:eastAsia="Times New Roman" w:hAnsi="Times New Roman" w:cs="Times New Roman"/>
          <w:bCs/>
          <w:color w:val="000000"/>
          <w:lang w:val="en-US"/>
        </w:rPr>
        <w:t xml:space="preserve">weaken </w:t>
      </w:r>
      <w:r w:rsidRPr="005D0FEA">
        <w:rPr>
          <w:rFonts w:ascii="Times New Roman" w:eastAsia="Times New Roman" w:hAnsi="Times New Roman" w:cs="Times New Roman"/>
          <w:color w:val="000000"/>
          <w:lang w:val="en-US"/>
        </w:rPr>
        <w:t xml:space="preserve">the investment momentum </w:t>
      </w:r>
      <w:r w:rsidRPr="005D0FEA">
        <w:rPr>
          <w:rFonts w:ascii="Times New Roman" w:eastAsia="Times New Roman" w:hAnsi="Times New Roman" w:cs="Times New Roman"/>
          <w:bCs/>
          <w:color w:val="000000"/>
          <w:lang w:val="en-US"/>
        </w:rPr>
        <w:t>observed in recent years</w:t>
      </w:r>
      <w:r w:rsidRPr="005D0FEA">
        <w:rPr>
          <w:rFonts w:ascii="Times New Roman" w:eastAsia="Times New Roman" w:hAnsi="Times New Roman" w:cs="Times New Roman"/>
          <w:color w:val="000000"/>
          <w:lang w:val="en-US"/>
        </w:rPr>
        <w:t xml:space="preserve"> and delay key infrastructure and green transition projects. </w:t>
      </w:r>
    </w:p>
    <w:p w14:paraId="40CAADE6" w14:textId="77777777" w:rsidR="005D0FEA" w:rsidRPr="005D0FEA" w:rsidRDefault="005D0FEA" w:rsidP="005D0FEA">
      <w:pPr>
        <w:spacing w:after="177" w:line="276" w:lineRule="auto"/>
        <w:rPr>
          <w:rFonts w:ascii="Times New Roman" w:eastAsia="Times New Roman" w:hAnsi="Times New Roman" w:cs="Times New Roman"/>
          <w:color w:val="000000"/>
          <w:lang w:val="en-US"/>
        </w:rPr>
      </w:pPr>
      <w:r w:rsidRPr="005D0FEA">
        <w:rPr>
          <w:rFonts w:ascii="Times New Roman" w:eastAsia="Times New Roman" w:hAnsi="Times New Roman" w:cs="Times New Roman"/>
          <w:color w:val="000000"/>
          <w:lang w:val="en-US"/>
        </w:rPr>
        <w:t xml:space="preserve">On the positive side, defense expenditures with increased investment in procurement, infrastructure and technology, </w:t>
      </w:r>
      <w:r w:rsidRPr="005D0FEA">
        <w:rPr>
          <w:rFonts w:ascii="Times New Roman" w:eastAsia="Times New Roman" w:hAnsi="Times New Roman" w:cs="Times New Roman"/>
          <w:bCs/>
          <w:color w:val="000000"/>
          <w:lang w:val="en-US"/>
        </w:rPr>
        <w:t>are expected to</w:t>
      </w:r>
      <w:r w:rsidRPr="005D0FEA">
        <w:rPr>
          <w:rFonts w:ascii="Times New Roman" w:eastAsia="Times New Roman" w:hAnsi="Times New Roman" w:cs="Times New Roman"/>
          <w:color w:val="000000"/>
          <w:lang w:val="en-US"/>
        </w:rPr>
        <w:t xml:space="preserve"> stimulate domestic industries, create spillovers in manufacturing and innovation, and attract strategic international partnerships. </w:t>
      </w:r>
      <w:r w:rsidRPr="005D0FEA">
        <w:rPr>
          <w:rFonts w:ascii="Times New Roman" w:eastAsia="Times New Roman" w:hAnsi="Times New Roman" w:cs="Times New Roman"/>
          <w:bCs/>
          <w:color w:val="000000"/>
          <w:lang w:val="en-US"/>
        </w:rPr>
        <w:t>A continued decline in inflation at EA level</w:t>
      </w:r>
      <w:r w:rsidRPr="005D0FEA">
        <w:rPr>
          <w:rFonts w:ascii="Times New Roman" w:eastAsia="Times New Roman" w:hAnsi="Times New Roman" w:cs="Times New Roman"/>
          <w:color w:val="000000"/>
          <w:lang w:val="en-US"/>
        </w:rPr>
        <w:t xml:space="preserve"> could limit future interest rate hikes, generating further </w:t>
      </w:r>
      <w:r w:rsidRPr="005D0FEA">
        <w:rPr>
          <w:rFonts w:ascii="Times New Roman" w:eastAsia="Times New Roman" w:hAnsi="Times New Roman" w:cs="Times New Roman"/>
          <w:bCs/>
          <w:color w:val="000000"/>
          <w:lang w:val="en-US"/>
        </w:rPr>
        <w:t>benefits for both the private economy and public finances</w:t>
      </w:r>
      <w:r w:rsidRPr="005D0FEA">
        <w:rPr>
          <w:rFonts w:ascii="Times New Roman" w:eastAsia="Times New Roman" w:hAnsi="Times New Roman" w:cs="Times New Roman"/>
          <w:color w:val="000000"/>
          <w:lang w:val="en-US"/>
        </w:rPr>
        <w:t xml:space="preserve">. </w:t>
      </w:r>
      <w:r w:rsidRPr="005D0FEA">
        <w:rPr>
          <w:rFonts w:ascii="Times New Roman" w:eastAsia="Times New Roman" w:hAnsi="Times New Roman" w:cs="Times New Roman"/>
          <w:bCs/>
          <w:color w:val="000000"/>
          <w:lang w:val="en-US"/>
        </w:rPr>
        <w:t>Combined with robust EU fund absorption, an improved consumer and investor sentiment</w:t>
      </w:r>
      <w:r w:rsidRPr="005D0FEA">
        <w:rPr>
          <w:rFonts w:ascii="Times New Roman" w:eastAsia="Times New Roman" w:hAnsi="Times New Roman" w:cs="Times New Roman"/>
          <w:color w:val="000000"/>
          <w:lang w:val="en-US"/>
        </w:rPr>
        <w:t xml:space="preserve">, supported by Greece’s upgraded credit profile and fiscal prudency, could reinforce the country’s growth trajectory and strengthen its economic resilience.   </w:t>
      </w:r>
    </w:p>
    <w:p w14:paraId="3A7E25AD" w14:textId="77777777" w:rsidR="005D0FEA" w:rsidRPr="005D0FEA" w:rsidRDefault="005D0FEA" w:rsidP="005D0FEA">
      <w:pPr>
        <w:spacing w:after="177" w:line="276" w:lineRule="auto"/>
        <w:ind w:left="-5" w:hanging="10"/>
        <w:rPr>
          <w:rFonts w:ascii="Times New Roman" w:eastAsia="Times New Roman" w:hAnsi="Times New Roman" w:cs="Times New Roman"/>
          <w:color w:val="000000"/>
          <w:lang w:val="en-US"/>
        </w:rPr>
      </w:pPr>
      <w:r w:rsidRPr="005D0FEA">
        <w:rPr>
          <w:rFonts w:ascii="Times New Roman" w:eastAsia="Times New Roman" w:hAnsi="Times New Roman" w:cs="Times New Roman"/>
          <w:color w:val="000000"/>
          <w:lang w:val="en-US"/>
        </w:rPr>
        <w:t>Based on the above, the Hellenic Fiscal Council endorses the macroeconomic projections underlying the Draft Budgetary Plan 2026. The Council has assessed the fiscal projections and confirmed compliance with the numerical fiscal rules.</w:t>
      </w:r>
    </w:p>
    <w:p w14:paraId="14781E84" w14:textId="77777777" w:rsidR="005D0FEA" w:rsidRPr="005D0FEA" w:rsidRDefault="005D0FEA" w:rsidP="005D0FEA">
      <w:pPr>
        <w:spacing w:after="177" w:line="276" w:lineRule="auto"/>
        <w:ind w:left="-5" w:hanging="10"/>
        <w:jc w:val="right"/>
        <w:rPr>
          <w:rFonts w:ascii="Times New Roman" w:eastAsia="Times New Roman" w:hAnsi="Times New Roman" w:cs="Times New Roman"/>
          <w:color w:val="000000"/>
          <w:lang w:val="en-US"/>
        </w:rPr>
      </w:pPr>
      <w:r w:rsidRPr="005D0FEA">
        <w:rPr>
          <w:rFonts w:ascii="Times New Roman" w:eastAsia="Times New Roman" w:hAnsi="Times New Roman" w:cs="Times New Roman"/>
          <w:color w:val="000000"/>
          <w:lang w:val="en-US"/>
        </w:rPr>
        <w:t>For the Hellenic Fiscal Council,</w:t>
      </w:r>
    </w:p>
    <w:p w14:paraId="5F375810" w14:textId="77777777" w:rsidR="005D0FEA" w:rsidRPr="005D0FEA" w:rsidRDefault="005D0FEA" w:rsidP="005D0FEA">
      <w:pPr>
        <w:spacing w:after="177" w:line="276" w:lineRule="auto"/>
        <w:rPr>
          <w:rFonts w:ascii="Times New Roman" w:eastAsia="Times New Roman" w:hAnsi="Times New Roman" w:cs="Times New Roman"/>
          <w:color w:val="000000"/>
          <w:lang w:val="en-US"/>
        </w:rPr>
      </w:pPr>
    </w:p>
    <w:p w14:paraId="693A3ACC" w14:textId="77777777" w:rsidR="005D0FEA" w:rsidRPr="0082303E" w:rsidRDefault="005D0FEA" w:rsidP="005D0FEA">
      <w:pPr>
        <w:spacing w:after="177" w:line="276" w:lineRule="auto"/>
        <w:ind w:left="-5" w:hanging="10"/>
        <w:jc w:val="right"/>
        <w:rPr>
          <w:rFonts w:ascii="Times New Roman" w:eastAsia="Times New Roman" w:hAnsi="Times New Roman" w:cs="Times New Roman"/>
          <w:color w:val="000000"/>
          <w:lang w:val="en-US"/>
        </w:rPr>
      </w:pPr>
      <w:r w:rsidRPr="005D0FEA">
        <w:rPr>
          <w:rFonts w:ascii="Times New Roman" w:eastAsia="Times New Roman" w:hAnsi="Times New Roman" w:cs="Times New Roman"/>
          <w:color w:val="000000"/>
          <w:lang w:val="en-US"/>
        </w:rPr>
        <w:t xml:space="preserve"> </w:t>
      </w:r>
      <w:r w:rsidRPr="0082303E">
        <w:rPr>
          <w:rFonts w:ascii="Times New Roman" w:eastAsia="Times New Roman" w:hAnsi="Times New Roman" w:cs="Times New Roman"/>
          <w:color w:val="000000"/>
          <w:lang w:val="en-US"/>
        </w:rPr>
        <w:t>The Chairperson</w:t>
      </w:r>
    </w:p>
    <w:p w14:paraId="79EE8DE8" w14:textId="77777777" w:rsidR="005D0FEA" w:rsidRPr="0082303E" w:rsidRDefault="005D0FEA" w:rsidP="005D0FEA">
      <w:pPr>
        <w:spacing w:after="177" w:line="276" w:lineRule="auto"/>
        <w:ind w:left="-5" w:hanging="10"/>
        <w:jc w:val="right"/>
        <w:rPr>
          <w:rFonts w:ascii="Times New Roman" w:eastAsia="Times New Roman" w:hAnsi="Times New Roman" w:cs="Times New Roman"/>
          <w:color w:val="000000"/>
          <w:lang w:val="en-US"/>
        </w:rPr>
      </w:pPr>
      <w:r w:rsidRPr="0082303E">
        <w:rPr>
          <w:rFonts w:ascii="Times New Roman" w:eastAsia="Times New Roman" w:hAnsi="Times New Roman" w:cs="Times New Roman"/>
          <w:color w:val="000000"/>
          <w:lang w:val="en-US"/>
        </w:rPr>
        <w:t>Anastasia Miaouli</w:t>
      </w:r>
    </w:p>
    <w:p w14:paraId="4B957066" w14:textId="67E1CA11" w:rsidR="00A35233" w:rsidRPr="00A35233" w:rsidRDefault="00A35233" w:rsidP="00A35233">
      <w:pPr>
        <w:rPr>
          <w:lang w:val="en-US"/>
        </w:rPr>
      </w:pPr>
    </w:p>
    <w:p w14:paraId="7148BD27" w14:textId="58488B46" w:rsidR="00726977" w:rsidRDefault="00726977">
      <w:pPr>
        <w:rPr>
          <w:lang w:val="en-US"/>
        </w:rPr>
      </w:pPr>
    </w:p>
    <w:p w14:paraId="0E8D6A39" w14:textId="77777777" w:rsidR="00E03C4A" w:rsidRDefault="00E03C4A">
      <w:pPr>
        <w:spacing w:line="276" w:lineRule="auto"/>
        <w:jc w:val="left"/>
        <w:rPr>
          <w:rFonts w:eastAsiaTheme="majorEastAsia"/>
          <w:lang w:val="en-US"/>
        </w:rPr>
      </w:pPr>
    </w:p>
    <w:p w14:paraId="6230B34B" w14:textId="77777777" w:rsidR="00726977" w:rsidRDefault="00726977">
      <w:pPr>
        <w:rPr>
          <w:rFonts w:eastAsiaTheme="majorEastAsia"/>
          <w:lang w:val="en-US"/>
        </w:rPr>
      </w:pPr>
    </w:p>
    <w:p w14:paraId="015B32FF" w14:textId="77777777" w:rsidR="00E03C4A" w:rsidRDefault="00E03C4A">
      <w:pPr>
        <w:rPr>
          <w:rFonts w:eastAsiaTheme="majorEastAsia"/>
          <w:lang w:val="en-US"/>
        </w:rPr>
      </w:pPr>
    </w:p>
    <w:p w14:paraId="22BFFF96" w14:textId="77777777" w:rsidR="00304EC6" w:rsidRDefault="00304EC6">
      <w:pPr>
        <w:rPr>
          <w:rFonts w:eastAsiaTheme="majorEastAsia"/>
          <w:lang w:val="en-US"/>
        </w:rPr>
        <w:sectPr w:rsidR="00304EC6" w:rsidSect="00577A51">
          <w:footerReference w:type="even" r:id="rId35"/>
          <w:footerReference w:type="default" r:id="rId36"/>
          <w:footnotePr>
            <w:numRestart w:val="eachSect"/>
          </w:footnotePr>
          <w:pgSz w:w="11906" w:h="16838"/>
          <w:pgMar w:top="1304" w:right="1191" w:bottom="1191" w:left="1304" w:header="709" w:footer="709" w:gutter="567"/>
          <w:cols w:space="708"/>
          <w:titlePg/>
          <w:docGrid w:linePitch="360"/>
        </w:sectPr>
      </w:pPr>
    </w:p>
    <w:p w14:paraId="3ABCD1A5" w14:textId="77777777" w:rsidR="00E03C4A" w:rsidRDefault="00E03C4A">
      <w:pPr>
        <w:rPr>
          <w:rFonts w:eastAsiaTheme="majorEastAsia"/>
          <w:lang w:val="en-US"/>
        </w:rPr>
      </w:pPr>
    </w:p>
    <w:p w14:paraId="78C3761A" w14:textId="77777777" w:rsidR="00E03C4A" w:rsidRDefault="00E03C4A">
      <w:pPr>
        <w:rPr>
          <w:rFonts w:eastAsiaTheme="majorEastAsia"/>
          <w:lang w:val="en-US"/>
        </w:rPr>
      </w:pPr>
    </w:p>
    <w:p w14:paraId="7D96ACCB" w14:textId="77777777" w:rsidR="00E03C4A" w:rsidRDefault="00E03C4A">
      <w:pPr>
        <w:rPr>
          <w:rFonts w:eastAsiaTheme="majorEastAsia"/>
          <w:lang w:val="en-US"/>
        </w:rPr>
      </w:pPr>
    </w:p>
    <w:p w14:paraId="186FD093" w14:textId="77777777" w:rsidR="00E03C4A" w:rsidRDefault="00E03C4A">
      <w:pPr>
        <w:rPr>
          <w:rFonts w:eastAsiaTheme="majorEastAsia"/>
          <w:lang w:val="en-US"/>
        </w:rPr>
      </w:pPr>
    </w:p>
    <w:p w14:paraId="679131B1" w14:textId="77777777" w:rsidR="00284A4F" w:rsidRDefault="00284A4F">
      <w:pPr>
        <w:rPr>
          <w:rFonts w:eastAsiaTheme="majorEastAsia"/>
          <w:lang w:val="en-US"/>
        </w:rPr>
      </w:pPr>
    </w:p>
    <w:p w14:paraId="482C317C" w14:textId="77777777" w:rsidR="00E03C4A" w:rsidRDefault="00E03C4A">
      <w:pPr>
        <w:rPr>
          <w:rFonts w:eastAsiaTheme="majorEastAsia"/>
          <w:lang w:val="en-US"/>
        </w:rPr>
      </w:pPr>
    </w:p>
    <w:p w14:paraId="6273483F" w14:textId="77777777" w:rsidR="00E03C4A" w:rsidRDefault="00E03C4A">
      <w:pPr>
        <w:rPr>
          <w:rFonts w:eastAsiaTheme="majorEastAsia"/>
          <w:lang w:val="en-US"/>
        </w:rPr>
      </w:pPr>
    </w:p>
    <w:p w14:paraId="7BA78FCB" w14:textId="77BFFA6B" w:rsidR="00726977" w:rsidRDefault="00E97218">
      <w:pPr>
        <w:rPr>
          <w:rFonts w:ascii="CIDFont+F2" w:eastAsiaTheme="minorHAnsi" w:hAnsi="CIDFont+F2" w:cs="CIDFont+F2"/>
          <w:b/>
          <w:color w:val="0070C0"/>
          <w:sz w:val="28"/>
          <w:szCs w:val="24"/>
          <w:lang w:val="en-US" w:eastAsia="en-US"/>
        </w:rPr>
      </w:pPr>
      <w:r>
        <w:rPr>
          <w:noProof/>
        </w:rPr>
        <mc:AlternateContent>
          <mc:Choice Requires="wps">
            <w:drawing>
              <wp:anchor distT="0" distB="0" distL="114298" distR="114298" simplePos="0" relativeHeight="251673600" behindDoc="0" locked="0" layoutInCell="1" allowOverlap="1" wp14:anchorId="0F60F13C" wp14:editId="3BDACDAB">
                <wp:simplePos x="0" y="0"/>
                <wp:positionH relativeFrom="column">
                  <wp:posOffset>3372485</wp:posOffset>
                </wp:positionH>
                <wp:positionV relativeFrom="paragraph">
                  <wp:posOffset>12065</wp:posOffset>
                </wp:positionV>
                <wp:extent cx="0" cy="6229350"/>
                <wp:effectExtent l="1905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29350"/>
                        </a:xfrm>
                        <a:prstGeom prst="line">
                          <a:avLst/>
                        </a:prstGeom>
                        <a:ln w="28575">
                          <a:solidFill>
                            <a:schemeClr val="accent6">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62458" id="Straight Connector 2"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65.55pt,.95pt" to="265.55pt,4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" strokecolor="#e36c0a [2409]" strokeweight="2.25pt">
                <o:lock v:ext="edit" shapetype="f"/>
              </v:line>
            </w:pict>
          </mc:Fallback>
        </mc:AlternateContent>
      </w:r>
      <w:r w:rsidR="00C206ED">
        <w:rPr>
          <w:noProof/>
          <w:lang w:val="en-US" w:eastAsia="en-US"/>
        </w:rPr>
        <w:drawing>
          <wp:anchor distT="0" distB="0" distL="114300" distR="114300" simplePos="0" relativeHeight="251674624" behindDoc="0" locked="0" layoutInCell="1" allowOverlap="1" wp14:anchorId="151336C8" wp14:editId="1D296209">
            <wp:simplePos x="0" y="0"/>
            <wp:positionH relativeFrom="column">
              <wp:posOffset>1900555</wp:posOffset>
            </wp:positionH>
            <wp:positionV relativeFrom="paragraph">
              <wp:posOffset>9525</wp:posOffset>
            </wp:positionV>
            <wp:extent cx="828675" cy="880110"/>
            <wp:effectExtent l="0" t="0" r="9525" b="0"/>
            <wp:wrapNone/>
            <wp:docPr id="6" name="Εικόνα 4"/>
            <wp:cNvGraphicFramePr/>
            <a:graphic xmlns:a="http://schemas.openxmlformats.org/drawingml/2006/main">
              <a:graphicData uri="http://schemas.openxmlformats.org/drawingml/2006/picture">
                <pic:pic xmlns:pic="http://schemas.openxmlformats.org/drawingml/2006/picture">
                  <pic:nvPicPr>
                    <pic:cNvPr id="6" name="Εικόνα 4"/>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8675" cy="880110"/>
                    </a:xfrm>
                    <a:prstGeom prst="rect">
                      <a:avLst/>
                    </a:prstGeom>
                    <a:noFill/>
                    <a:ln w="9525">
                      <a:noFill/>
                      <a:miter lim="800000"/>
                      <a:headEnd/>
                      <a:tailEnd/>
                    </a:ln>
                  </pic:spPr>
                </pic:pic>
              </a:graphicData>
            </a:graphic>
          </wp:anchor>
        </w:drawing>
      </w:r>
    </w:p>
    <w:p w14:paraId="66446910" w14:textId="77777777" w:rsidR="00726977" w:rsidRDefault="00726977">
      <w:pPr>
        <w:rPr>
          <w:rFonts w:ascii="CIDFont+F2" w:eastAsiaTheme="minorHAnsi" w:hAnsi="CIDFont+F2" w:cs="CIDFont+F2"/>
          <w:b/>
          <w:color w:val="0070C0"/>
          <w:sz w:val="28"/>
          <w:szCs w:val="24"/>
          <w:lang w:val="en-US" w:eastAsia="en-US"/>
        </w:rPr>
      </w:pPr>
    </w:p>
    <w:p w14:paraId="697F70A3" w14:textId="77777777" w:rsidR="00194996" w:rsidRDefault="00194996" w:rsidP="00BF7B89">
      <w:pPr>
        <w:rPr>
          <w:rFonts w:ascii="CIDFont+F2" w:eastAsiaTheme="minorHAnsi" w:hAnsi="CIDFont+F2" w:cs="CIDFont+F2"/>
          <w:b/>
          <w:color w:val="0070C0"/>
          <w:sz w:val="28"/>
          <w:szCs w:val="24"/>
          <w:lang w:val="en-US" w:eastAsia="en-US"/>
        </w:rPr>
      </w:pPr>
    </w:p>
    <w:p w14:paraId="591117A5" w14:textId="77777777" w:rsidR="00726977" w:rsidRDefault="00726977">
      <w:pPr>
        <w:rPr>
          <w:rFonts w:ascii="CIDFont+F2" w:eastAsiaTheme="minorHAnsi" w:hAnsi="CIDFont+F2" w:cs="CIDFont+F2"/>
          <w:b/>
          <w:color w:val="0070C0"/>
          <w:sz w:val="28"/>
          <w:szCs w:val="24"/>
          <w:lang w:val="en-US" w:eastAsia="en-US"/>
        </w:rPr>
      </w:pPr>
    </w:p>
    <w:p w14:paraId="45A3CB4E" w14:textId="77777777" w:rsidR="003439EB" w:rsidRPr="00AD224D" w:rsidRDefault="003439EB" w:rsidP="00416EEB">
      <w:pPr>
        <w:autoSpaceDE w:val="0"/>
        <w:autoSpaceDN w:val="0"/>
        <w:adjustRightInd w:val="0"/>
        <w:spacing w:after="0" w:line="240" w:lineRule="auto"/>
        <w:ind w:left="1134" w:right="4705" w:hanging="708"/>
        <w:jc w:val="right"/>
        <w:rPr>
          <w:rFonts w:ascii="CIDFont+F1" w:eastAsiaTheme="minorHAnsi" w:hAnsi="CIDFont+F1" w:cs="CIDFont+F1"/>
          <w:b/>
          <w:color w:val="244061" w:themeColor="accent1" w:themeShade="80"/>
          <w:sz w:val="34"/>
          <w:szCs w:val="24"/>
          <w:lang w:val="en-US" w:eastAsia="en-US"/>
        </w:rPr>
      </w:pPr>
      <w:r w:rsidRPr="00AD224D">
        <w:rPr>
          <w:rFonts w:ascii="CIDFont+F1" w:eastAsiaTheme="minorHAnsi" w:hAnsi="CIDFont+F1" w:cs="CIDFont+F1"/>
          <w:b/>
          <w:color w:val="244061" w:themeColor="accent1" w:themeShade="80"/>
          <w:sz w:val="34"/>
          <w:szCs w:val="24"/>
          <w:lang w:val="en-US" w:eastAsia="en-US"/>
        </w:rPr>
        <w:t>HELLENIC REPUBLIC</w:t>
      </w:r>
    </w:p>
    <w:p w14:paraId="37BB4714" w14:textId="77777777" w:rsidR="003439EB" w:rsidRDefault="003439EB" w:rsidP="00BD4FA1">
      <w:pPr>
        <w:autoSpaceDE w:val="0"/>
        <w:autoSpaceDN w:val="0"/>
        <w:adjustRightInd w:val="0"/>
        <w:spacing w:after="0" w:line="240" w:lineRule="auto"/>
        <w:ind w:left="2268" w:right="4705" w:hanging="850"/>
        <w:jc w:val="right"/>
        <w:rPr>
          <w:rFonts w:ascii="CIDFont+F1" w:eastAsiaTheme="minorHAnsi" w:hAnsi="CIDFont+F1" w:cs="CIDFont+F1"/>
          <w:color w:val="000000"/>
          <w:sz w:val="24"/>
          <w:szCs w:val="24"/>
          <w:lang w:val="en-US" w:eastAsia="en-US"/>
        </w:rPr>
      </w:pPr>
    </w:p>
    <w:p w14:paraId="26A298A4" w14:textId="77777777" w:rsidR="00425456" w:rsidRDefault="003439EB" w:rsidP="00416EEB">
      <w:pPr>
        <w:autoSpaceDE w:val="0"/>
        <w:autoSpaceDN w:val="0"/>
        <w:adjustRightInd w:val="0"/>
        <w:spacing w:after="0" w:line="240" w:lineRule="auto"/>
        <w:ind w:left="1134" w:right="4705" w:hanging="708"/>
        <w:jc w:val="right"/>
        <w:rPr>
          <w:rFonts w:ascii="CIDFont+F1" w:eastAsiaTheme="minorHAnsi" w:hAnsi="CIDFont+F1" w:cs="CIDFont+F1"/>
          <w:b/>
          <w:color w:val="4F81BD" w:themeColor="accent1"/>
          <w:sz w:val="32"/>
          <w:szCs w:val="24"/>
          <w:lang w:val="en-US" w:eastAsia="en-US"/>
        </w:rPr>
      </w:pPr>
      <w:r w:rsidRPr="00AD224D">
        <w:rPr>
          <w:rFonts w:ascii="CIDFont+F1" w:eastAsiaTheme="minorHAnsi" w:hAnsi="CIDFont+F1" w:cs="CIDFont+F1"/>
          <w:b/>
          <w:color w:val="4F81BD" w:themeColor="accent1"/>
          <w:sz w:val="32"/>
          <w:szCs w:val="24"/>
          <w:lang w:val="en-US" w:eastAsia="en-US"/>
        </w:rPr>
        <w:t>Ministry of</w:t>
      </w:r>
      <w:r w:rsidR="00425456">
        <w:rPr>
          <w:rFonts w:ascii="CIDFont+F1" w:eastAsiaTheme="minorHAnsi" w:hAnsi="CIDFont+F1" w:cs="CIDFont+F1"/>
          <w:b/>
          <w:color w:val="4F81BD" w:themeColor="accent1"/>
          <w:sz w:val="32"/>
          <w:szCs w:val="24"/>
          <w:lang w:val="en-US" w:eastAsia="en-US"/>
        </w:rPr>
        <w:t xml:space="preserve"> </w:t>
      </w:r>
      <w:r w:rsidR="005F5147" w:rsidRPr="00AD224D">
        <w:rPr>
          <w:rFonts w:ascii="CIDFont+F1" w:eastAsiaTheme="minorHAnsi" w:hAnsi="CIDFont+F1" w:cs="CIDFont+F1"/>
          <w:b/>
          <w:color w:val="4F81BD" w:themeColor="accent1"/>
          <w:sz w:val="32"/>
          <w:szCs w:val="24"/>
          <w:lang w:val="en-US" w:eastAsia="en-US"/>
        </w:rPr>
        <w:t xml:space="preserve">Economy </w:t>
      </w:r>
    </w:p>
    <w:p w14:paraId="46C6A544" w14:textId="77777777" w:rsidR="003439EB" w:rsidRPr="00AD224D" w:rsidRDefault="005F5147" w:rsidP="00416EEB">
      <w:pPr>
        <w:autoSpaceDE w:val="0"/>
        <w:autoSpaceDN w:val="0"/>
        <w:adjustRightInd w:val="0"/>
        <w:spacing w:after="0" w:line="240" w:lineRule="auto"/>
        <w:ind w:left="1134" w:right="4705" w:hanging="708"/>
        <w:jc w:val="right"/>
        <w:rPr>
          <w:rFonts w:ascii="CIDFont+F1" w:eastAsiaTheme="minorHAnsi" w:hAnsi="CIDFont+F1" w:cs="CIDFont+F1"/>
          <w:b/>
          <w:color w:val="4F81BD" w:themeColor="accent1"/>
          <w:sz w:val="32"/>
          <w:szCs w:val="24"/>
          <w:lang w:val="en-US" w:eastAsia="en-US"/>
        </w:rPr>
      </w:pPr>
      <w:r w:rsidRPr="00AD224D">
        <w:rPr>
          <w:rFonts w:ascii="CIDFont+F1" w:eastAsiaTheme="minorHAnsi" w:hAnsi="CIDFont+F1" w:cs="CIDFont+F1"/>
          <w:b/>
          <w:color w:val="4F81BD" w:themeColor="accent1"/>
          <w:sz w:val="32"/>
          <w:szCs w:val="24"/>
          <w:lang w:val="en-US" w:eastAsia="en-US"/>
        </w:rPr>
        <w:t xml:space="preserve">and </w:t>
      </w:r>
      <w:r w:rsidR="003439EB" w:rsidRPr="00AD224D">
        <w:rPr>
          <w:rFonts w:ascii="CIDFont+F1" w:eastAsiaTheme="minorHAnsi" w:hAnsi="CIDFont+F1" w:cs="CIDFont+F1"/>
          <w:b/>
          <w:color w:val="4F81BD" w:themeColor="accent1"/>
          <w:sz w:val="32"/>
          <w:szCs w:val="24"/>
          <w:lang w:val="en-US" w:eastAsia="en-US"/>
        </w:rPr>
        <w:t>Finance</w:t>
      </w:r>
    </w:p>
    <w:p w14:paraId="4DBF0BCD" w14:textId="753F48FC" w:rsidR="00416EEB" w:rsidRPr="003439EB" w:rsidRDefault="00416EEB" w:rsidP="00416EEB">
      <w:pPr>
        <w:autoSpaceDE w:val="0"/>
        <w:autoSpaceDN w:val="0"/>
        <w:adjustRightInd w:val="0"/>
        <w:spacing w:after="0" w:line="240" w:lineRule="auto"/>
        <w:ind w:left="1134" w:right="4705" w:hanging="708"/>
        <w:jc w:val="right"/>
        <w:rPr>
          <w:rFonts w:ascii="CIDFont+F1" w:eastAsiaTheme="minorHAnsi" w:hAnsi="CIDFont+F1" w:cs="CIDFont+F1"/>
          <w:b/>
          <w:color w:val="000000"/>
          <w:sz w:val="26"/>
          <w:szCs w:val="24"/>
          <w:lang w:val="en-US" w:eastAsia="en-US"/>
        </w:rPr>
      </w:pPr>
    </w:p>
    <w:p w14:paraId="3534991B" w14:textId="6C5D2946" w:rsidR="00E02C32" w:rsidRDefault="00E02C32" w:rsidP="00416EEB">
      <w:pPr>
        <w:autoSpaceDE w:val="0"/>
        <w:autoSpaceDN w:val="0"/>
        <w:adjustRightInd w:val="0"/>
        <w:spacing w:after="0" w:line="240" w:lineRule="auto"/>
        <w:ind w:left="1134" w:right="4705" w:hanging="708"/>
        <w:jc w:val="right"/>
        <w:rPr>
          <w:rFonts w:ascii="CIDFont+F1" w:eastAsiaTheme="minorHAnsi" w:hAnsi="CIDFont+F1" w:cs="CIDFont+F1"/>
          <w:color w:val="000000"/>
          <w:sz w:val="24"/>
          <w:szCs w:val="24"/>
          <w:lang w:val="en-US" w:eastAsia="en-US"/>
        </w:rPr>
      </w:pPr>
    </w:p>
    <w:p w14:paraId="2C8C1B8B" w14:textId="77777777" w:rsidR="006A1EF0" w:rsidRDefault="006A1EF0" w:rsidP="00416EEB">
      <w:pPr>
        <w:autoSpaceDE w:val="0"/>
        <w:autoSpaceDN w:val="0"/>
        <w:adjustRightInd w:val="0"/>
        <w:spacing w:after="0" w:line="240" w:lineRule="auto"/>
        <w:ind w:left="1134" w:right="4705" w:hanging="708"/>
        <w:jc w:val="right"/>
        <w:rPr>
          <w:rFonts w:eastAsiaTheme="minorHAnsi" w:cs="CIDFont+F1"/>
          <w:b/>
          <w:color w:val="4F81BD" w:themeColor="accent1"/>
          <w:sz w:val="28"/>
          <w:szCs w:val="24"/>
          <w:lang w:val="en-US" w:eastAsia="en-US"/>
        </w:rPr>
      </w:pPr>
    </w:p>
    <w:p w14:paraId="3DE26E49" w14:textId="7BDC9181" w:rsidR="00E02C32" w:rsidRPr="00831EE4" w:rsidRDefault="006A1EF0" w:rsidP="00416EEB">
      <w:pPr>
        <w:autoSpaceDE w:val="0"/>
        <w:autoSpaceDN w:val="0"/>
        <w:adjustRightInd w:val="0"/>
        <w:spacing w:after="0" w:line="240" w:lineRule="auto"/>
        <w:ind w:left="1134" w:right="4705" w:hanging="708"/>
        <w:jc w:val="right"/>
        <w:rPr>
          <w:rFonts w:eastAsiaTheme="minorHAnsi" w:cs="CIDFont+F1"/>
          <w:b/>
          <w:color w:val="4F81BD" w:themeColor="accent1"/>
          <w:sz w:val="28"/>
          <w:szCs w:val="24"/>
          <w:lang w:val="en-US" w:eastAsia="en-US"/>
        </w:rPr>
      </w:pPr>
      <w:r>
        <w:rPr>
          <w:rFonts w:eastAsiaTheme="minorHAnsi" w:cs="CIDFont+F1"/>
          <w:noProof/>
          <w:color w:val="000000"/>
          <w:sz w:val="24"/>
          <w:szCs w:val="24"/>
          <w:lang w:val="en-US" w:eastAsia="en-US"/>
        </w:rPr>
        <w:drawing>
          <wp:anchor distT="0" distB="0" distL="114300" distR="114300" simplePos="0" relativeHeight="251689984" behindDoc="0" locked="0" layoutInCell="1" allowOverlap="1" wp14:anchorId="028A1C51" wp14:editId="640BC86A">
            <wp:simplePos x="0" y="0"/>
            <wp:positionH relativeFrom="column">
              <wp:posOffset>805180</wp:posOffset>
            </wp:positionH>
            <wp:positionV relativeFrom="paragraph">
              <wp:posOffset>398788</wp:posOffset>
            </wp:positionV>
            <wp:extent cx="1922145" cy="1412875"/>
            <wp:effectExtent l="0" t="0" r="1905"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etch_1_cyan_black.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22145" cy="1412875"/>
                    </a:xfrm>
                    <a:prstGeom prst="rect">
                      <a:avLst/>
                    </a:prstGeom>
                  </pic:spPr>
                </pic:pic>
              </a:graphicData>
            </a:graphic>
            <wp14:sizeRelH relativeFrom="margin">
              <wp14:pctWidth>0</wp14:pctWidth>
            </wp14:sizeRelH>
            <wp14:sizeRelV relativeFrom="margin">
              <wp14:pctHeight>0</wp14:pctHeight>
            </wp14:sizeRelV>
          </wp:anchor>
        </w:drawing>
      </w:r>
      <w:r w:rsidR="00E02C32" w:rsidRPr="00831EE4">
        <w:rPr>
          <w:rFonts w:eastAsiaTheme="minorHAnsi" w:cs="CIDFont+F1"/>
          <w:b/>
          <w:color w:val="4F81BD" w:themeColor="accent1"/>
          <w:sz w:val="28"/>
          <w:szCs w:val="24"/>
          <w:lang w:val="en-US" w:eastAsia="en-US"/>
        </w:rPr>
        <w:t>General Accounting Office</w:t>
      </w:r>
    </w:p>
    <w:p w14:paraId="32ADB951" w14:textId="57C70D61" w:rsidR="00E02C32" w:rsidRPr="00831EE4" w:rsidRDefault="006A1EF0" w:rsidP="00416EEB">
      <w:pPr>
        <w:autoSpaceDE w:val="0"/>
        <w:autoSpaceDN w:val="0"/>
        <w:adjustRightInd w:val="0"/>
        <w:spacing w:after="0" w:line="240" w:lineRule="auto"/>
        <w:ind w:left="1134" w:right="4705" w:hanging="708"/>
        <w:jc w:val="right"/>
        <w:rPr>
          <w:rFonts w:eastAsiaTheme="minorHAnsi" w:cs="CIDFont+F1"/>
          <w:b/>
          <w:color w:val="808080" w:themeColor="background1" w:themeShade="80"/>
          <w:sz w:val="24"/>
          <w:szCs w:val="24"/>
          <w:lang w:val="en-US" w:eastAsia="en-US"/>
        </w:rPr>
      </w:pPr>
      <w:r>
        <w:rPr>
          <w:rFonts w:eastAsiaTheme="minorHAnsi" w:cs="CIDFont+F1"/>
          <w:b/>
          <w:color w:val="808080" w:themeColor="background1" w:themeShade="80"/>
          <w:sz w:val="24"/>
          <w:szCs w:val="24"/>
          <w:lang w:val="en-US" w:eastAsia="en-US"/>
        </w:rPr>
        <w:br/>
      </w:r>
      <w:r w:rsidR="007C0D7F" w:rsidRPr="00831EE4">
        <w:rPr>
          <w:rFonts w:eastAsiaTheme="minorHAnsi" w:cs="CIDFont+F1"/>
          <w:b/>
          <w:color w:val="808080" w:themeColor="background1" w:themeShade="80"/>
          <w:sz w:val="24"/>
          <w:szCs w:val="24"/>
          <w:lang w:val="en-US" w:eastAsia="en-US"/>
        </w:rPr>
        <w:t xml:space="preserve">37 </w:t>
      </w:r>
      <w:r w:rsidR="00E02C32" w:rsidRPr="00831EE4">
        <w:rPr>
          <w:rFonts w:eastAsiaTheme="minorHAnsi" w:cs="CIDFont+F1"/>
          <w:b/>
          <w:color w:val="808080" w:themeColor="background1" w:themeShade="80"/>
          <w:sz w:val="24"/>
          <w:szCs w:val="24"/>
          <w:lang w:val="en-US" w:eastAsia="en-US"/>
        </w:rPr>
        <w:t xml:space="preserve">Panepistimiou </w:t>
      </w:r>
      <w:r w:rsidR="007C0D7F" w:rsidRPr="00831EE4">
        <w:rPr>
          <w:rFonts w:eastAsiaTheme="minorHAnsi" w:cs="CIDFont+F1"/>
          <w:b/>
          <w:color w:val="808080" w:themeColor="background1" w:themeShade="80"/>
          <w:sz w:val="24"/>
          <w:szCs w:val="24"/>
          <w:lang w:val="en-US" w:eastAsia="en-US"/>
        </w:rPr>
        <w:t>St.</w:t>
      </w:r>
    </w:p>
    <w:p w14:paraId="4DAB2740" w14:textId="77777777" w:rsidR="00E02C32" w:rsidRDefault="00E02C32" w:rsidP="00416EEB">
      <w:pPr>
        <w:autoSpaceDE w:val="0"/>
        <w:autoSpaceDN w:val="0"/>
        <w:adjustRightInd w:val="0"/>
        <w:spacing w:after="0" w:line="240" w:lineRule="auto"/>
        <w:ind w:left="1134" w:right="4705" w:hanging="708"/>
        <w:jc w:val="right"/>
        <w:rPr>
          <w:rFonts w:eastAsiaTheme="minorHAnsi" w:cs="CIDFont+F1"/>
          <w:color w:val="000000"/>
          <w:sz w:val="24"/>
          <w:szCs w:val="24"/>
          <w:lang w:val="en-US" w:eastAsia="en-US"/>
        </w:rPr>
      </w:pPr>
      <w:r w:rsidRPr="00831EE4">
        <w:rPr>
          <w:rFonts w:eastAsiaTheme="minorHAnsi" w:cs="CIDFont+F1"/>
          <w:b/>
          <w:color w:val="808080" w:themeColor="background1" w:themeShade="80"/>
          <w:sz w:val="24"/>
          <w:szCs w:val="24"/>
          <w:lang w:val="en-US" w:eastAsia="en-US"/>
        </w:rPr>
        <w:t>10564 Athens</w:t>
      </w:r>
    </w:p>
    <w:p w14:paraId="3A0D9F63" w14:textId="77777777" w:rsidR="00E02C32" w:rsidRDefault="00E02C32" w:rsidP="00416EEB">
      <w:pPr>
        <w:autoSpaceDE w:val="0"/>
        <w:autoSpaceDN w:val="0"/>
        <w:adjustRightInd w:val="0"/>
        <w:spacing w:after="0" w:line="240" w:lineRule="auto"/>
        <w:ind w:left="1134" w:right="4705" w:hanging="708"/>
        <w:jc w:val="right"/>
        <w:rPr>
          <w:rFonts w:eastAsiaTheme="minorHAnsi" w:cs="CIDFont+F1"/>
          <w:color w:val="000000"/>
          <w:sz w:val="24"/>
          <w:szCs w:val="24"/>
          <w:lang w:val="en-US" w:eastAsia="en-US"/>
        </w:rPr>
      </w:pPr>
    </w:p>
    <w:p w14:paraId="066B2337" w14:textId="77777777" w:rsidR="00BB21D0" w:rsidRDefault="00BB21D0" w:rsidP="00BB21D0">
      <w:pPr>
        <w:autoSpaceDE w:val="0"/>
        <w:autoSpaceDN w:val="0"/>
        <w:adjustRightInd w:val="0"/>
        <w:spacing w:after="0" w:line="240" w:lineRule="auto"/>
        <w:ind w:left="709" w:right="4705" w:hanging="283"/>
        <w:jc w:val="right"/>
        <w:rPr>
          <w:rFonts w:eastAsiaTheme="minorHAnsi" w:cs="CIDFont+F1"/>
          <w:color w:val="000000"/>
          <w:sz w:val="24"/>
          <w:szCs w:val="24"/>
          <w:lang w:val="en-US" w:eastAsia="en-US"/>
        </w:rPr>
      </w:pPr>
    </w:p>
    <w:p w14:paraId="7ACBDA2D" w14:textId="77E58CC7" w:rsidR="00194996" w:rsidRPr="00F81340" w:rsidRDefault="00D06AE5" w:rsidP="00BB21D0">
      <w:pPr>
        <w:autoSpaceDE w:val="0"/>
        <w:autoSpaceDN w:val="0"/>
        <w:adjustRightInd w:val="0"/>
        <w:spacing w:after="0" w:line="240" w:lineRule="auto"/>
        <w:ind w:left="709" w:right="4705" w:hanging="283"/>
        <w:jc w:val="right"/>
        <w:rPr>
          <w:rFonts w:eastAsiaTheme="majorEastAsia" w:cstheme="majorBidi"/>
          <w:b/>
          <w:color w:val="E36C0A" w:themeColor="accent6" w:themeShade="BF"/>
          <w:sz w:val="52"/>
          <w:lang w:val="en-US"/>
        </w:rPr>
      </w:pPr>
      <w:hyperlink r:id="rId39" w:history="1">
        <w:r w:rsidR="00BB21D0" w:rsidRPr="00F81340">
          <w:rPr>
            <w:rStyle w:val="-"/>
            <w:rFonts w:eastAsiaTheme="minorHAnsi" w:cs="CIDFont+F1"/>
            <w:color w:val="E36C0A" w:themeColor="accent6" w:themeShade="BF"/>
            <w:sz w:val="24"/>
            <w:szCs w:val="24"/>
            <w:u w:val="none"/>
            <w:lang w:val="en-US" w:eastAsia="en-US"/>
          </w:rPr>
          <w:br/>
        </w:r>
        <w:r w:rsidR="00194996" w:rsidRPr="00F81340">
          <w:rPr>
            <w:rStyle w:val="-"/>
            <w:rFonts w:eastAsiaTheme="majorEastAsia" w:cstheme="majorBidi"/>
            <w:b/>
            <w:color w:val="E36C0A" w:themeColor="accent6" w:themeShade="BF"/>
            <w:sz w:val="52"/>
            <w:u w:val="none"/>
            <w:lang w:val="en-US"/>
          </w:rPr>
          <w:t>minfin</w:t>
        </w:r>
        <w:r w:rsidR="007D34E0" w:rsidRPr="00F81340">
          <w:rPr>
            <w:rStyle w:val="-"/>
            <w:rFonts w:eastAsiaTheme="majorEastAsia" w:cstheme="majorBidi"/>
            <w:b/>
            <w:color w:val="E36C0A" w:themeColor="accent6" w:themeShade="BF"/>
            <w:sz w:val="52"/>
            <w:u w:val="none"/>
            <w:lang w:val="en-US"/>
          </w:rPr>
          <w:t>.gov</w:t>
        </w:r>
        <w:r w:rsidR="00194996" w:rsidRPr="00F81340">
          <w:rPr>
            <w:rStyle w:val="-"/>
            <w:rFonts w:eastAsiaTheme="majorEastAsia" w:cstheme="majorBidi"/>
            <w:b/>
            <w:color w:val="E36C0A" w:themeColor="accent6" w:themeShade="BF"/>
            <w:sz w:val="52"/>
            <w:u w:val="none"/>
            <w:lang w:val="en-US"/>
          </w:rPr>
          <w:t>.gr/</w:t>
        </w:r>
      </w:hyperlink>
      <w:r w:rsidR="00194996" w:rsidRPr="00F81340">
        <w:rPr>
          <w:rFonts w:eastAsiaTheme="majorEastAsia" w:cstheme="majorBidi"/>
          <w:b/>
          <w:color w:val="E36C0A" w:themeColor="accent6" w:themeShade="BF"/>
          <w:sz w:val="52"/>
          <w:lang w:val="en-US"/>
        </w:rPr>
        <w:t xml:space="preserve"> </w:t>
      </w:r>
    </w:p>
    <w:sectPr w:rsidR="00194996" w:rsidRPr="00F81340" w:rsidSect="00577A51">
      <w:pgSz w:w="11906" w:h="16838"/>
      <w:pgMar w:top="1304" w:right="1191" w:bottom="1191" w:left="130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8E438" w14:textId="77777777" w:rsidR="00D06AE5" w:rsidRDefault="00D06AE5" w:rsidP="00404883">
      <w:pPr>
        <w:spacing w:after="0" w:line="240" w:lineRule="auto"/>
      </w:pPr>
      <w:r>
        <w:separator/>
      </w:r>
    </w:p>
  </w:endnote>
  <w:endnote w:type="continuationSeparator" w:id="0">
    <w:p w14:paraId="56102EA6" w14:textId="77777777" w:rsidR="00D06AE5" w:rsidRDefault="00D06AE5" w:rsidP="0040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Tahoma">
    <w:panose1 w:val="020B0604030504040204"/>
    <w:charset w:val="A1"/>
    <w:family w:val="swiss"/>
    <w:pitch w:val="variable"/>
    <w:sig w:usb0="E1002EFF" w:usb1="C000605B" w:usb2="00000029" w:usb3="00000000" w:csb0="000101FF" w:csb1="00000000"/>
  </w:font>
  <w:font w:name="font266">
    <w:charset w:val="A1"/>
    <w:family w:val="auto"/>
    <w:pitch w:val="variable"/>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tka Heading Semibold">
    <w:panose1 w:val="00000000000000000000"/>
    <w:charset w:val="A1"/>
    <w:family w:val="auto"/>
    <w:pitch w:val="variable"/>
    <w:sig w:usb0="A00002EF" w:usb1="4000204B" w:usb2="00000000" w:usb3="00000000" w:csb0="0000019F" w:csb1="00000000"/>
  </w:font>
  <w:font w:name="Arial MT">
    <w:altName w:val="Arial"/>
    <w:charset w:val="01"/>
    <w:family w:val="swiss"/>
    <w:pitch w:val="variable"/>
  </w:font>
  <w:font w:name="Trebuchet MS">
    <w:panose1 w:val="020B0603020202020204"/>
    <w:charset w:val="A1"/>
    <w:family w:val="swiss"/>
    <w:pitch w:val="variable"/>
    <w:sig w:usb0="00000687" w:usb1="00000000" w:usb2="00000000" w:usb3="00000000" w:csb0="0000009F" w:csb1="00000000"/>
  </w:font>
  <w:font w:name="CIDFont+F2">
    <w:altName w:val="Calibri"/>
    <w:panose1 w:val="00000000000000000000"/>
    <w:charset w:val="A1"/>
    <w:family w:val="auto"/>
    <w:notTrueType/>
    <w:pitch w:val="default"/>
    <w:sig w:usb0="00000081" w:usb1="00000000" w:usb2="00000000" w:usb3="00000000" w:csb0="00000008" w:csb1="00000000"/>
  </w:font>
  <w:font w:name="CIDFont+F1">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ACB4" w14:textId="77777777" w:rsidR="008167F5" w:rsidRPr="00572427" w:rsidRDefault="008167F5" w:rsidP="00B96671">
    <w:pPr>
      <w:pStyle w:val="a6"/>
      <w:spacing w:before="240"/>
      <w:rPr>
        <w:b/>
        <w:color w:val="0070C0"/>
        <w:sz w:val="20"/>
        <w:lang w:val="en-US"/>
      </w:rPr>
    </w:pPr>
    <w:r w:rsidRPr="00B37774">
      <w:rPr>
        <w:color w:val="0070C0"/>
        <w:sz w:val="22"/>
        <w:lang w:val="en-US"/>
      </w:rPr>
      <w:fldChar w:fldCharType="begin"/>
    </w:r>
    <w:r w:rsidRPr="00B37774">
      <w:rPr>
        <w:color w:val="0070C0"/>
        <w:sz w:val="22"/>
        <w:lang w:val="en-US"/>
      </w:rPr>
      <w:instrText xml:space="preserve"> PAGE   \* MERGEFORMAT </w:instrText>
    </w:r>
    <w:r w:rsidRPr="00B37774">
      <w:rPr>
        <w:color w:val="0070C0"/>
        <w:sz w:val="22"/>
        <w:lang w:val="en-US"/>
      </w:rPr>
      <w:fldChar w:fldCharType="separate"/>
    </w:r>
    <w:r>
      <w:rPr>
        <w:noProof/>
        <w:color w:val="0070C0"/>
        <w:sz w:val="22"/>
        <w:lang w:val="en-US"/>
      </w:rPr>
      <w:t>4</w:t>
    </w:r>
    <w:r w:rsidRPr="00B37774">
      <w:rPr>
        <w:color w:val="0070C0"/>
        <w:sz w:val="22"/>
        <w:lang w:val="en-US"/>
      </w:rPr>
      <w:fldChar w:fldCharType="end"/>
    </w:r>
    <w:r>
      <w:rPr>
        <w:color w:val="0070C0"/>
        <w:sz w:val="22"/>
        <w:lang w:val="en-US"/>
      </w:rPr>
      <w:t xml:space="preserve"> </w:t>
    </w:r>
    <w:sdt>
      <w:sdtPr>
        <w:rPr>
          <w:color w:val="0070C0"/>
          <w:sz w:val="36"/>
          <w:lang w:val="en-US"/>
        </w:rPr>
        <w:id w:val="280239314"/>
        <w:docPartObj>
          <w:docPartGallery w:val="Page Numbers (Bottom of Page)"/>
          <w:docPartUnique/>
        </w:docPartObj>
      </w:sdtPr>
      <w:sdtEndPr>
        <w:rPr>
          <w:b/>
        </w:rPr>
      </w:sdtEndPr>
      <w:sdtContent>
        <w:r w:rsidRPr="00037399">
          <w:rPr>
            <w:b/>
            <w:color w:val="FF3300"/>
            <w:sz w:val="40"/>
            <w:lang w:val="en-US"/>
          </w:rPr>
          <w:t>|</w:t>
        </w:r>
      </w:sdtContent>
    </w:sdt>
    <w:r w:rsidRPr="00572427">
      <w:rPr>
        <w:color w:val="0070C0"/>
        <w:sz w:val="22"/>
        <w:lang w:val="en-US"/>
      </w:rPr>
      <w:t xml:space="preserve"> </w:t>
    </w:r>
    <w:r>
      <w:rPr>
        <w:color w:val="0070C0"/>
        <w:sz w:val="22"/>
        <w:lang w:val="en-US"/>
      </w:rPr>
      <w:t xml:space="preserve">    </w:t>
    </w:r>
    <w:r>
      <w:rPr>
        <w:color w:val="0070C0"/>
        <w:sz w:val="22"/>
        <w:lang w:val="en-US"/>
      </w:rPr>
      <w:tab/>
    </w:r>
    <w:r>
      <w:rPr>
        <w:color w:val="0070C0"/>
        <w:sz w:val="22"/>
        <w:lang w:val="en-US"/>
      </w:rPr>
      <w:tab/>
      <w:t xml:space="preserve">              </w:t>
    </w:r>
    <w:r>
      <w:rPr>
        <w:b/>
        <w:color w:val="0070C0"/>
        <w:sz w:val="20"/>
        <w:lang w:val="en-US"/>
      </w:rPr>
      <w:t>Gr</w:t>
    </w:r>
    <w:r w:rsidRPr="00DD5BD3">
      <w:rPr>
        <w:b/>
        <w:color w:val="0070C0"/>
        <w:sz w:val="20"/>
        <w:lang w:val="en-US"/>
      </w:rPr>
      <w:t xml:space="preserve">eece </w:t>
    </w:r>
    <w:r w:rsidRPr="00037399">
      <w:rPr>
        <w:b/>
        <w:color w:val="FF3300"/>
        <w:sz w:val="22"/>
        <w:lang w:val="en-US"/>
      </w:rPr>
      <w:t>|</w:t>
    </w:r>
    <w:r w:rsidRPr="00DD5BD3">
      <w:rPr>
        <w:b/>
        <w:color w:val="0070C0"/>
        <w:sz w:val="20"/>
        <w:lang w:val="en-US"/>
      </w:rPr>
      <w:t xml:space="preserve"> </w:t>
    </w:r>
    <w:r w:rsidRPr="00037399">
      <w:rPr>
        <w:b/>
        <w:color w:val="0070C0"/>
        <w:sz w:val="20"/>
        <w:lang w:val="en-US"/>
      </w:rPr>
      <w:t>Annual Progress Report</w:t>
    </w:r>
    <w:r>
      <w:rPr>
        <w:b/>
        <w:color w:val="0070C0"/>
        <w:sz w:val="20"/>
        <w:lang w:val="en-US"/>
      </w:rPr>
      <w:t xml:space="preserve"> </w:t>
    </w:r>
    <w:r w:rsidRPr="00037399">
      <w:rPr>
        <w:b/>
        <w:color w:val="FF3300"/>
        <w:sz w:val="20"/>
        <w:lang w:val="en-US"/>
      </w:rPr>
      <w:t xml:space="preserve">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A8D7" w14:textId="77777777" w:rsidR="008167F5" w:rsidRPr="006A0FB3" w:rsidRDefault="008167F5" w:rsidP="006A0FB3">
    <w:pPr>
      <w:pStyle w:val="a6"/>
      <w:spacing w:before="240"/>
      <w:jc w:val="right"/>
      <w:rPr>
        <w:b/>
        <w:color w:val="0070C0"/>
        <w:sz w:val="20"/>
        <w:lang w:val="en-US"/>
      </w:rPr>
    </w:pPr>
    <w:r>
      <w:rPr>
        <w:b/>
        <w:color w:val="0070C0"/>
        <w:sz w:val="20"/>
        <w:lang w:val="en-US"/>
      </w:rPr>
      <w:t>Gr</w:t>
    </w:r>
    <w:r w:rsidRPr="00DD5BD3">
      <w:rPr>
        <w:b/>
        <w:color w:val="0070C0"/>
        <w:sz w:val="20"/>
        <w:lang w:val="en-US"/>
      </w:rPr>
      <w:t xml:space="preserve">eece </w:t>
    </w:r>
    <w:r w:rsidRPr="00037399">
      <w:rPr>
        <w:b/>
        <w:color w:val="FF3300"/>
        <w:sz w:val="22"/>
        <w:lang w:val="en-US"/>
      </w:rPr>
      <w:t>|</w:t>
    </w:r>
    <w:r w:rsidRPr="00DD5BD3">
      <w:rPr>
        <w:b/>
        <w:color w:val="0070C0"/>
        <w:sz w:val="20"/>
        <w:lang w:val="en-US"/>
      </w:rPr>
      <w:t xml:space="preserve"> </w:t>
    </w:r>
    <w:bookmarkStart w:id="1" w:name="_Hlk175849240"/>
    <w:r>
      <w:rPr>
        <w:b/>
        <w:color w:val="0070C0"/>
        <w:sz w:val="20"/>
        <w:lang w:val="en-US"/>
      </w:rPr>
      <w:t xml:space="preserve">Annual Progress Report </w:t>
    </w:r>
    <w:r w:rsidRPr="00037399">
      <w:rPr>
        <w:b/>
        <w:color w:val="FF3300"/>
        <w:sz w:val="20"/>
        <w:lang w:val="en-US"/>
      </w:rPr>
      <w:t>2025</w:t>
    </w:r>
    <w:bookmarkEnd w:id="1"/>
    <w:r w:rsidRPr="00037399">
      <w:rPr>
        <w:b/>
        <w:color w:val="FF3300"/>
        <w:sz w:val="20"/>
        <w:lang w:val="en-US"/>
      </w:rPr>
      <w:t xml:space="preserve"> </w:t>
    </w:r>
    <w:r>
      <w:rPr>
        <w:b/>
        <w:color w:val="7030A0"/>
        <w:sz w:val="20"/>
        <w:lang w:val="en-US"/>
      </w:rPr>
      <w:tab/>
    </w:r>
    <w:r>
      <w:rPr>
        <w:b/>
        <w:color w:val="7030A0"/>
        <w:sz w:val="20"/>
        <w:lang w:val="en-US"/>
      </w:rPr>
      <w:tab/>
      <w:t xml:space="preserve">       </w:t>
    </w:r>
    <w:sdt>
      <w:sdtPr>
        <w:rPr>
          <w:color w:val="0070C0"/>
          <w:sz w:val="36"/>
          <w:lang w:val="en-US"/>
        </w:rPr>
        <w:id w:val="-1415323490"/>
        <w:docPartObj>
          <w:docPartGallery w:val="Page Numbers (Bottom of Page)"/>
          <w:docPartUnique/>
        </w:docPartObj>
      </w:sdtPr>
      <w:sdtEndPr>
        <w:rPr>
          <w:b/>
        </w:rPr>
      </w:sdtEndPr>
      <w:sdtContent>
        <w:r w:rsidRPr="00037399">
          <w:rPr>
            <w:b/>
            <w:color w:val="FF3300"/>
            <w:sz w:val="40"/>
            <w:lang w:val="en-US"/>
          </w:rPr>
          <w:t>|</w:t>
        </w:r>
      </w:sdtContent>
    </w:sdt>
    <w:r w:rsidRPr="00572427">
      <w:rPr>
        <w:color w:val="0070C0"/>
        <w:sz w:val="22"/>
        <w:lang w:val="en-US"/>
      </w:rPr>
      <w:t xml:space="preserve"> </w:t>
    </w:r>
    <w:r w:rsidRPr="00B37774">
      <w:rPr>
        <w:color w:val="0070C0"/>
        <w:sz w:val="22"/>
        <w:lang w:val="en-US"/>
      </w:rPr>
      <w:fldChar w:fldCharType="begin"/>
    </w:r>
    <w:r w:rsidRPr="00B37774">
      <w:rPr>
        <w:color w:val="0070C0"/>
        <w:sz w:val="22"/>
        <w:lang w:val="en-US"/>
      </w:rPr>
      <w:instrText xml:space="preserve"> PAGE   \* MERGEFORMAT </w:instrText>
    </w:r>
    <w:r w:rsidRPr="00B37774">
      <w:rPr>
        <w:color w:val="0070C0"/>
        <w:sz w:val="22"/>
        <w:lang w:val="en-US"/>
      </w:rPr>
      <w:fldChar w:fldCharType="separate"/>
    </w:r>
    <w:r w:rsidRPr="00F0563A">
      <w:rPr>
        <w:noProof/>
        <w:color w:val="0070C0"/>
        <w:lang w:val="en-US"/>
      </w:rPr>
      <w:t>5</w:t>
    </w:r>
    <w:r w:rsidRPr="00B37774">
      <w:rPr>
        <w:color w:val="0070C0"/>
        <w:sz w:val="22"/>
        <w:lang w:val="en-US"/>
      </w:rPr>
      <w:fldChar w:fldCharType="end"/>
    </w:r>
    <w:r>
      <w:rPr>
        <w:color w:val="0070C0"/>
        <w:sz w:val="22"/>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8DF6" w14:textId="77777777" w:rsidR="008167F5" w:rsidRPr="00751F16" w:rsidRDefault="008167F5" w:rsidP="00751F16">
    <w:pPr>
      <w:pStyle w:val="a6"/>
      <w:spacing w:before="240"/>
      <w:rPr>
        <w:b/>
        <w:color w:val="0070C0"/>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93AF" w14:textId="6038EACC" w:rsidR="008167F5" w:rsidRPr="005E1A8E" w:rsidRDefault="008167F5" w:rsidP="00304EC6">
    <w:pPr>
      <w:pStyle w:val="a6"/>
      <w:spacing w:before="240"/>
      <w:rPr>
        <w:b/>
        <w:color w:val="0070C0"/>
        <w:sz w:val="20"/>
        <w:lang w:val="en-US"/>
      </w:rPr>
    </w:pPr>
    <w:r w:rsidRPr="00B37774">
      <w:rPr>
        <w:color w:val="0070C0"/>
        <w:sz w:val="22"/>
        <w:lang w:val="en-US"/>
      </w:rPr>
      <w:fldChar w:fldCharType="begin"/>
    </w:r>
    <w:r w:rsidRPr="00B37774">
      <w:rPr>
        <w:color w:val="0070C0"/>
        <w:sz w:val="22"/>
        <w:lang w:val="en-US"/>
      </w:rPr>
      <w:instrText xml:space="preserve"> PAGE   \* MERGEFORMAT </w:instrText>
    </w:r>
    <w:r w:rsidRPr="00B37774">
      <w:rPr>
        <w:color w:val="0070C0"/>
        <w:sz w:val="22"/>
        <w:lang w:val="en-US"/>
      </w:rPr>
      <w:fldChar w:fldCharType="separate"/>
    </w:r>
    <w:r>
      <w:rPr>
        <w:noProof/>
        <w:color w:val="0070C0"/>
        <w:sz w:val="22"/>
        <w:lang w:val="en-US"/>
      </w:rPr>
      <w:t>46</w:t>
    </w:r>
    <w:r w:rsidRPr="00B37774">
      <w:rPr>
        <w:color w:val="0070C0"/>
        <w:sz w:val="22"/>
        <w:lang w:val="en-US"/>
      </w:rPr>
      <w:fldChar w:fldCharType="end"/>
    </w:r>
    <w:r>
      <w:rPr>
        <w:color w:val="0070C0"/>
        <w:sz w:val="22"/>
        <w:lang w:val="en-US"/>
      </w:rPr>
      <w:t xml:space="preserve"> </w:t>
    </w:r>
    <w:sdt>
      <w:sdtPr>
        <w:rPr>
          <w:color w:val="0070C0"/>
          <w:sz w:val="36"/>
          <w:lang w:val="en-US"/>
        </w:rPr>
        <w:id w:val="-647830380"/>
        <w:docPartObj>
          <w:docPartGallery w:val="Page Numbers (Bottom of Page)"/>
          <w:docPartUnique/>
        </w:docPartObj>
      </w:sdtPr>
      <w:sdtEndPr>
        <w:rPr>
          <w:b/>
        </w:rPr>
      </w:sdtEndPr>
      <w:sdtContent>
        <w:r w:rsidRPr="00304EC6">
          <w:rPr>
            <w:b/>
            <w:color w:val="E36C0A" w:themeColor="accent6" w:themeShade="BF"/>
            <w:sz w:val="40"/>
            <w:lang w:val="en-US"/>
          </w:rPr>
          <w:t>|</w:t>
        </w:r>
      </w:sdtContent>
    </w:sdt>
    <w:r w:rsidRPr="00572427">
      <w:rPr>
        <w:color w:val="0070C0"/>
        <w:sz w:val="22"/>
        <w:lang w:val="en-US"/>
      </w:rPr>
      <w:t xml:space="preserve"> </w:t>
    </w:r>
    <w:r>
      <w:rPr>
        <w:color w:val="0070C0"/>
        <w:sz w:val="22"/>
        <w:lang w:val="en-US"/>
      </w:rPr>
      <w:t xml:space="preserve">                                                                                    </w:t>
    </w:r>
    <w:r>
      <w:rPr>
        <w:color w:val="0070C0"/>
        <w:sz w:val="22"/>
        <w:lang w:val="en-US"/>
      </w:rPr>
      <w:tab/>
      <w:t xml:space="preserve">                     </w:t>
    </w:r>
    <w:r>
      <w:rPr>
        <w:b/>
        <w:color w:val="0070C0"/>
        <w:sz w:val="20"/>
        <w:lang w:val="en-US"/>
      </w:rPr>
      <w:t>Gr</w:t>
    </w:r>
    <w:r w:rsidRPr="00DD5BD3">
      <w:rPr>
        <w:b/>
        <w:color w:val="0070C0"/>
        <w:sz w:val="20"/>
        <w:lang w:val="en-US"/>
      </w:rPr>
      <w:t xml:space="preserve">eece </w:t>
    </w:r>
    <w:r w:rsidRPr="00304EC6">
      <w:rPr>
        <w:b/>
        <w:color w:val="E36C0A" w:themeColor="accent6" w:themeShade="BF"/>
        <w:sz w:val="22"/>
        <w:lang w:val="en-US"/>
      </w:rPr>
      <w:t>|</w:t>
    </w:r>
    <w:r w:rsidRPr="00DD5BD3">
      <w:rPr>
        <w:b/>
        <w:color w:val="0070C0"/>
        <w:sz w:val="20"/>
        <w:lang w:val="en-US"/>
      </w:rPr>
      <w:t xml:space="preserve"> </w:t>
    </w:r>
    <w:r>
      <w:rPr>
        <w:b/>
        <w:color w:val="0070C0"/>
        <w:sz w:val="20"/>
        <w:lang w:val="en-US"/>
      </w:rPr>
      <w:t xml:space="preserve">Draft Budgetary Plan </w:t>
    </w:r>
    <w:r w:rsidRPr="00304EC6">
      <w:rPr>
        <w:b/>
        <w:color w:val="E36C0A" w:themeColor="accent6" w:themeShade="BF"/>
        <w:sz w:val="20"/>
        <w:lang w:val="en-US"/>
      </w:rPr>
      <w:t>2026</w:t>
    </w:r>
    <w:r w:rsidRPr="00037399">
      <w:rPr>
        <w:b/>
        <w:color w:val="FF3300"/>
        <w:sz w:val="20"/>
        <w:lang w:val="en-US"/>
      </w:rPr>
      <w:t xml:space="preserve"> </w:t>
    </w:r>
  </w:p>
  <w:p w14:paraId="397F8C06" w14:textId="77777777" w:rsidR="008167F5" w:rsidRPr="005E1A8E" w:rsidRDefault="008167F5" w:rsidP="005E1A8E">
    <w:pPr>
      <w:pStyle w:val="a6"/>
      <w:spacing w:before="240"/>
      <w:rPr>
        <w:b/>
        <w:color w:val="0070C0"/>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2BD3" w14:textId="2DE9AB5F" w:rsidR="008167F5" w:rsidRPr="005E1A8E" w:rsidRDefault="008167F5" w:rsidP="00DF0D9D">
    <w:pPr>
      <w:pStyle w:val="a6"/>
      <w:spacing w:before="240"/>
      <w:jc w:val="left"/>
      <w:rPr>
        <w:b/>
        <w:color w:val="0070C0"/>
        <w:sz w:val="20"/>
        <w:lang w:val="en-US"/>
      </w:rPr>
    </w:pPr>
    <w:r>
      <w:rPr>
        <w:b/>
        <w:color w:val="0070C0"/>
        <w:sz w:val="20"/>
        <w:lang w:val="en-US"/>
      </w:rPr>
      <w:t>Gr</w:t>
    </w:r>
    <w:r w:rsidRPr="00DD5BD3">
      <w:rPr>
        <w:b/>
        <w:color w:val="0070C0"/>
        <w:sz w:val="20"/>
        <w:lang w:val="en-US"/>
      </w:rPr>
      <w:t xml:space="preserve">eece </w:t>
    </w:r>
    <w:r w:rsidRPr="00304EC6">
      <w:rPr>
        <w:b/>
        <w:color w:val="E36C0A" w:themeColor="accent6" w:themeShade="BF"/>
        <w:sz w:val="22"/>
        <w:lang w:val="en-US"/>
      </w:rPr>
      <w:t>|</w:t>
    </w:r>
    <w:r w:rsidRPr="00DD5BD3">
      <w:rPr>
        <w:b/>
        <w:color w:val="0070C0"/>
        <w:sz w:val="20"/>
        <w:lang w:val="en-US"/>
      </w:rPr>
      <w:t xml:space="preserve"> </w:t>
    </w:r>
    <w:r>
      <w:rPr>
        <w:b/>
        <w:color w:val="0070C0"/>
        <w:sz w:val="20"/>
        <w:lang w:val="en-US"/>
      </w:rPr>
      <w:t xml:space="preserve">Draft Budgetary Plan </w:t>
    </w:r>
    <w:r w:rsidRPr="00304EC6">
      <w:rPr>
        <w:b/>
        <w:color w:val="E36C0A" w:themeColor="accent6" w:themeShade="BF"/>
        <w:sz w:val="20"/>
        <w:lang w:val="en-US"/>
      </w:rPr>
      <w:t>2026</w:t>
    </w:r>
    <w:r>
      <w:rPr>
        <w:b/>
        <w:color w:val="E36C0A" w:themeColor="accent6" w:themeShade="BF"/>
        <w:sz w:val="20"/>
        <w:lang w:val="en-US"/>
      </w:rPr>
      <w:t xml:space="preserve">                           </w:t>
    </w:r>
    <w:r>
      <w:rPr>
        <w:b/>
        <w:color w:val="E36C0A" w:themeColor="accent6" w:themeShade="BF"/>
        <w:sz w:val="20"/>
        <w:lang w:val="en-US"/>
      </w:rPr>
      <w:tab/>
      <w:t xml:space="preserve">                                                                                        </w:t>
    </w:r>
    <w:r>
      <w:rPr>
        <w:color w:val="0070C0"/>
        <w:sz w:val="22"/>
        <w:lang w:val="en-US"/>
      </w:rPr>
      <w:t xml:space="preserve"> </w:t>
    </w:r>
    <w:sdt>
      <w:sdtPr>
        <w:rPr>
          <w:color w:val="0070C0"/>
          <w:sz w:val="36"/>
          <w:lang w:val="en-US"/>
        </w:rPr>
        <w:id w:val="929160512"/>
        <w:docPartObj>
          <w:docPartGallery w:val="Page Numbers (Bottom of Page)"/>
          <w:docPartUnique/>
        </w:docPartObj>
      </w:sdtPr>
      <w:sdtEndPr>
        <w:rPr>
          <w:b/>
        </w:rPr>
      </w:sdtEndPr>
      <w:sdtContent>
        <w:r w:rsidRPr="00304EC6">
          <w:rPr>
            <w:b/>
            <w:color w:val="E36C0A" w:themeColor="accent6" w:themeShade="BF"/>
            <w:sz w:val="40"/>
            <w:lang w:val="en-US"/>
          </w:rPr>
          <w:t>|</w:t>
        </w:r>
        <w:r>
          <w:rPr>
            <w:b/>
            <w:color w:val="E36C0A" w:themeColor="accent6" w:themeShade="BF"/>
            <w:sz w:val="40"/>
            <w:lang w:val="en-US"/>
          </w:rPr>
          <w:t xml:space="preserve"> </w:t>
        </w:r>
        <w:r w:rsidRPr="00037399">
          <w:rPr>
            <w:b/>
            <w:color w:val="FF3300"/>
            <w:sz w:val="20"/>
            <w:lang w:val="en-US"/>
          </w:rPr>
          <w:t xml:space="preserve"> </w:t>
        </w:r>
        <w:r w:rsidRPr="00B37774">
          <w:rPr>
            <w:color w:val="0070C0"/>
            <w:sz w:val="22"/>
            <w:lang w:val="en-US"/>
          </w:rPr>
          <w:fldChar w:fldCharType="begin"/>
        </w:r>
        <w:r w:rsidRPr="00B37774">
          <w:rPr>
            <w:color w:val="0070C0"/>
            <w:sz w:val="22"/>
            <w:lang w:val="en-US"/>
          </w:rPr>
          <w:instrText xml:space="preserve"> PAGE   \* MERGEFORMAT </w:instrText>
        </w:r>
        <w:r w:rsidRPr="00B37774">
          <w:rPr>
            <w:color w:val="0070C0"/>
            <w:sz w:val="22"/>
            <w:lang w:val="en-US"/>
          </w:rPr>
          <w:fldChar w:fldCharType="separate"/>
        </w:r>
        <w:r>
          <w:rPr>
            <w:color w:val="0070C0"/>
            <w:sz w:val="22"/>
            <w:lang w:val="en-US"/>
          </w:rPr>
          <w:t>3</w:t>
        </w:r>
        <w:r w:rsidRPr="00B37774">
          <w:rPr>
            <w:color w:val="0070C0"/>
            <w:sz w:val="22"/>
            <w:lang w:val="en-US"/>
          </w:rPr>
          <w:fldChar w:fldCharType="end"/>
        </w:r>
      </w:sdtContent>
    </w:sdt>
  </w:p>
  <w:p w14:paraId="71B90F51" w14:textId="7E584737" w:rsidR="008167F5" w:rsidRPr="00B9705B" w:rsidRDefault="008167F5" w:rsidP="00971CFD">
    <w:pPr>
      <w:pStyle w:val="a6"/>
      <w:tabs>
        <w:tab w:val="left" w:pos="1095"/>
      </w:tabs>
      <w:spacing w:before="240"/>
      <w:rPr>
        <w:b/>
        <w:color w:val="0070C0"/>
        <w:sz w:val="20"/>
        <w:lang w:val="en-US"/>
      </w:rPr>
    </w:pPr>
    <w:r>
      <w:rPr>
        <w:b/>
        <w:color w:val="0070C0"/>
        <w:sz w:val="20"/>
        <w:lang w:val="en-US"/>
      </w:rPr>
      <w:tab/>
    </w:r>
    <w:r>
      <w:rPr>
        <w:b/>
        <w:color w:val="0070C0"/>
        <w:sz w:val="20"/>
        <w:lang w:val="en-US"/>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5EA7" w14:textId="77777777" w:rsidR="008167F5" w:rsidRPr="005E1A8E" w:rsidRDefault="008167F5" w:rsidP="005E1A8E">
    <w:pPr>
      <w:pStyle w:val="a6"/>
      <w:spacing w:before="240"/>
      <w:rPr>
        <w:b/>
        <w:color w:val="0070C0"/>
        <w:sz w:val="20"/>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58EF" w14:textId="77777777" w:rsidR="008167F5" w:rsidRPr="00B9705B" w:rsidRDefault="008167F5" w:rsidP="00971CFD">
    <w:pPr>
      <w:pStyle w:val="a6"/>
      <w:tabs>
        <w:tab w:val="left" w:pos="1095"/>
      </w:tabs>
      <w:spacing w:before="240"/>
      <w:rPr>
        <w:b/>
        <w:color w:val="0070C0"/>
        <w:sz w:val="20"/>
        <w:lang w:val="en-US"/>
      </w:rPr>
    </w:pPr>
    <w:r>
      <w:rPr>
        <w:b/>
        <w:color w:val="0070C0"/>
        <w:sz w:val="20"/>
        <w:lang w:val="en-US"/>
      </w:rPr>
      <w:tab/>
    </w:r>
    <w:r>
      <w:rPr>
        <w:b/>
        <w:color w:val="0070C0"/>
        <w:sz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C8CF" w14:textId="77777777" w:rsidR="00D06AE5" w:rsidRDefault="00D06AE5" w:rsidP="00404883">
      <w:pPr>
        <w:spacing w:after="0" w:line="240" w:lineRule="auto"/>
      </w:pPr>
      <w:r>
        <w:separator/>
      </w:r>
    </w:p>
  </w:footnote>
  <w:footnote w:type="continuationSeparator" w:id="0">
    <w:p w14:paraId="257AB777" w14:textId="77777777" w:rsidR="00D06AE5" w:rsidRDefault="00D06AE5" w:rsidP="00404883">
      <w:pPr>
        <w:spacing w:after="0" w:line="240" w:lineRule="auto"/>
      </w:pPr>
      <w:r>
        <w:continuationSeparator/>
      </w:r>
    </w:p>
  </w:footnote>
  <w:footnote w:id="1">
    <w:p w14:paraId="46667AC8" w14:textId="6702D205" w:rsidR="008167F5" w:rsidRPr="00DC3914" w:rsidRDefault="008167F5" w:rsidP="00831EE4">
      <w:pPr>
        <w:pStyle w:val="af0"/>
        <w:spacing w:line="220" w:lineRule="exact"/>
        <w:rPr>
          <w:rFonts w:cs="Calibri"/>
          <w:lang w:val="en-US"/>
        </w:rPr>
      </w:pPr>
      <w:r w:rsidRPr="00DC3914">
        <w:rPr>
          <w:rStyle w:val="af1"/>
          <w:rFonts w:cs="Calibri"/>
        </w:rPr>
        <w:footnoteRef/>
      </w:r>
      <w:r w:rsidRPr="00DC3914">
        <w:rPr>
          <w:rFonts w:cs="Calibri"/>
          <w:lang w:val="en-US"/>
        </w:rPr>
        <w:t xml:space="preserve"> Eurostat Euro indicators, September 2025.</w:t>
      </w:r>
    </w:p>
  </w:footnote>
  <w:footnote w:id="2">
    <w:p w14:paraId="36A023F9" w14:textId="43A103F3" w:rsidR="008167F5" w:rsidRPr="00DC3914" w:rsidRDefault="008167F5" w:rsidP="00831EE4">
      <w:pPr>
        <w:pStyle w:val="af0"/>
        <w:spacing w:line="220" w:lineRule="exact"/>
        <w:rPr>
          <w:rFonts w:cs="Calibri"/>
          <w:lang w:val="en-US"/>
        </w:rPr>
      </w:pPr>
      <w:r w:rsidRPr="00DC3914">
        <w:rPr>
          <w:rStyle w:val="af1"/>
          <w:rFonts w:cs="Calibri"/>
        </w:rPr>
        <w:footnoteRef/>
      </w:r>
      <w:r w:rsidRPr="00DC3914">
        <w:rPr>
          <w:rFonts w:cs="Calibri"/>
          <w:lang w:val="en-US"/>
        </w:rPr>
        <w:t xml:space="preserve"> European Commission, Business and consumer survey results for August 2025 </w:t>
      </w:r>
      <w:r>
        <w:rPr>
          <w:rFonts w:cs="Calibri"/>
          <w:lang w:val="en-US"/>
        </w:rPr>
        <w:t>-</w:t>
      </w:r>
      <w:r w:rsidRPr="00DC3914">
        <w:rPr>
          <w:rFonts w:cs="Calibri"/>
          <w:lang w:val="en-US"/>
        </w:rPr>
        <w:t xml:space="preserve"> Statistical Annex.</w:t>
      </w:r>
    </w:p>
  </w:footnote>
  <w:footnote w:id="3">
    <w:p w14:paraId="274162E9" w14:textId="77777777" w:rsidR="008167F5" w:rsidRPr="00831EE4" w:rsidRDefault="008167F5" w:rsidP="00831EE4">
      <w:pPr>
        <w:pStyle w:val="Body"/>
        <w:spacing w:after="0" w:line="220" w:lineRule="exact"/>
        <w:jc w:val="both"/>
        <w:rPr>
          <w:rFonts w:cs="Calibri"/>
          <w:sz w:val="20"/>
          <w:szCs w:val="20"/>
          <w:lang w:val="en-US"/>
        </w:rPr>
      </w:pPr>
      <w:r w:rsidRPr="00831EE4">
        <w:rPr>
          <w:rStyle w:val="af1"/>
          <w:rFonts w:cs="Calibri"/>
          <w:sz w:val="20"/>
          <w:szCs w:val="20"/>
        </w:rPr>
        <w:footnoteRef/>
      </w:r>
      <w:r w:rsidRPr="00831EE4">
        <w:rPr>
          <w:rFonts w:cs="Calibri"/>
          <w:sz w:val="20"/>
          <w:szCs w:val="20"/>
          <w:lang w:val="en-US"/>
        </w:rPr>
        <w:t xml:space="preserve"> In line with the macroeconomic scenario, employee compensation is projected to increase by 3.7% in 2025 and by the same rate in 2026, and these adjustments have been incorporated into the estimations.</w:t>
      </w:r>
    </w:p>
    <w:p w14:paraId="127C574B" w14:textId="77777777" w:rsidR="008167F5" w:rsidRPr="00831EE4" w:rsidRDefault="008167F5" w:rsidP="00831EE4">
      <w:pPr>
        <w:pStyle w:val="af0"/>
        <w:spacing w:line="220" w:lineRule="exact"/>
        <w:rPr>
          <w:rFonts w:cs="Calibri"/>
          <w:lang w:val="en-US"/>
        </w:rPr>
      </w:pPr>
    </w:p>
  </w:footnote>
  <w:footnote w:id="4">
    <w:p w14:paraId="0C4D106A" w14:textId="77777777" w:rsidR="008167F5" w:rsidRPr="005D0FEA" w:rsidRDefault="008167F5" w:rsidP="005D0FEA">
      <w:pPr>
        <w:pStyle w:val="af0"/>
        <w:spacing w:line="276" w:lineRule="auto"/>
        <w:rPr>
          <w:lang w:val="en-US"/>
        </w:rPr>
      </w:pPr>
      <w:r>
        <w:rPr>
          <w:rStyle w:val="af1"/>
        </w:rPr>
        <w:footnoteRef/>
      </w:r>
      <w:r w:rsidRPr="005D0FEA">
        <w:rPr>
          <w:lang w:val="en-US"/>
        </w:rPr>
        <w:t xml:space="preserve"> </w:t>
      </w:r>
      <w:r w:rsidRPr="005D0FEA">
        <w:rPr>
          <w:rFonts w:ascii="Times New Roman" w:hAnsi="Times New Roman" w:cs="Times New Roman"/>
          <w:sz w:val="18"/>
          <w:lang w:val="en-US"/>
        </w:rPr>
        <w:t xml:space="preserve">The transposition of Council Directive (EU) 2024/1265 of  29 April 2024, amending Directive 2011/85/EU on requirements for budgetary frameworks of the Member States (OJ L, 2024/1265, 30.4.2024), was adopted in July 2025 through the amendment of the law 4270/2014 by the law 5217/2025. </w:t>
      </w:r>
    </w:p>
  </w:footnote>
  <w:footnote w:id="5">
    <w:p w14:paraId="037B7D11" w14:textId="77777777" w:rsidR="008167F5" w:rsidRPr="005D0FEA" w:rsidRDefault="008167F5" w:rsidP="005D0FEA">
      <w:pPr>
        <w:pStyle w:val="af0"/>
        <w:spacing w:line="276" w:lineRule="auto"/>
        <w:rPr>
          <w:rFonts w:ascii="Times New Roman" w:hAnsi="Times New Roman" w:cs="Times New Roman"/>
          <w:sz w:val="18"/>
          <w:szCs w:val="18"/>
          <w:lang w:val="en-US"/>
        </w:rPr>
      </w:pPr>
      <w:r w:rsidRPr="00821188">
        <w:rPr>
          <w:rStyle w:val="af1"/>
          <w:sz w:val="18"/>
          <w:szCs w:val="18"/>
        </w:rPr>
        <w:footnoteRef/>
      </w:r>
      <w:r w:rsidRPr="005D0FEA">
        <w:rPr>
          <w:sz w:val="18"/>
          <w:szCs w:val="18"/>
          <w:lang w:val="en-US"/>
        </w:rPr>
        <w:t xml:space="preserve"> </w:t>
      </w:r>
      <w:r w:rsidRPr="005D0FEA">
        <w:rPr>
          <w:rFonts w:ascii="Times New Roman" w:hAnsi="Times New Roman" w:cs="Times New Roman"/>
          <w:sz w:val="18"/>
          <w:szCs w:val="18"/>
          <w:lang w:val="en-US"/>
        </w:rPr>
        <w:t>A comprehensive analysis of the macroeconomic and budgetary developments of the Greek economy will be presented in the forthcoming HFISC bi-annual report.</w:t>
      </w:r>
    </w:p>
  </w:footnote>
  <w:footnote w:id="6">
    <w:p w14:paraId="33799E63" w14:textId="77777777" w:rsidR="008167F5" w:rsidRPr="005D0FEA" w:rsidRDefault="008167F5" w:rsidP="005D0FEA">
      <w:pPr>
        <w:pStyle w:val="af0"/>
        <w:spacing w:line="276" w:lineRule="auto"/>
        <w:rPr>
          <w:rFonts w:ascii="Times New Roman" w:hAnsi="Times New Roman" w:cs="Times New Roman"/>
          <w:sz w:val="18"/>
          <w:szCs w:val="18"/>
          <w:lang w:val="en-US"/>
        </w:rPr>
      </w:pPr>
      <w:r w:rsidRPr="00821188">
        <w:rPr>
          <w:rStyle w:val="af1"/>
          <w:rFonts w:ascii="Times New Roman" w:hAnsi="Times New Roman" w:cs="Times New Roman"/>
          <w:sz w:val="18"/>
          <w:szCs w:val="18"/>
        </w:rPr>
        <w:footnoteRef/>
      </w:r>
      <w:r w:rsidRPr="005D0FEA">
        <w:rPr>
          <w:rFonts w:ascii="Times New Roman" w:hAnsi="Times New Roman" w:cs="Times New Roman"/>
          <w:sz w:val="18"/>
          <w:szCs w:val="18"/>
          <w:lang w:val="en-US"/>
        </w:rPr>
        <w:t xml:space="preserve"> ELSTAT, press releases, </w:t>
      </w:r>
      <w:hyperlink r:id="rId1" w:history="1">
        <w:r w:rsidRPr="005D0FEA">
          <w:rPr>
            <w:rStyle w:val="-"/>
            <w:rFonts w:ascii="Times New Roman" w:hAnsi="Times New Roman" w:cs="Times New Roman"/>
            <w:sz w:val="18"/>
            <w:szCs w:val="18"/>
            <w:lang w:val="en-US"/>
          </w:rPr>
          <w:t>Quarterly National Accounts, 2nd Quarter 2025, 5/9/2025</w:t>
        </w:r>
      </w:hyperlink>
      <w:r w:rsidRPr="005D0FEA">
        <w:rPr>
          <w:rFonts w:ascii="Times New Roman" w:hAnsi="Times New Roman" w:cs="Times New Roman"/>
          <w:sz w:val="18"/>
          <w:szCs w:val="18"/>
          <w:lang w:val="en-US"/>
        </w:rPr>
        <w:t xml:space="preserve"> and </w:t>
      </w:r>
      <w:hyperlink r:id="rId2" w:history="1">
        <w:r w:rsidRPr="005D0FEA">
          <w:rPr>
            <w:rStyle w:val="-"/>
            <w:rFonts w:ascii="Times New Roman" w:hAnsi="Times New Roman" w:cs="Times New Roman"/>
            <w:sz w:val="18"/>
            <w:szCs w:val="18"/>
            <w:lang w:val="en-US"/>
          </w:rPr>
          <w:t>Quarterly Non-Financial Accounts of General Government, 1st Quarter 2025, 21/07/2025</w:t>
        </w:r>
      </w:hyperlink>
      <w:r w:rsidRPr="005D0FEA">
        <w:rPr>
          <w:rFonts w:ascii="Times New Roman" w:hAnsi="Times New Roman" w:cs="Times New Roman"/>
          <w:sz w:val="18"/>
          <w:szCs w:val="18"/>
          <w:lang w:val="en-US"/>
        </w:rPr>
        <w:t xml:space="preserve">. </w:t>
      </w:r>
    </w:p>
  </w:footnote>
  <w:footnote w:id="7">
    <w:p w14:paraId="5BBE120E" w14:textId="77777777" w:rsidR="008167F5" w:rsidRPr="005D0FEA" w:rsidRDefault="008167F5" w:rsidP="005D0FEA">
      <w:pPr>
        <w:pStyle w:val="af0"/>
        <w:spacing w:line="276" w:lineRule="auto"/>
        <w:rPr>
          <w:rFonts w:ascii="Times New Roman" w:hAnsi="Times New Roman" w:cs="Times New Roman"/>
          <w:sz w:val="18"/>
          <w:szCs w:val="18"/>
          <w:lang w:val="en-US"/>
        </w:rPr>
      </w:pPr>
      <w:r w:rsidRPr="00821188">
        <w:rPr>
          <w:rStyle w:val="af1"/>
          <w:rFonts w:ascii="Times New Roman" w:hAnsi="Times New Roman" w:cs="Times New Roman"/>
          <w:sz w:val="18"/>
          <w:szCs w:val="18"/>
        </w:rPr>
        <w:footnoteRef/>
      </w:r>
      <w:r w:rsidRPr="005D0FEA">
        <w:rPr>
          <w:rFonts w:ascii="Times New Roman" w:hAnsi="Times New Roman" w:cs="Times New Roman"/>
          <w:sz w:val="18"/>
          <w:szCs w:val="18"/>
          <w:lang w:val="en-US"/>
        </w:rPr>
        <w:t xml:space="preserve"> </w:t>
      </w:r>
      <w:hyperlink r:id="rId3" w:history="1">
        <w:r w:rsidRPr="005D0FEA">
          <w:rPr>
            <w:rStyle w:val="-"/>
            <w:rFonts w:ascii="Times New Roman" w:hAnsi="Times New Roman" w:cs="Times New Roman"/>
            <w:sz w:val="18"/>
            <w:szCs w:val="18"/>
            <w:lang w:val="en-US"/>
          </w:rPr>
          <w:t>Annual Progress Report 2025, Greece</w:t>
        </w:r>
      </w:hyperlink>
    </w:p>
  </w:footnote>
  <w:footnote w:id="8">
    <w:p w14:paraId="25C797FA" w14:textId="77777777" w:rsidR="008167F5" w:rsidRPr="005D0FEA" w:rsidRDefault="008167F5" w:rsidP="005D0FEA">
      <w:pPr>
        <w:pStyle w:val="af0"/>
        <w:spacing w:line="276" w:lineRule="auto"/>
        <w:rPr>
          <w:rFonts w:ascii="Times New Roman" w:hAnsi="Times New Roman" w:cs="Times New Roman"/>
          <w:sz w:val="18"/>
          <w:szCs w:val="18"/>
          <w:lang w:val="en-US"/>
        </w:rPr>
      </w:pPr>
      <w:r w:rsidRPr="00821188">
        <w:rPr>
          <w:rStyle w:val="af1"/>
          <w:rFonts w:ascii="Times New Roman" w:hAnsi="Times New Roman" w:cs="Times New Roman"/>
          <w:sz w:val="18"/>
          <w:szCs w:val="18"/>
        </w:rPr>
        <w:footnoteRef/>
      </w:r>
      <w:r w:rsidRPr="005D0FEA">
        <w:rPr>
          <w:rFonts w:ascii="Times New Roman" w:hAnsi="Times New Roman" w:cs="Times New Roman"/>
          <w:sz w:val="18"/>
          <w:szCs w:val="18"/>
          <w:lang w:val="en-US"/>
        </w:rPr>
        <w:t xml:space="preserve"> </w:t>
      </w:r>
      <w:hyperlink r:id="rId4" w:history="1">
        <w:r w:rsidRPr="005D0FEA">
          <w:rPr>
            <w:rStyle w:val="-"/>
            <w:rFonts w:ascii="Times New Roman" w:hAnsi="Times New Roman" w:cs="Times New Roman"/>
            <w:sz w:val="18"/>
            <w:szCs w:val="18"/>
            <w:lang w:val="en-US"/>
          </w:rPr>
          <w:t>State Budget 2025 (in Greek) – Ministry of Finance and Economy</w:t>
        </w:r>
      </w:hyperlink>
      <w:r w:rsidRPr="005D0FEA">
        <w:rPr>
          <w:rFonts w:ascii="Times New Roman" w:hAnsi="Times New Roman" w:cs="Times New Roman"/>
          <w:sz w:val="18"/>
          <w:szCs w:val="18"/>
          <w:lang w:val="en-US"/>
        </w:rPr>
        <w:t xml:space="preserve"> </w:t>
      </w:r>
    </w:p>
  </w:footnote>
  <w:footnote w:id="9">
    <w:p w14:paraId="751E1314" w14:textId="77777777" w:rsidR="008167F5" w:rsidRPr="005D0FEA" w:rsidRDefault="008167F5" w:rsidP="005D0FEA">
      <w:pPr>
        <w:pStyle w:val="af0"/>
        <w:spacing w:line="276" w:lineRule="auto"/>
        <w:rPr>
          <w:lang w:val="en-US"/>
        </w:rPr>
      </w:pPr>
      <w:r>
        <w:rPr>
          <w:rStyle w:val="af1"/>
        </w:rPr>
        <w:footnoteRef/>
      </w:r>
      <w:r w:rsidRPr="005D0FEA">
        <w:rPr>
          <w:lang w:val="en-US"/>
        </w:rPr>
        <w:t xml:space="preserve"> </w:t>
      </w:r>
      <w:hyperlink r:id="rId5" w:history="1">
        <w:r w:rsidRPr="005D0FEA">
          <w:rPr>
            <w:rStyle w:val="-"/>
            <w:rFonts w:ascii="Times New Roman" w:hAnsi="Times New Roman" w:cs="Times New Roman"/>
            <w:sz w:val="18"/>
            <w:lang w:val="en-US"/>
          </w:rPr>
          <w:t>Medium Term Fiscal-Structural Plan 2025-2028, Greece</w:t>
        </w:r>
      </w:hyperlink>
    </w:p>
  </w:footnote>
  <w:footnote w:id="10">
    <w:p w14:paraId="1DCEEE7D" w14:textId="77777777" w:rsidR="008167F5" w:rsidRPr="005D0FEA" w:rsidRDefault="008167F5" w:rsidP="005D0FEA">
      <w:pPr>
        <w:pStyle w:val="af0"/>
        <w:spacing w:line="276" w:lineRule="auto"/>
        <w:rPr>
          <w:rFonts w:ascii="Times New Roman" w:hAnsi="Times New Roman" w:cs="Times New Roman"/>
          <w:sz w:val="18"/>
          <w:szCs w:val="18"/>
          <w:lang w:val="en-US"/>
        </w:rPr>
      </w:pPr>
      <w:r w:rsidRPr="00821188">
        <w:rPr>
          <w:rStyle w:val="af1"/>
          <w:rFonts w:ascii="Times New Roman" w:hAnsi="Times New Roman" w:cs="Times New Roman"/>
          <w:sz w:val="18"/>
          <w:szCs w:val="18"/>
        </w:rPr>
        <w:footnoteRef/>
      </w:r>
      <w:r w:rsidRPr="005D0FEA">
        <w:rPr>
          <w:rFonts w:ascii="Times New Roman" w:hAnsi="Times New Roman" w:cs="Times New Roman"/>
          <w:sz w:val="18"/>
          <w:szCs w:val="18"/>
          <w:lang w:val="en-US"/>
        </w:rPr>
        <w:t xml:space="preserve"> </w:t>
      </w:r>
      <w:hyperlink r:id="rId6" w:history="1">
        <w:r w:rsidRPr="005D0FEA">
          <w:rPr>
            <w:rStyle w:val="-"/>
            <w:rFonts w:ascii="Times New Roman" w:hAnsi="Times New Roman" w:cs="Times New Roman"/>
            <w:sz w:val="18"/>
            <w:szCs w:val="18"/>
            <w:lang w:val="en-US"/>
          </w:rPr>
          <w:t>European Commission, Spring forecasts 2025</w:t>
        </w:r>
      </w:hyperlink>
      <w:r w:rsidRPr="005D0FEA">
        <w:rPr>
          <w:rFonts w:ascii="Times New Roman" w:hAnsi="Times New Roman" w:cs="Times New Roman"/>
          <w:sz w:val="18"/>
          <w:szCs w:val="18"/>
          <w:lang w:val="en-US"/>
        </w:rPr>
        <w:t xml:space="preserve"> </w:t>
      </w:r>
    </w:p>
  </w:footnote>
  <w:footnote w:id="11">
    <w:p w14:paraId="269FED94" w14:textId="77777777" w:rsidR="008167F5" w:rsidRPr="005D0FEA" w:rsidRDefault="008167F5" w:rsidP="005D0FEA">
      <w:pPr>
        <w:pStyle w:val="af0"/>
        <w:rPr>
          <w:rFonts w:ascii="Times New Roman" w:hAnsi="Times New Roman" w:cs="Times New Roman"/>
          <w:lang w:val="en-US"/>
        </w:rPr>
      </w:pPr>
      <w:r w:rsidRPr="00E25210">
        <w:rPr>
          <w:rFonts w:ascii="Times New Roman" w:hAnsi="Times New Roman" w:cs="Times New Roman"/>
          <w:sz w:val="18"/>
          <w:vertAlign w:val="superscript"/>
        </w:rPr>
        <w:footnoteRef/>
      </w:r>
      <w:r w:rsidRPr="005D0FEA">
        <w:rPr>
          <w:rFonts w:ascii="Times New Roman" w:hAnsi="Times New Roman" w:cs="Times New Roman"/>
          <w:sz w:val="18"/>
          <w:lang w:val="en-US"/>
        </w:rPr>
        <w:t xml:space="preserve"> EC, </w:t>
      </w:r>
      <w:hyperlink r:id="rId7" w:history="1">
        <w:r w:rsidRPr="005D0FEA">
          <w:rPr>
            <w:rStyle w:val="-"/>
            <w:rFonts w:ascii="Times New Roman" w:hAnsi="Times New Roman" w:cs="Times New Roman"/>
            <w:sz w:val="18"/>
            <w:lang w:val="en-US"/>
          </w:rPr>
          <w:t>Recovery and Resilience Scoreboard</w:t>
        </w:r>
      </w:hyperlink>
      <w:r w:rsidRPr="005D0FEA">
        <w:rPr>
          <w:rFonts w:ascii="Times New Roman" w:hAnsi="Times New Roman" w:cs="Times New Roman"/>
          <w:sz w:val="18"/>
          <w:lang w:val="en-US"/>
        </w:rPr>
        <w:t>.</w:t>
      </w:r>
    </w:p>
  </w:footnote>
  <w:footnote w:id="12">
    <w:p w14:paraId="606A1B22" w14:textId="77777777" w:rsidR="008167F5" w:rsidRPr="005D0FEA" w:rsidRDefault="008167F5" w:rsidP="005D0FEA">
      <w:pPr>
        <w:pStyle w:val="af0"/>
        <w:spacing w:line="276" w:lineRule="auto"/>
        <w:rPr>
          <w:rFonts w:ascii="Times New Roman" w:hAnsi="Times New Roman" w:cs="Times New Roman"/>
          <w:sz w:val="18"/>
          <w:szCs w:val="18"/>
          <w:lang w:val="en-US"/>
        </w:rPr>
      </w:pPr>
      <w:r w:rsidRPr="00821188">
        <w:rPr>
          <w:rStyle w:val="af1"/>
          <w:rFonts w:ascii="Times New Roman" w:hAnsi="Times New Roman" w:cs="Times New Roman"/>
          <w:sz w:val="18"/>
          <w:szCs w:val="18"/>
        </w:rPr>
        <w:footnoteRef/>
      </w:r>
      <w:r w:rsidRPr="005D0FEA">
        <w:rPr>
          <w:rFonts w:ascii="Times New Roman" w:hAnsi="Times New Roman" w:cs="Times New Roman"/>
          <w:sz w:val="18"/>
          <w:szCs w:val="18"/>
          <w:lang w:val="en-US"/>
        </w:rPr>
        <w:t xml:space="preserve"> Regulation (EU) 2024/1263 of the European Parliament and of the Council of 29 April 2024 on the effective coordination of economic policies and multilateral fiscal surveillance and repealing Council Regulation (EC) No 1466/97 (OJ L, 2024/1263, 30.4.2024), Council Regulation (EU) 2024/1264 of 29 April 2024 amending Regulation (EC) No. 1467/97 on speeding up and clarifying the implementation of the excessive deficit procedure (OJ L, 2024/1264, 30.4.2024) and Council Directive (EU) 2024/1265 of 29 April 2024 amending Directive 2011/85/EU on requirements for budgetary frameworks of the Member States (OJ L, 2024/1265, 30.4.2024).</w:t>
      </w:r>
    </w:p>
  </w:footnote>
  <w:footnote w:id="13">
    <w:p w14:paraId="619FD56B" w14:textId="77777777" w:rsidR="008167F5" w:rsidRPr="005D0FEA" w:rsidRDefault="008167F5" w:rsidP="005D0FEA">
      <w:pPr>
        <w:pStyle w:val="af0"/>
        <w:spacing w:line="276" w:lineRule="auto"/>
        <w:rPr>
          <w:lang w:val="en-US"/>
        </w:rPr>
      </w:pPr>
      <w:r>
        <w:rPr>
          <w:rStyle w:val="af1"/>
        </w:rPr>
        <w:footnoteRef/>
      </w:r>
      <w:r w:rsidRPr="005D0FEA">
        <w:rPr>
          <w:rFonts w:ascii="Times New Roman" w:hAnsi="Times New Roman" w:cs="Times New Roman"/>
          <w:sz w:val="18"/>
          <w:lang w:val="en-US"/>
        </w:rPr>
        <w:t xml:space="preserve"> Within the framework of the Net Expenditure Rule, as provided in Article 36 of Law 4270/2014, the percentage change in net expenditures is not allowed to exceed the upper limits set in the applicable Council Recommendation, pursuant to Article 17 of Regulation (EU) 2024/1263, concerning the approval of the National Medium-Term Fiscal-Structural Plan.</w:t>
      </w:r>
    </w:p>
  </w:footnote>
  <w:footnote w:id="14">
    <w:p w14:paraId="4BCB638E" w14:textId="77777777" w:rsidR="008167F5" w:rsidRPr="005D0FEA" w:rsidRDefault="008167F5" w:rsidP="005D0FEA">
      <w:pPr>
        <w:pStyle w:val="af0"/>
        <w:spacing w:line="276" w:lineRule="auto"/>
        <w:rPr>
          <w:rFonts w:ascii="Times New Roman" w:hAnsi="Times New Roman" w:cs="Times New Roman"/>
          <w:sz w:val="18"/>
          <w:szCs w:val="18"/>
          <w:highlight w:val="cyan"/>
          <w:lang w:val="en-US"/>
        </w:rPr>
      </w:pPr>
      <w:r w:rsidRPr="00CA0F9A">
        <w:rPr>
          <w:rStyle w:val="af1"/>
          <w:rFonts w:ascii="Times New Roman" w:hAnsi="Times New Roman" w:cs="Times New Roman"/>
          <w:sz w:val="18"/>
          <w:szCs w:val="18"/>
        </w:rPr>
        <w:footnoteRef/>
      </w:r>
      <w:r w:rsidRPr="005D0FEA">
        <w:rPr>
          <w:rFonts w:ascii="Times New Roman" w:hAnsi="Times New Roman" w:cs="Times New Roman"/>
          <w:sz w:val="18"/>
          <w:szCs w:val="18"/>
          <w:lang w:val="en-US"/>
        </w:rPr>
        <w:t xml:space="preserve"> Article 2 par. 2 of Regulation (EC) 1467/1997: “The Commission shall prepare a report in accordance with Article 126(3) TFEU where… the deviations recorded in the control account of the Member State exceed: (a) either 0.3 percentage points of GDP annually, (b) or 0.6 percentage points of GDP cumulatively.”</w:t>
      </w:r>
    </w:p>
  </w:footnote>
  <w:footnote w:id="15">
    <w:p w14:paraId="54B717D3" w14:textId="77777777" w:rsidR="008167F5" w:rsidRPr="005D0FEA" w:rsidRDefault="008167F5" w:rsidP="005D0FEA">
      <w:pPr>
        <w:pStyle w:val="af0"/>
        <w:spacing w:line="276" w:lineRule="auto"/>
        <w:rPr>
          <w:rFonts w:ascii="Times New Roman" w:hAnsi="Times New Roman" w:cs="Times New Roman"/>
          <w:sz w:val="18"/>
          <w:szCs w:val="18"/>
          <w:lang w:val="en-US"/>
        </w:rPr>
      </w:pPr>
      <w:r>
        <w:rPr>
          <w:rStyle w:val="af1"/>
        </w:rPr>
        <w:footnoteRef/>
      </w:r>
      <w:r w:rsidRPr="005D0FEA">
        <w:rPr>
          <w:lang w:val="en-US"/>
        </w:rPr>
        <w:t xml:space="preserve"> </w:t>
      </w:r>
      <w:r w:rsidRPr="005D0FEA">
        <w:rPr>
          <w:rFonts w:ascii="Times New Roman" w:hAnsi="Times New Roman" w:cs="Times New Roman"/>
          <w:sz w:val="18"/>
          <w:szCs w:val="18"/>
          <w:lang w:val="en-US"/>
        </w:rPr>
        <w:t>Article 26 of Regulation (EU) 2024/1263: “</w:t>
      </w:r>
      <w:r w:rsidRPr="005D0FEA">
        <w:rPr>
          <w:rFonts w:ascii="Times New Roman" w:hAnsi="Times New Roman" w:cs="Times New Roman"/>
          <w:iCs/>
          <w:sz w:val="18"/>
          <w:szCs w:val="18"/>
          <w:lang w:val="en-US"/>
        </w:rPr>
        <w:t>exceptional circumstances outside the control of the Member State with a major impact on its public finances, provided that it does not endanger fiscal sustainability over the medium term”.</w:t>
      </w:r>
      <w:r w:rsidRPr="005D0FEA">
        <w:rPr>
          <w:lang w:val="en-US"/>
        </w:rPr>
        <w:t xml:space="preserve"> </w:t>
      </w:r>
      <w:hyperlink r:id="rId8" w:history="1">
        <w:r w:rsidRPr="005D0FEA">
          <w:rPr>
            <w:rStyle w:val="-"/>
            <w:rFonts w:ascii="Times New Roman" w:hAnsi="Times New Roman" w:cs="Times New Roman"/>
            <w:sz w:val="18"/>
            <w:szCs w:val="18"/>
            <w:lang w:val="en-US"/>
          </w:rPr>
          <w:t>HFISC has acknowledged</w:t>
        </w:r>
      </w:hyperlink>
      <w:r w:rsidRPr="005D0FEA">
        <w:rPr>
          <w:rFonts w:ascii="Times New Roman" w:hAnsi="Times New Roman" w:cs="Times New Roman"/>
          <w:sz w:val="18"/>
          <w:szCs w:val="18"/>
          <w:lang w:val="en-US"/>
        </w:rPr>
        <w:t xml:space="preserve"> that the significant fiscal burden arising from existing and/or planned defense expenditures meets the criteria of such an exceptional circumstance, following the assessment of the relevant request submitted by the MinFin</w:t>
      </w:r>
      <w:r w:rsidRPr="005D0FEA">
        <w:rPr>
          <w:rFonts w:ascii="Times New Roman" w:hAnsi="Times New Roman" w:cs="Times New Roman"/>
          <w:bCs/>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32F"/>
    <w:multiLevelType w:val="hybridMultilevel"/>
    <w:tmpl w:val="5588AE04"/>
    <w:lvl w:ilvl="0" w:tplc="04080017">
      <w:start w:val="1"/>
      <w:numFmt w:val="lowerLetter"/>
      <w:lvlText w:val="%1)"/>
      <w:lvlJc w:val="left"/>
      <w:pPr>
        <w:ind w:left="567"/>
      </w:pPr>
      <w:rPr>
        <w:b w:val="0"/>
        <w:i w:val="0"/>
        <w:strike w:val="0"/>
        <w:dstrike w:val="0"/>
        <w:color w:val="000000"/>
        <w:sz w:val="22"/>
        <w:szCs w:val="22"/>
        <w:u w:val="none" w:color="000000"/>
        <w:bdr w:val="none" w:sz="0" w:space="0" w:color="auto"/>
        <w:shd w:val="clear" w:color="auto" w:fill="auto"/>
        <w:vertAlign w:val="baseline"/>
      </w:rPr>
    </w:lvl>
    <w:lvl w:ilvl="1" w:tplc="90BAB354">
      <w:start w:val="1"/>
      <w:numFmt w:val="lowerLetter"/>
      <w:lvlText w:val="%2"/>
      <w:lvlJc w:val="left"/>
      <w:pPr>
        <w:ind w:left="12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D022DD8">
      <w:start w:val="1"/>
      <w:numFmt w:val="lowerRoman"/>
      <w:lvlText w:val="%3"/>
      <w:lvlJc w:val="left"/>
      <w:pPr>
        <w:ind w:left="20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E98F008">
      <w:start w:val="1"/>
      <w:numFmt w:val="decimal"/>
      <w:lvlText w:val="%4"/>
      <w:lvlJc w:val="left"/>
      <w:pPr>
        <w:ind w:left="27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F00D8F6">
      <w:start w:val="1"/>
      <w:numFmt w:val="lowerLetter"/>
      <w:lvlText w:val="%5"/>
      <w:lvlJc w:val="left"/>
      <w:pPr>
        <w:ind w:left="34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16ECEA8">
      <w:start w:val="1"/>
      <w:numFmt w:val="lowerRoman"/>
      <w:lvlText w:val="%6"/>
      <w:lvlJc w:val="left"/>
      <w:pPr>
        <w:ind w:left="41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92ABAE0">
      <w:start w:val="1"/>
      <w:numFmt w:val="decimal"/>
      <w:lvlText w:val="%7"/>
      <w:lvlJc w:val="left"/>
      <w:pPr>
        <w:ind w:left="48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E302972">
      <w:start w:val="1"/>
      <w:numFmt w:val="lowerLetter"/>
      <w:lvlText w:val="%8"/>
      <w:lvlJc w:val="left"/>
      <w:pPr>
        <w:ind w:left="56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D4AC9B8">
      <w:start w:val="1"/>
      <w:numFmt w:val="lowerRoman"/>
      <w:lvlText w:val="%9"/>
      <w:lvlJc w:val="left"/>
      <w:pPr>
        <w:ind w:left="63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D00BF"/>
    <w:multiLevelType w:val="hybridMultilevel"/>
    <w:tmpl w:val="B59A80E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2E65112"/>
    <w:multiLevelType w:val="multilevel"/>
    <w:tmpl w:val="D85A7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62839"/>
    <w:multiLevelType w:val="multilevel"/>
    <w:tmpl w:val="A1DCF4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4527240"/>
    <w:multiLevelType w:val="hybridMultilevel"/>
    <w:tmpl w:val="B18E243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05DF76E2"/>
    <w:multiLevelType w:val="hybridMultilevel"/>
    <w:tmpl w:val="31A27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7B84C95"/>
    <w:multiLevelType w:val="hybridMultilevel"/>
    <w:tmpl w:val="75AE1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BC3CEE"/>
    <w:multiLevelType w:val="hybridMultilevel"/>
    <w:tmpl w:val="78B2B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8CA57F7"/>
    <w:multiLevelType w:val="hybridMultilevel"/>
    <w:tmpl w:val="1CB8156E"/>
    <w:lvl w:ilvl="0" w:tplc="0FBE677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A9F310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BD141C"/>
    <w:multiLevelType w:val="multilevel"/>
    <w:tmpl w:val="64AED8E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0B26535B"/>
    <w:multiLevelType w:val="multilevel"/>
    <w:tmpl w:val="FD58A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0390C"/>
    <w:multiLevelType w:val="hybridMultilevel"/>
    <w:tmpl w:val="6D68B25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0FEB5F2E"/>
    <w:multiLevelType w:val="hybridMultilevel"/>
    <w:tmpl w:val="41302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0250B6A"/>
    <w:multiLevelType w:val="multilevel"/>
    <w:tmpl w:val="03B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636179"/>
    <w:multiLevelType w:val="hybridMultilevel"/>
    <w:tmpl w:val="64A6C36E"/>
    <w:lvl w:ilvl="0" w:tplc="1EC036E6">
      <w:start w:val="1"/>
      <w:numFmt w:val="bullet"/>
      <w:lvlText w:val=""/>
      <w:lvlJc w:val="left"/>
      <w:pPr>
        <w:ind w:left="405" w:hanging="360"/>
      </w:pPr>
      <w:rPr>
        <w:rFonts w:ascii="Symbol" w:eastAsiaTheme="minorEastAsia" w:hAnsi="Symbol" w:cstheme="minorBid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6" w15:restartNumberingAfterBreak="0">
    <w:nsid w:val="109304CE"/>
    <w:multiLevelType w:val="hybridMultilevel"/>
    <w:tmpl w:val="2A766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0B240E6"/>
    <w:multiLevelType w:val="hybridMultilevel"/>
    <w:tmpl w:val="E6B09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2422B5B"/>
    <w:multiLevelType w:val="hybridMultilevel"/>
    <w:tmpl w:val="1346C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4105CA9"/>
    <w:multiLevelType w:val="hybridMultilevel"/>
    <w:tmpl w:val="B5A6144C"/>
    <w:lvl w:ilvl="0" w:tplc="928C7FB0">
      <w:start w:val="1"/>
      <w:numFmt w:val="decimal"/>
      <w:pStyle w:val="ParagraphNumbering"/>
      <w:lvlText w:val="%1.     "/>
      <w:lvlJc w:val="left"/>
      <w:pPr>
        <w:tabs>
          <w:tab w:val="num" w:pos="720"/>
        </w:tabs>
        <w:ind w:left="0" w:firstLine="0"/>
      </w:pPr>
      <w:rPr>
        <w:rFonts w:hint="default"/>
        <w:color w:val="auto"/>
        <w:sz w:val="24"/>
      </w:rPr>
    </w:lvl>
    <w:lvl w:ilvl="1" w:tplc="04090019">
      <w:start w:val="1"/>
      <w:numFmt w:val="lowerLetter"/>
      <w:lvlText w:val="%2."/>
      <w:lvlJc w:val="left"/>
      <w:pPr>
        <w:tabs>
          <w:tab w:val="num" w:pos="-65"/>
        </w:tabs>
        <w:ind w:left="-65" w:hanging="360"/>
      </w:pPr>
    </w:lvl>
    <w:lvl w:ilvl="2" w:tplc="0409001B" w:tentative="1">
      <w:start w:val="1"/>
      <w:numFmt w:val="lowerRoman"/>
      <w:lvlText w:val="%3."/>
      <w:lvlJc w:val="right"/>
      <w:pPr>
        <w:tabs>
          <w:tab w:val="num" w:pos="742"/>
        </w:tabs>
        <w:ind w:left="742" w:hanging="180"/>
      </w:pPr>
    </w:lvl>
    <w:lvl w:ilvl="3" w:tplc="0409000F" w:tentative="1">
      <w:start w:val="1"/>
      <w:numFmt w:val="decimal"/>
      <w:lvlText w:val="%4."/>
      <w:lvlJc w:val="left"/>
      <w:pPr>
        <w:tabs>
          <w:tab w:val="num" w:pos="1462"/>
        </w:tabs>
        <w:ind w:left="1462" w:hanging="360"/>
      </w:pPr>
    </w:lvl>
    <w:lvl w:ilvl="4" w:tplc="04090019" w:tentative="1">
      <w:start w:val="1"/>
      <w:numFmt w:val="lowerLetter"/>
      <w:lvlText w:val="%5."/>
      <w:lvlJc w:val="left"/>
      <w:pPr>
        <w:tabs>
          <w:tab w:val="num" w:pos="2182"/>
        </w:tabs>
        <w:ind w:left="2182" w:hanging="360"/>
      </w:pPr>
    </w:lvl>
    <w:lvl w:ilvl="5" w:tplc="0409001B" w:tentative="1">
      <w:start w:val="1"/>
      <w:numFmt w:val="lowerRoman"/>
      <w:lvlText w:val="%6."/>
      <w:lvlJc w:val="right"/>
      <w:pPr>
        <w:tabs>
          <w:tab w:val="num" w:pos="2902"/>
        </w:tabs>
        <w:ind w:left="2902" w:hanging="180"/>
      </w:pPr>
    </w:lvl>
    <w:lvl w:ilvl="6" w:tplc="0409000F" w:tentative="1">
      <w:start w:val="1"/>
      <w:numFmt w:val="decimal"/>
      <w:lvlText w:val="%7."/>
      <w:lvlJc w:val="left"/>
      <w:pPr>
        <w:tabs>
          <w:tab w:val="num" w:pos="3622"/>
        </w:tabs>
        <w:ind w:left="3622" w:hanging="360"/>
      </w:pPr>
    </w:lvl>
    <w:lvl w:ilvl="7" w:tplc="04090019" w:tentative="1">
      <w:start w:val="1"/>
      <w:numFmt w:val="lowerLetter"/>
      <w:lvlText w:val="%8."/>
      <w:lvlJc w:val="left"/>
      <w:pPr>
        <w:tabs>
          <w:tab w:val="num" w:pos="4342"/>
        </w:tabs>
        <w:ind w:left="4342" w:hanging="360"/>
      </w:pPr>
    </w:lvl>
    <w:lvl w:ilvl="8" w:tplc="0409001B" w:tentative="1">
      <w:start w:val="1"/>
      <w:numFmt w:val="lowerRoman"/>
      <w:lvlText w:val="%9."/>
      <w:lvlJc w:val="right"/>
      <w:pPr>
        <w:tabs>
          <w:tab w:val="num" w:pos="5062"/>
        </w:tabs>
        <w:ind w:left="5062" w:hanging="180"/>
      </w:pPr>
    </w:lvl>
  </w:abstractNum>
  <w:abstractNum w:abstractNumId="20" w15:restartNumberingAfterBreak="0">
    <w:nsid w:val="1631042B"/>
    <w:multiLevelType w:val="hybridMultilevel"/>
    <w:tmpl w:val="1D4C4D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167942A8"/>
    <w:multiLevelType w:val="hybridMultilevel"/>
    <w:tmpl w:val="E2A8E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992395D"/>
    <w:multiLevelType w:val="hybridMultilevel"/>
    <w:tmpl w:val="E7CC13C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1E113A1D"/>
    <w:multiLevelType w:val="hybridMultilevel"/>
    <w:tmpl w:val="457860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1E803B2D"/>
    <w:multiLevelType w:val="multilevel"/>
    <w:tmpl w:val="B9B4CE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1EF603DF"/>
    <w:multiLevelType w:val="multilevel"/>
    <w:tmpl w:val="73CCE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D972E3"/>
    <w:multiLevelType w:val="hybridMultilevel"/>
    <w:tmpl w:val="7E726E86"/>
    <w:lvl w:ilvl="0" w:tplc="1AC8ED48">
      <w:start w:val="1"/>
      <w:numFmt w:val="decimal"/>
      <w:lvlText w:val="%1."/>
      <w:lvlJc w:val="left"/>
      <w:pPr>
        <w:ind w:left="465" w:hanging="360"/>
      </w:pPr>
      <w:rPr>
        <w:rFonts w:hint="default"/>
        <w:sz w:val="23"/>
      </w:rPr>
    </w:lvl>
    <w:lvl w:ilvl="1" w:tplc="04080019" w:tentative="1">
      <w:start w:val="1"/>
      <w:numFmt w:val="lowerLetter"/>
      <w:lvlText w:val="%2."/>
      <w:lvlJc w:val="left"/>
      <w:pPr>
        <w:ind w:left="1185" w:hanging="360"/>
      </w:pPr>
    </w:lvl>
    <w:lvl w:ilvl="2" w:tplc="0408001B" w:tentative="1">
      <w:start w:val="1"/>
      <w:numFmt w:val="lowerRoman"/>
      <w:lvlText w:val="%3."/>
      <w:lvlJc w:val="right"/>
      <w:pPr>
        <w:ind w:left="1905" w:hanging="180"/>
      </w:pPr>
    </w:lvl>
    <w:lvl w:ilvl="3" w:tplc="0408000F" w:tentative="1">
      <w:start w:val="1"/>
      <w:numFmt w:val="decimal"/>
      <w:lvlText w:val="%4."/>
      <w:lvlJc w:val="left"/>
      <w:pPr>
        <w:ind w:left="2625" w:hanging="360"/>
      </w:pPr>
    </w:lvl>
    <w:lvl w:ilvl="4" w:tplc="04080019" w:tentative="1">
      <w:start w:val="1"/>
      <w:numFmt w:val="lowerLetter"/>
      <w:lvlText w:val="%5."/>
      <w:lvlJc w:val="left"/>
      <w:pPr>
        <w:ind w:left="3345" w:hanging="360"/>
      </w:pPr>
    </w:lvl>
    <w:lvl w:ilvl="5" w:tplc="0408001B" w:tentative="1">
      <w:start w:val="1"/>
      <w:numFmt w:val="lowerRoman"/>
      <w:lvlText w:val="%6."/>
      <w:lvlJc w:val="right"/>
      <w:pPr>
        <w:ind w:left="4065" w:hanging="180"/>
      </w:pPr>
    </w:lvl>
    <w:lvl w:ilvl="6" w:tplc="0408000F" w:tentative="1">
      <w:start w:val="1"/>
      <w:numFmt w:val="decimal"/>
      <w:lvlText w:val="%7."/>
      <w:lvlJc w:val="left"/>
      <w:pPr>
        <w:ind w:left="4785" w:hanging="360"/>
      </w:pPr>
    </w:lvl>
    <w:lvl w:ilvl="7" w:tplc="04080019" w:tentative="1">
      <w:start w:val="1"/>
      <w:numFmt w:val="lowerLetter"/>
      <w:lvlText w:val="%8."/>
      <w:lvlJc w:val="left"/>
      <w:pPr>
        <w:ind w:left="5505" w:hanging="360"/>
      </w:pPr>
    </w:lvl>
    <w:lvl w:ilvl="8" w:tplc="0408001B" w:tentative="1">
      <w:start w:val="1"/>
      <w:numFmt w:val="lowerRoman"/>
      <w:lvlText w:val="%9."/>
      <w:lvlJc w:val="right"/>
      <w:pPr>
        <w:ind w:left="6225" w:hanging="180"/>
      </w:pPr>
    </w:lvl>
  </w:abstractNum>
  <w:abstractNum w:abstractNumId="27" w15:restartNumberingAfterBreak="0">
    <w:nsid w:val="20564E57"/>
    <w:multiLevelType w:val="hybridMultilevel"/>
    <w:tmpl w:val="5D4A6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12115C4"/>
    <w:multiLevelType w:val="hybridMultilevel"/>
    <w:tmpl w:val="475014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7D139BB"/>
    <w:multiLevelType w:val="hybridMultilevel"/>
    <w:tmpl w:val="DADA6844"/>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28713BE1"/>
    <w:multiLevelType w:val="multilevel"/>
    <w:tmpl w:val="BD76F0FC"/>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D65D10"/>
    <w:multiLevelType w:val="multilevel"/>
    <w:tmpl w:val="E69818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2A1B03C5"/>
    <w:multiLevelType w:val="hybridMultilevel"/>
    <w:tmpl w:val="AC2C9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2A4B4B03"/>
    <w:multiLevelType w:val="hybridMultilevel"/>
    <w:tmpl w:val="06380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CC6555D"/>
    <w:multiLevelType w:val="hybridMultilevel"/>
    <w:tmpl w:val="0DCCB9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D4E4538"/>
    <w:multiLevelType w:val="hybridMultilevel"/>
    <w:tmpl w:val="66927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EF0701D"/>
    <w:multiLevelType w:val="hybridMultilevel"/>
    <w:tmpl w:val="AAC4B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0CF3654"/>
    <w:multiLevelType w:val="hybridMultilevel"/>
    <w:tmpl w:val="DC706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2A7634D"/>
    <w:multiLevelType w:val="hybridMultilevel"/>
    <w:tmpl w:val="B32889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8D1566B"/>
    <w:multiLevelType w:val="hybridMultilevel"/>
    <w:tmpl w:val="547A605A"/>
    <w:lvl w:ilvl="0" w:tplc="04080001">
      <w:start w:val="1"/>
      <w:numFmt w:val="bullet"/>
      <w:lvlText w:val=""/>
      <w:lvlJc w:val="left"/>
      <w:pPr>
        <w:ind w:left="5039"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38FA0263"/>
    <w:multiLevelType w:val="hybridMultilevel"/>
    <w:tmpl w:val="8F6C9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3A131E69"/>
    <w:multiLevelType w:val="multilevel"/>
    <w:tmpl w:val="9B8606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3C3C091E"/>
    <w:multiLevelType w:val="hybridMultilevel"/>
    <w:tmpl w:val="D5EE8AE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15:restartNumberingAfterBreak="0">
    <w:nsid w:val="3FF84C56"/>
    <w:multiLevelType w:val="multilevel"/>
    <w:tmpl w:val="9C3AE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0E7F2C"/>
    <w:multiLevelType w:val="multilevel"/>
    <w:tmpl w:val="2D3A5D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15:restartNumberingAfterBreak="0">
    <w:nsid w:val="443F6A6A"/>
    <w:multiLevelType w:val="hybridMultilevel"/>
    <w:tmpl w:val="4AFCF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58702C1"/>
    <w:multiLevelType w:val="hybridMultilevel"/>
    <w:tmpl w:val="B8D675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5D1144D"/>
    <w:multiLevelType w:val="hybridMultilevel"/>
    <w:tmpl w:val="8090717A"/>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46EE5C91"/>
    <w:multiLevelType w:val="hybridMultilevel"/>
    <w:tmpl w:val="5FE8E29C"/>
    <w:lvl w:ilvl="0" w:tplc="D8DE4E78">
      <w:start w:val="1"/>
      <w:numFmt w:val="lowerRoman"/>
      <w:lvlText w:val="%1."/>
      <w:lvlJc w:val="left"/>
      <w:pPr>
        <w:ind w:left="1080" w:hanging="720"/>
      </w:pPr>
      <w:rPr>
        <w:rFonts w:hint="default"/>
      </w:rPr>
    </w:lvl>
    <w:lvl w:ilvl="1" w:tplc="3CE0D944">
      <w:numFmt w:val="bullet"/>
      <w:lvlText w:val="•"/>
      <w:lvlJc w:val="left"/>
      <w:pPr>
        <w:ind w:left="1440" w:hanging="360"/>
      </w:pPr>
      <w:rPr>
        <w:rFonts w:ascii="Calibri" w:eastAsiaTheme="minorEastAsia"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9561F43"/>
    <w:multiLevelType w:val="hybridMultilevel"/>
    <w:tmpl w:val="157A4A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4AD9193F"/>
    <w:multiLevelType w:val="hybridMultilevel"/>
    <w:tmpl w:val="8090717A"/>
    <w:lvl w:ilvl="0" w:tplc="0809001B">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4C2D242B"/>
    <w:multiLevelType w:val="hybridMultilevel"/>
    <w:tmpl w:val="148A59AE"/>
    <w:lvl w:ilvl="0" w:tplc="E73A2CC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EB24911"/>
    <w:multiLevelType w:val="hybridMultilevel"/>
    <w:tmpl w:val="8090717A"/>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4F506E1F"/>
    <w:multiLevelType w:val="hybridMultilevel"/>
    <w:tmpl w:val="CF86DF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51BD0F9C"/>
    <w:multiLevelType w:val="hybridMultilevel"/>
    <w:tmpl w:val="B6B0EB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5" w15:restartNumberingAfterBreak="0">
    <w:nsid w:val="51D10A9F"/>
    <w:multiLevelType w:val="multilevel"/>
    <w:tmpl w:val="5E5079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6" w15:restartNumberingAfterBreak="0">
    <w:nsid w:val="529F582F"/>
    <w:multiLevelType w:val="multilevel"/>
    <w:tmpl w:val="7BF6F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AA192B"/>
    <w:multiLevelType w:val="hybridMultilevel"/>
    <w:tmpl w:val="4F70E554"/>
    <w:lvl w:ilvl="0" w:tplc="FFFFFFFF">
      <w:start w:val="1"/>
      <w:numFmt w:val="decimal"/>
      <w:lvlText w:val="%1."/>
      <w:lvlJc w:val="left"/>
      <w:pPr>
        <w:ind w:left="720" w:hanging="360"/>
      </w:pPr>
      <w:rPr>
        <w:rFonts w:ascii="Calibri Light" w:eastAsia="Times New Roman" w:hAnsi="Calibri Light" w:cs="Calibri Ligh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55C93EC1"/>
    <w:multiLevelType w:val="hybridMultilevel"/>
    <w:tmpl w:val="824E8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56902A71"/>
    <w:multiLevelType w:val="hybridMultilevel"/>
    <w:tmpl w:val="F41A20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7A92BBB"/>
    <w:multiLevelType w:val="hybridMultilevel"/>
    <w:tmpl w:val="AFA6E1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7AB12E9"/>
    <w:multiLevelType w:val="multilevel"/>
    <w:tmpl w:val="4CF83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F80F09"/>
    <w:multiLevelType w:val="hybridMultilevel"/>
    <w:tmpl w:val="14F42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57FF2434"/>
    <w:multiLevelType w:val="hybridMultilevel"/>
    <w:tmpl w:val="1CB23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CA60344"/>
    <w:multiLevelType w:val="hybridMultilevel"/>
    <w:tmpl w:val="F5FC7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DD7518E"/>
    <w:multiLevelType w:val="multilevel"/>
    <w:tmpl w:val="B2EA65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5E3F4E6F"/>
    <w:multiLevelType w:val="hybridMultilevel"/>
    <w:tmpl w:val="662AD65A"/>
    <w:lvl w:ilvl="0" w:tplc="03F0574E">
      <w:start w:val="1"/>
      <w:numFmt w:val="bullet"/>
      <w:lvlText w:val=""/>
      <w:lvlJc w:val="left"/>
      <w:pPr>
        <w:ind w:left="720" w:hanging="360"/>
      </w:pPr>
      <w:rPr>
        <w:rFonts w:ascii="Symbol" w:hAnsi="Symbol" w:hint="default"/>
        <w:color w:val="4F81BD" w:themeColor="accen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5E727AFA"/>
    <w:multiLevelType w:val="hybridMultilevel"/>
    <w:tmpl w:val="2CEE2FAC"/>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8" w15:restartNumberingAfterBreak="0">
    <w:nsid w:val="600A38EF"/>
    <w:multiLevelType w:val="multilevel"/>
    <w:tmpl w:val="CA4074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9" w15:restartNumberingAfterBreak="0">
    <w:nsid w:val="61C22B5E"/>
    <w:multiLevelType w:val="hybridMultilevel"/>
    <w:tmpl w:val="A09E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70017A"/>
    <w:multiLevelType w:val="hybridMultilevel"/>
    <w:tmpl w:val="5C848D5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1" w15:restartNumberingAfterBreak="0">
    <w:nsid w:val="64C23874"/>
    <w:multiLevelType w:val="hybridMultilevel"/>
    <w:tmpl w:val="CC660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68210F0D"/>
    <w:multiLevelType w:val="hybridMultilevel"/>
    <w:tmpl w:val="162284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69203FEA"/>
    <w:multiLevelType w:val="multilevel"/>
    <w:tmpl w:val="82463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257417"/>
    <w:multiLevelType w:val="hybridMultilevel"/>
    <w:tmpl w:val="DBC25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6A4E0A70"/>
    <w:multiLevelType w:val="hybridMultilevel"/>
    <w:tmpl w:val="2C1448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6AD003D5"/>
    <w:multiLevelType w:val="multilevel"/>
    <w:tmpl w:val="7E4CC0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7" w15:restartNumberingAfterBreak="0">
    <w:nsid w:val="6CDB6574"/>
    <w:multiLevelType w:val="hybridMultilevel"/>
    <w:tmpl w:val="C316A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6ED237BC"/>
    <w:multiLevelType w:val="hybridMultilevel"/>
    <w:tmpl w:val="DE620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711B59C7"/>
    <w:multiLevelType w:val="multilevel"/>
    <w:tmpl w:val="CDF4C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8B1C79"/>
    <w:multiLevelType w:val="hybridMultilevel"/>
    <w:tmpl w:val="22DA5FEA"/>
    <w:lvl w:ilvl="0" w:tplc="04080001">
      <w:start w:val="1"/>
      <w:numFmt w:val="bullet"/>
      <w:lvlText w:val=""/>
      <w:lvlJc w:val="left"/>
      <w:pPr>
        <w:ind w:left="720" w:hanging="360"/>
      </w:pPr>
      <w:rPr>
        <w:rFonts w:ascii="Symbol" w:hAnsi="Symbol" w:hint="default"/>
        <w:color w:val="4F81BD" w:themeColor="accen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15:restartNumberingAfterBreak="0">
    <w:nsid w:val="766671FC"/>
    <w:multiLevelType w:val="hybridMultilevel"/>
    <w:tmpl w:val="53A0B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7892550B"/>
    <w:multiLevelType w:val="hybridMultilevel"/>
    <w:tmpl w:val="5B8A2874"/>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79587DA5"/>
    <w:multiLevelType w:val="hybridMultilevel"/>
    <w:tmpl w:val="DB803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79C846B9"/>
    <w:multiLevelType w:val="hybridMultilevel"/>
    <w:tmpl w:val="29842DF2"/>
    <w:lvl w:ilvl="0" w:tplc="836C574A">
      <w:start w:val="1"/>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7B413D33"/>
    <w:multiLevelType w:val="hybridMultilevel"/>
    <w:tmpl w:val="4F70E554"/>
    <w:lvl w:ilvl="0" w:tplc="4928DA44">
      <w:start w:val="1"/>
      <w:numFmt w:val="decimal"/>
      <w:lvlText w:val="%1."/>
      <w:lvlJc w:val="left"/>
      <w:pPr>
        <w:ind w:left="720" w:hanging="360"/>
      </w:pPr>
      <w:rPr>
        <w:rFonts w:ascii="Calibri Light" w:eastAsia="Times New Roman" w:hAnsi="Calibri Light" w:cs="Calibri Ligh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6" w15:restartNumberingAfterBreak="0">
    <w:nsid w:val="7B5A0422"/>
    <w:multiLevelType w:val="hybridMultilevel"/>
    <w:tmpl w:val="72325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7CC90C62"/>
    <w:multiLevelType w:val="hybridMultilevel"/>
    <w:tmpl w:val="54FCDF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15:restartNumberingAfterBreak="0">
    <w:nsid w:val="7D7B275D"/>
    <w:multiLevelType w:val="hybridMultilevel"/>
    <w:tmpl w:val="9BEE6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9" w15:restartNumberingAfterBreak="0">
    <w:nsid w:val="7EB66144"/>
    <w:multiLevelType w:val="multilevel"/>
    <w:tmpl w:val="7974D61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89"/>
  </w:num>
  <w:num w:numId="3">
    <w:abstractNumId w:val="26"/>
  </w:num>
  <w:num w:numId="4">
    <w:abstractNumId w:val="16"/>
  </w:num>
  <w:num w:numId="5">
    <w:abstractNumId w:val="77"/>
  </w:num>
  <w:num w:numId="6">
    <w:abstractNumId w:val="49"/>
  </w:num>
  <w:num w:numId="7">
    <w:abstractNumId w:val="0"/>
  </w:num>
  <w:num w:numId="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4"/>
  </w:num>
  <w:num w:numId="10">
    <w:abstractNumId w:val="15"/>
  </w:num>
  <w:num w:numId="11">
    <w:abstractNumId w:val="43"/>
  </w:num>
  <w:num w:numId="12">
    <w:abstractNumId w:val="30"/>
  </w:num>
  <w:num w:numId="13">
    <w:abstractNumId w:val="56"/>
  </w:num>
  <w:num w:numId="14">
    <w:abstractNumId w:val="2"/>
  </w:num>
  <w:num w:numId="15">
    <w:abstractNumId w:val="11"/>
  </w:num>
  <w:num w:numId="16">
    <w:abstractNumId w:val="61"/>
  </w:num>
  <w:num w:numId="17">
    <w:abstractNumId w:val="73"/>
  </w:num>
  <w:num w:numId="18">
    <w:abstractNumId w:val="25"/>
  </w:num>
  <w:num w:numId="19">
    <w:abstractNumId w:val="79"/>
  </w:num>
  <w:num w:numId="20">
    <w:abstractNumId w:val="83"/>
  </w:num>
  <w:num w:numId="21">
    <w:abstractNumId w:val="32"/>
  </w:num>
  <w:num w:numId="22">
    <w:abstractNumId w:val="7"/>
  </w:num>
  <w:num w:numId="23">
    <w:abstractNumId w:val="53"/>
  </w:num>
  <w:num w:numId="24">
    <w:abstractNumId w:val="12"/>
  </w:num>
  <w:num w:numId="25">
    <w:abstractNumId w:val="29"/>
  </w:num>
  <w:num w:numId="26">
    <w:abstractNumId w:val="62"/>
  </w:num>
  <w:num w:numId="27">
    <w:abstractNumId w:val="67"/>
  </w:num>
  <w:num w:numId="28">
    <w:abstractNumId w:val="33"/>
  </w:num>
  <w:num w:numId="29">
    <w:abstractNumId w:val="27"/>
  </w:num>
  <w:num w:numId="30">
    <w:abstractNumId w:val="88"/>
  </w:num>
  <w:num w:numId="31">
    <w:abstractNumId w:val="81"/>
  </w:num>
  <w:num w:numId="32">
    <w:abstractNumId w:val="60"/>
  </w:num>
  <w:num w:numId="33">
    <w:abstractNumId w:val="34"/>
  </w:num>
  <w:num w:numId="34">
    <w:abstractNumId w:val="6"/>
  </w:num>
  <w:num w:numId="35">
    <w:abstractNumId w:val="13"/>
  </w:num>
  <w:num w:numId="36">
    <w:abstractNumId w:val="28"/>
  </w:num>
  <w:num w:numId="37">
    <w:abstractNumId w:val="35"/>
  </w:num>
  <w:num w:numId="38">
    <w:abstractNumId w:val="9"/>
  </w:num>
  <w:num w:numId="39">
    <w:abstractNumId w:val="39"/>
  </w:num>
  <w:num w:numId="40">
    <w:abstractNumId w:val="72"/>
  </w:num>
  <w:num w:numId="41">
    <w:abstractNumId w:val="1"/>
  </w:num>
  <w:num w:numId="42">
    <w:abstractNumId w:val="20"/>
  </w:num>
  <w:num w:numId="43">
    <w:abstractNumId w:val="54"/>
  </w:num>
  <w:num w:numId="44">
    <w:abstractNumId w:val="14"/>
  </w:num>
  <w:num w:numId="45">
    <w:abstractNumId w:val="1"/>
  </w:num>
  <w:num w:numId="46">
    <w:abstractNumId w:val="21"/>
  </w:num>
  <w:num w:numId="47">
    <w:abstractNumId w:val="75"/>
  </w:num>
  <w:num w:numId="48">
    <w:abstractNumId w:val="18"/>
  </w:num>
  <w:num w:numId="49">
    <w:abstractNumId w:val="86"/>
  </w:num>
  <w:num w:numId="50">
    <w:abstractNumId w:val="74"/>
  </w:num>
  <w:num w:numId="51">
    <w:abstractNumId w:val="5"/>
  </w:num>
  <w:num w:numId="52">
    <w:abstractNumId w:val="71"/>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lvlOverride w:ilvl="2"/>
    <w:lvlOverride w:ilvl="3"/>
    <w:lvlOverride w:ilvl="4"/>
    <w:lvlOverride w:ilvl="5"/>
    <w:lvlOverride w:ilvl="6"/>
    <w:lvlOverride w:ilvl="7"/>
    <w:lvlOverride w:ilvl="8"/>
  </w:num>
  <w:num w:numId="57">
    <w:abstractNumId w:val="52"/>
    <w:lvlOverride w:ilvl="0">
      <w:startOverride w:val="1"/>
    </w:lvlOverride>
    <w:lvlOverride w:ilvl="1"/>
    <w:lvlOverride w:ilvl="2"/>
    <w:lvlOverride w:ilvl="3"/>
    <w:lvlOverride w:ilvl="4"/>
    <w:lvlOverride w:ilvl="5"/>
    <w:lvlOverride w:ilvl="6"/>
    <w:lvlOverride w:ilvl="7"/>
    <w:lvlOverride w:ilvl="8"/>
  </w:num>
  <w:num w:numId="58">
    <w:abstractNumId w:val="47"/>
    <w:lvlOverride w:ilvl="0">
      <w:startOverride w:val="1"/>
    </w:lvlOverride>
    <w:lvlOverride w:ilvl="1"/>
    <w:lvlOverride w:ilvl="2"/>
    <w:lvlOverride w:ilvl="3"/>
    <w:lvlOverride w:ilvl="4"/>
    <w:lvlOverride w:ilvl="5"/>
    <w:lvlOverride w:ilvl="6"/>
    <w:lvlOverride w:ilvl="7"/>
    <w:lvlOverride w:ilvl="8"/>
  </w:num>
  <w:num w:numId="59">
    <w:abstractNumId w:val="82"/>
    <w:lvlOverride w:ilvl="0">
      <w:startOverride w:val="1"/>
    </w:lvlOverride>
    <w:lvlOverride w:ilvl="1"/>
    <w:lvlOverride w:ilvl="2"/>
    <w:lvlOverride w:ilvl="3"/>
    <w:lvlOverride w:ilvl="4"/>
    <w:lvlOverride w:ilvl="5"/>
    <w:lvlOverride w:ilvl="6"/>
    <w:lvlOverride w:ilvl="7"/>
    <w:lvlOverride w:ilvl="8"/>
  </w:num>
  <w:num w:numId="60">
    <w:abstractNumId w:val="8"/>
  </w:num>
  <w:num w:numId="61">
    <w:abstractNumId w:val="51"/>
  </w:num>
  <w:num w:numId="62">
    <w:abstractNumId w:val="48"/>
  </w:num>
  <w:num w:numId="63">
    <w:abstractNumId w:val="10"/>
  </w:num>
  <w:num w:numId="64">
    <w:abstractNumId w:val="24"/>
  </w:num>
  <w:num w:numId="65">
    <w:abstractNumId w:val="65"/>
  </w:num>
  <w:num w:numId="66">
    <w:abstractNumId w:val="31"/>
  </w:num>
  <w:num w:numId="67">
    <w:abstractNumId w:val="44"/>
  </w:num>
  <w:num w:numId="68">
    <w:abstractNumId w:val="3"/>
  </w:num>
  <w:num w:numId="69">
    <w:abstractNumId w:val="76"/>
  </w:num>
  <w:num w:numId="70">
    <w:abstractNumId w:val="41"/>
  </w:num>
  <w:num w:numId="71">
    <w:abstractNumId w:val="55"/>
  </w:num>
  <w:num w:numId="72">
    <w:abstractNumId w:val="68"/>
  </w:num>
  <w:num w:numId="73">
    <w:abstractNumId w:val="66"/>
  </w:num>
  <w:num w:numId="74">
    <w:abstractNumId w:val="80"/>
  </w:num>
  <w:num w:numId="75">
    <w:abstractNumId w:val="37"/>
  </w:num>
  <w:num w:numId="76">
    <w:abstractNumId w:val="17"/>
  </w:num>
  <w:num w:numId="77">
    <w:abstractNumId w:val="63"/>
  </w:num>
  <w:num w:numId="78">
    <w:abstractNumId w:val="87"/>
  </w:num>
  <w:num w:numId="79">
    <w:abstractNumId w:val="46"/>
  </w:num>
  <w:num w:numId="80">
    <w:abstractNumId w:val="38"/>
  </w:num>
  <w:num w:numId="81">
    <w:abstractNumId w:val="78"/>
  </w:num>
  <w:num w:numId="82">
    <w:abstractNumId w:val="40"/>
  </w:num>
  <w:num w:numId="83">
    <w:abstractNumId w:val="58"/>
  </w:num>
  <w:num w:numId="84">
    <w:abstractNumId w:val="45"/>
  </w:num>
  <w:num w:numId="85">
    <w:abstractNumId w:val="59"/>
  </w:num>
  <w:num w:numId="86">
    <w:abstractNumId w:val="64"/>
  </w:num>
  <w:num w:numId="87">
    <w:abstractNumId w:val="22"/>
  </w:num>
  <w:num w:numId="88">
    <w:abstractNumId w:val="42"/>
  </w:num>
  <w:num w:numId="89">
    <w:abstractNumId w:val="36"/>
  </w:num>
  <w:num w:numId="90">
    <w:abstractNumId w:val="23"/>
  </w:num>
  <w:num w:numId="91">
    <w:abstractNumId w:val="4"/>
  </w:num>
  <w:num w:numId="92">
    <w:abstractNumId w:val="6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consecutiveHyphenLimit w:val="2"/>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9C"/>
    <w:rsid w:val="00000450"/>
    <w:rsid w:val="00000F2A"/>
    <w:rsid w:val="0000104F"/>
    <w:rsid w:val="0000106D"/>
    <w:rsid w:val="0000146C"/>
    <w:rsid w:val="00001E52"/>
    <w:rsid w:val="00003114"/>
    <w:rsid w:val="000031F4"/>
    <w:rsid w:val="000038E6"/>
    <w:rsid w:val="00003CD6"/>
    <w:rsid w:val="00003DD8"/>
    <w:rsid w:val="00004255"/>
    <w:rsid w:val="00004CC0"/>
    <w:rsid w:val="00005600"/>
    <w:rsid w:val="00005763"/>
    <w:rsid w:val="00005B08"/>
    <w:rsid w:val="000061BC"/>
    <w:rsid w:val="0000650D"/>
    <w:rsid w:val="00006CDA"/>
    <w:rsid w:val="00006E35"/>
    <w:rsid w:val="0000727B"/>
    <w:rsid w:val="0000733D"/>
    <w:rsid w:val="0000793E"/>
    <w:rsid w:val="000102D3"/>
    <w:rsid w:val="0001063D"/>
    <w:rsid w:val="00010664"/>
    <w:rsid w:val="00011210"/>
    <w:rsid w:val="00011E6B"/>
    <w:rsid w:val="00012020"/>
    <w:rsid w:val="0001229A"/>
    <w:rsid w:val="000122F7"/>
    <w:rsid w:val="00012570"/>
    <w:rsid w:val="00012B15"/>
    <w:rsid w:val="00012C76"/>
    <w:rsid w:val="000144E0"/>
    <w:rsid w:val="00014537"/>
    <w:rsid w:val="000147E2"/>
    <w:rsid w:val="00014DEF"/>
    <w:rsid w:val="00015143"/>
    <w:rsid w:val="0001588C"/>
    <w:rsid w:val="000159D3"/>
    <w:rsid w:val="00015CFA"/>
    <w:rsid w:val="00016280"/>
    <w:rsid w:val="00016590"/>
    <w:rsid w:val="0001751D"/>
    <w:rsid w:val="00017F7B"/>
    <w:rsid w:val="000200BA"/>
    <w:rsid w:val="000201A6"/>
    <w:rsid w:val="00020DC5"/>
    <w:rsid w:val="00021814"/>
    <w:rsid w:val="000223C8"/>
    <w:rsid w:val="00022C5F"/>
    <w:rsid w:val="000239AC"/>
    <w:rsid w:val="000245D5"/>
    <w:rsid w:val="00025B34"/>
    <w:rsid w:val="00026936"/>
    <w:rsid w:val="000269DB"/>
    <w:rsid w:val="00026C1E"/>
    <w:rsid w:val="00027548"/>
    <w:rsid w:val="000276EC"/>
    <w:rsid w:val="000279AF"/>
    <w:rsid w:val="000279DD"/>
    <w:rsid w:val="00027A01"/>
    <w:rsid w:val="00027C4E"/>
    <w:rsid w:val="00027C8F"/>
    <w:rsid w:val="00030744"/>
    <w:rsid w:val="00030F62"/>
    <w:rsid w:val="00031941"/>
    <w:rsid w:val="00033A2E"/>
    <w:rsid w:val="00033CDA"/>
    <w:rsid w:val="00033CF3"/>
    <w:rsid w:val="00033E6D"/>
    <w:rsid w:val="00034ADE"/>
    <w:rsid w:val="00034B34"/>
    <w:rsid w:val="000354F3"/>
    <w:rsid w:val="00035B18"/>
    <w:rsid w:val="00036A4E"/>
    <w:rsid w:val="00036F9D"/>
    <w:rsid w:val="00037399"/>
    <w:rsid w:val="0004210C"/>
    <w:rsid w:val="000424BD"/>
    <w:rsid w:val="0004255B"/>
    <w:rsid w:val="00043BBC"/>
    <w:rsid w:val="00044888"/>
    <w:rsid w:val="000449BE"/>
    <w:rsid w:val="00044A4C"/>
    <w:rsid w:val="00044C7A"/>
    <w:rsid w:val="0004523E"/>
    <w:rsid w:val="0004544D"/>
    <w:rsid w:val="00045B90"/>
    <w:rsid w:val="000467D1"/>
    <w:rsid w:val="00046D16"/>
    <w:rsid w:val="0004752E"/>
    <w:rsid w:val="00050382"/>
    <w:rsid w:val="000508B1"/>
    <w:rsid w:val="00051FA0"/>
    <w:rsid w:val="000523C8"/>
    <w:rsid w:val="0005295F"/>
    <w:rsid w:val="000529C7"/>
    <w:rsid w:val="000529FD"/>
    <w:rsid w:val="00052A98"/>
    <w:rsid w:val="00052FD5"/>
    <w:rsid w:val="00053523"/>
    <w:rsid w:val="00053683"/>
    <w:rsid w:val="00055604"/>
    <w:rsid w:val="00055719"/>
    <w:rsid w:val="00055CF7"/>
    <w:rsid w:val="00056060"/>
    <w:rsid w:val="00056219"/>
    <w:rsid w:val="000603CE"/>
    <w:rsid w:val="000606CB"/>
    <w:rsid w:val="000610DA"/>
    <w:rsid w:val="0006191C"/>
    <w:rsid w:val="00061A3A"/>
    <w:rsid w:val="00061A3C"/>
    <w:rsid w:val="00061F53"/>
    <w:rsid w:val="000620B1"/>
    <w:rsid w:val="0006246F"/>
    <w:rsid w:val="000628A1"/>
    <w:rsid w:val="00062F6F"/>
    <w:rsid w:val="00063041"/>
    <w:rsid w:val="000630EC"/>
    <w:rsid w:val="00063239"/>
    <w:rsid w:val="000640C0"/>
    <w:rsid w:val="000656F2"/>
    <w:rsid w:val="00065C54"/>
    <w:rsid w:val="00065DD3"/>
    <w:rsid w:val="0006674D"/>
    <w:rsid w:val="00066B8C"/>
    <w:rsid w:val="000670F8"/>
    <w:rsid w:val="00070AE7"/>
    <w:rsid w:val="00071B92"/>
    <w:rsid w:val="0007264A"/>
    <w:rsid w:val="00074945"/>
    <w:rsid w:val="00074CCD"/>
    <w:rsid w:val="00075000"/>
    <w:rsid w:val="00075184"/>
    <w:rsid w:val="0007579C"/>
    <w:rsid w:val="000760E5"/>
    <w:rsid w:val="00076A5C"/>
    <w:rsid w:val="00080652"/>
    <w:rsid w:val="00080AD8"/>
    <w:rsid w:val="00080B55"/>
    <w:rsid w:val="00080D3B"/>
    <w:rsid w:val="000814CD"/>
    <w:rsid w:val="000816D6"/>
    <w:rsid w:val="000816F9"/>
    <w:rsid w:val="00081E07"/>
    <w:rsid w:val="00082AC9"/>
    <w:rsid w:val="00082EF3"/>
    <w:rsid w:val="000831F5"/>
    <w:rsid w:val="0008472B"/>
    <w:rsid w:val="00085042"/>
    <w:rsid w:val="000853D5"/>
    <w:rsid w:val="00085C3F"/>
    <w:rsid w:val="00087539"/>
    <w:rsid w:val="00087ACB"/>
    <w:rsid w:val="00087F63"/>
    <w:rsid w:val="0009042B"/>
    <w:rsid w:val="00090643"/>
    <w:rsid w:val="00090AFC"/>
    <w:rsid w:val="00090DCC"/>
    <w:rsid w:val="00091162"/>
    <w:rsid w:val="000924C7"/>
    <w:rsid w:val="000924DC"/>
    <w:rsid w:val="0009290A"/>
    <w:rsid w:val="00092BFB"/>
    <w:rsid w:val="00092F2D"/>
    <w:rsid w:val="000933CC"/>
    <w:rsid w:val="000944D0"/>
    <w:rsid w:val="0009549D"/>
    <w:rsid w:val="00096265"/>
    <w:rsid w:val="00096482"/>
    <w:rsid w:val="00096B91"/>
    <w:rsid w:val="00096C1A"/>
    <w:rsid w:val="00096DA7"/>
    <w:rsid w:val="00097D13"/>
    <w:rsid w:val="000A0370"/>
    <w:rsid w:val="000A05FF"/>
    <w:rsid w:val="000A092D"/>
    <w:rsid w:val="000A0F66"/>
    <w:rsid w:val="000A1385"/>
    <w:rsid w:val="000A1CCC"/>
    <w:rsid w:val="000A1D08"/>
    <w:rsid w:val="000A1E89"/>
    <w:rsid w:val="000A1F38"/>
    <w:rsid w:val="000A2044"/>
    <w:rsid w:val="000A230A"/>
    <w:rsid w:val="000A2698"/>
    <w:rsid w:val="000A3191"/>
    <w:rsid w:val="000A3D5D"/>
    <w:rsid w:val="000A3E70"/>
    <w:rsid w:val="000A3ED7"/>
    <w:rsid w:val="000A41FC"/>
    <w:rsid w:val="000A4CEB"/>
    <w:rsid w:val="000A60AD"/>
    <w:rsid w:val="000A6808"/>
    <w:rsid w:val="000A6C2A"/>
    <w:rsid w:val="000A6E79"/>
    <w:rsid w:val="000A7E04"/>
    <w:rsid w:val="000B04B1"/>
    <w:rsid w:val="000B1B71"/>
    <w:rsid w:val="000B1D6A"/>
    <w:rsid w:val="000B21CE"/>
    <w:rsid w:val="000B2B38"/>
    <w:rsid w:val="000B3205"/>
    <w:rsid w:val="000B3B8A"/>
    <w:rsid w:val="000B3BD0"/>
    <w:rsid w:val="000B45E7"/>
    <w:rsid w:val="000B489F"/>
    <w:rsid w:val="000B4E2D"/>
    <w:rsid w:val="000B4EA4"/>
    <w:rsid w:val="000B5D09"/>
    <w:rsid w:val="000B6683"/>
    <w:rsid w:val="000B66E7"/>
    <w:rsid w:val="000B67BB"/>
    <w:rsid w:val="000B6930"/>
    <w:rsid w:val="000B6998"/>
    <w:rsid w:val="000B6A3E"/>
    <w:rsid w:val="000B6AA9"/>
    <w:rsid w:val="000B726E"/>
    <w:rsid w:val="000B78F8"/>
    <w:rsid w:val="000B799E"/>
    <w:rsid w:val="000C0363"/>
    <w:rsid w:val="000C041F"/>
    <w:rsid w:val="000C1032"/>
    <w:rsid w:val="000C1F20"/>
    <w:rsid w:val="000C2053"/>
    <w:rsid w:val="000C2F2E"/>
    <w:rsid w:val="000C3832"/>
    <w:rsid w:val="000C38A6"/>
    <w:rsid w:val="000C392F"/>
    <w:rsid w:val="000C3A14"/>
    <w:rsid w:val="000C3D2F"/>
    <w:rsid w:val="000C3D4B"/>
    <w:rsid w:val="000C3F55"/>
    <w:rsid w:val="000C4191"/>
    <w:rsid w:val="000C4415"/>
    <w:rsid w:val="000C4554"/>
    <w:rsid w:val="000C49C8"/>
    <w:rsid w:val="000C5C7D"/>
    <w:rsid w:val="000C5CFD"/>
    <w:rsid w:val="000C5DF5"/>
    <w:rsid w:val="000C67F1"/>
    <w:rsid w:val="000C6C73"/>
    <w:rsid w:val="000C7DDA"/>
    <w:rsid w:val="000D284D"/>
    <w:rsid w:val="000D2C66"/>
    <w:rsid w:val="000D2F84"/>
    <w:rsid w:val="000D45AC"/>
    <w:rsid w:val="000D4878"/>
    <w:rsid w:val="000D4DE6"/>
    <w:rsid w:val="000D5338"/>
    <w:rsid w:val="000D5366"/>
    <w:rsid w:val="000D5AE3"/>
    <w:rsid w:val="000D61B3"/>
    <w:rsid w:val="000D62A1"/>
    <w:rsid w:val="000D7412"/>
    <w:rsid w:val="000D75A7"/>
    <w:rsid w:val="000D7836"/>
    <w:rsid w:val="000E0868"/>
    <w:rsid w:val="000E0CA6"/>
    <w:rsid w:val="000E2110"/>
    <w:rsid w:val="000E29B9"/>
    <w:rsid w:val="000E2DD8"/>
    <w:rsid w:val="000E3076"/>
    <w:rsid w:val="000E30D9"/>
    <w:rsid w:val="000E3416"/>
    <w:rsid w:val="000E41B0"/>
    <w:rsid w:val="000E4292"/>
    <w:rsid w:val="000E4D5A"/>
    <w:rsid w:val="000E56E7"/>
    <w:rsid w:val="000E5BAB"/>
    <w:rsid w:val="000E5CE7"/>
    <w:rsid w:val="000E5DA3"/>
    <w:rsid w:val="000E5FC1"/>
    <w:rsid w:val="000F0AFA"/>
    <w:rsid w:val="000F0E04"/>
    <w:rsid w:val="000F1082"/>
    <w:rsid w:val="000F1249"/>
    <w:rsid w:val="000F1BF9"/>
    <w:rsid w:val="000F1D7F"/>
    <w:rsid w:val="000F2399"/>
    <w:rsid w:val="000F297E"/>
    <w:rsid w:val="000F31BA"/>
    <w:rsid w:val="000F4590"/>
    <w:rsid w:val="000F46FC"/>
    <w:rsid w:val="000F4B39"/>
    <w:rsid w:val="000F591D"/>
    <w:rsid w:val="000F63F4"/>
    <w:rsid w:val="000F78D0"/>
    <w:rsid w:val="000F79DE"/>
    <w:rsid w:val="00100392"/>
    <w:rsid w:val="0010046C"/>
    <w:rsid w:val="001005A8"/>
    <w:rsid w:val="00100696"/>
    <w:rsid w:val="00101223"/>
    <w:rsid w:val="001012CF"/>
    <w:rsid w:val="00101826"/>
    <w:rsid w:val="00101DC1"/>
    <w:rsid w:val="00102199"/>
    <w:rsid w:val="001023A4"/>
    <w:rsid w:val="00102E77"/>
    <w:rsid w:val="0010427F"/>
    <w:rsid w:val="00104497"/>
    <w:rsid w:val="001048A8"/>
    <w:rsid w:val="00104961"/>
    <w:rsid w:val="00104B7F"/>
    <w:rsid w:val="00104D50"/>
    <w:rsid w:val="00104F7F"/>
    <w:rsid w:val="001055E3"/>
    <w:rsid w:val="001100A4"/>
    <w:rsid w:val="00110490"/>
    <w:rsid w:val="00110978"/>
    <w:rsid w:val="00110A6A"/>
    <w:rsid w:val="0011218B"/>
    <w:rsid w:val="001122BF"/>
    <w:rsid w:val="00112472"/>
    <w:rsid w:val="001128AB"/>
    <w:rsid w:val="001132EE"/>
    <w:rsid w:val="00113A53"/>
    <w:rsid w:val="00113F37"/>
    <w:rsid w:val="0011457C"/>
    <w:rsid w:val="00114B92"/>
    <w:rsid w:val="00114E05"/>
    <w:rsid w:val="00115168"/>
    <w:rsid w:val="00115438"/>
    <w:rsid w:val="00115AD3"/>
    <w:rsid w:val="00116F79"/>
    <w:rsid w:val="0011753C"/>
    <w:rsid w:val="00120469"/>
    <w:rsid w:val="00122E57"/>
    <w:rsid w:val="00122FC8"/>
    <w:rsid w:val="001243FE"/>
    <w:rsid w:val="00125B59"/>
    <w:rsid w:val="00125C1E"/>
    <w:rsid w:val="00125D35"/>
    <w:rsid w:val="00125E8C"/>
    <w:rsid w:val="00125F56"/>
    <w:rsid w:val="00126589"/>
    <w:rsid w:val="00126BE0"/>
    <w:rsid w:val="001270DF"/>
    <w:rsid w:val="00127392"/>
    <w:rsid w:val="00127541"/>
    <w:rsid w:val="00127FC6"/>
    <w:rsid w:val="001300B0"/>
    <w:rsid w:val="00130268"/>
    <w:rsid w:val="0013070E"/>
    <w:rsid w:val="00130DE8"/>
    <w:rsid w:val="00130E23"/>
    <w:rsid w:val="00130F3B"/>
    <w:rsid w:val="001311AC"/>
    <w:rsid w:val="0013241A"/>
    <w:rsid w:val="00132737"/>
    <w:rsid w:val="00132824"/>
    <w:rsid w:val="00132C15"/>
    <w:rsid w:val="001330ED"/>
    <w:rsid w:val="001331ED"/>
    <w:rsid w:val="001332C2"/>
    <w:rsid w:val="00133DF3"/>
    <w:rsid w:val="00133F16"/>
    <w:rsid w:val="00133F58"/>
    <w:rsid w:val="00133F7A"/>
    <w:rsid w:val="0013437B"/>
    <w:rsid w:val="001344CF"/>
    <w:rsid w:val="00134543"/>
    <w:rsid w:val="001347A2"/>
    <w:rsid w:val="00134D7C"/>
    <w:rsid w:val="00135F3B"/>
    <w:rsid w:val="00136A52"/>
    <w:rsid w:val="00136CA1"/>
    <w:rsid w:val="00136EE8"/>
    <w:rsid w:val="00140F0A"/>
    <w:rsid w:val="001413D7"/>
    <w:rsid w:val="00141C15"/>
    <w:rsid w:val="00142589"/>
    <w:rsid w:val="001429BC"/>
    <w:rsid w:val="0014303F"/>
    <w:rsid w:val="00143C65"/>
    <w:rsid w:val="0014454E"/>
    <w:rsid w:val="001456A1"/>
    <w:rsid w:val="00145767"/>
    <w:rsid w:val="00145CAA"/>
    <w:rsid w:val="00145D13"/>
    <w:rsid w:val="001461DC"/>
    <w:rsid w:val="00147092"/>
    <w:rsid w:val="00147E67"/>
    <w:rsid w:val="00147EFF"/>
    <w:rsid w:val="001501E0"/>
    <w:rsid w:val="0015038E"/>
    <w:rsid w:val="0015059D"/>
    <w:rsid w:val="00150A11"/>
    <w:rsid w:val="00150F18"/>
    <w:rsid w:val="001514B0"/>
    <w:rsid w:val="00151993"/>
    <w:rsid w:val="00151EC9"/>
    <w:rsid w:val="00152164"/>
    <w:rsid w:val="001535A8"/>
    <w:rsid w:val="00153976"/>
    <w:rsid w:val="00153A9D"/>
    <w:rsid w:val="00154270"/>
    <w:rsid w:val="001546B4"/>
    <w:rsid w:val="0015471B"/>
    <w:rsid w:val="0015471C"/>
    <w:rsid w:val="00154902"/>
    <w:rsid w:val="0015518D"/>
    <w:rsid w:val="00155463"/>
    <w:rsid w:val="00156DB9"/>
    <w:rsid w:val="001577A0"/>
    <w:rsid w:val="001600A3"/>
    <w:rsid w:val="00160BE8"/>
    <w:rsid w:val="00160E7E"/>
    <w:rsid w:val="00161CC1"/>
    <w:rsid w:val="00163A56"/>
    <w:rsid w:val="00163A5B"/>
    <w:rsid w:val="001655ED"/>
    <w:rsid w:val="00165738"/>
    <w:rsid w:val="00166516"/>
    <w:rsid w:val="00166905"/>
    <w:rsid w:val="0016708A"/>
    <w:rsid w:val="00167D6C"/>
    <w:rsid w:val="00170A6B"/>
    <w:rsid w:val="00170BE6"/>
    <w:rsid w:val="001714A3"/>
    <w:rsid w:val="00171688"/>
    <w:rsid w:val="00171F1F"/>
    <w:rsid w:val="001722D9"/>
    <w:rsid w:val="0017270D"/>
    <w:rsid w:val="00172DBF"/>
    <w:rsid w:val="0017434F"/>
    <w:rsid w:val="00174993"/>
    <w:rsid w:val="00175921"/>
    <w:rsid w:val="00175A0C"/>
    <w:rsid w:val="00175ACD"/>
    <w:rsid w:val="00175CB1"/>
    <w:rsid w:val="00176BC8"/>
    <w:rsid w:val="00176EF8"/>
    <w:rsid w:val="0017759E"/>
    <w:rsid w:val="001775DE"/>
    <w:rsid w:val="00180644"/>
    <w:rsid w:val="00181AC7"/>
    <w:rsid w:val="00181D12"/>
    <w:rsid w:val="00182653"/>
    <w:rsid w:val="00182912"/>
    <w:rsid w:val="00183068"/>
    <w:rsid w:val="001839AC"/>
    <w:rsid w:val="00183CAD"/>
    <w:rsid w:val="00183D58"/>
    <w:rsid w:val="00184059"/>
    <w:rsid w:val="00184E78"/>
    <w:rsid w:val="001853B6"/>
    <w:rsid w:val="00185C04"/>
    <w:rsid w:val="00185DB9"/>
    <w:rsid w:val="00185E54"/>
    <w:rsid w:val="00186650"/>
    <w:rsid w:val="00186B5C"/>
    <w:rsid w:val="00187098"/>
    <w:rsid w:val="0018717A"/>
    <w:rsid w:val="00187D4F"/>
    <w:rsid w:val="00187D98"/>
    <w:rsid w:val="0019020B"/>
    <w:rsid w:val="00190D75"/>
    <w:rsid w:val="00191EE6"/>
    <w:rsid w:val="00192054"/>
    <w:rsid w:val="00192500"/>
    <w:rsid w:val="001929D8"/>
    <w:rsid w:val="00192CD8"/>
    <w:rsid w:val="001932CA"/>
    <w:rsid w:val="00193473"/>
    <w:rsid w:val="00193AA4"/>
    <w:rsid w:val="00194311"/>
    <w:rsid w:val="0019495A"/>
    <w:rsid w:val="00194996"/>
    <w:rsid w:val="00194A77"/>
    <w:rsid w:val="00194C0D"/>
    <w:rsid w:val="00195018"/>
    <w:rsid w:val="00195328"/>
    <w:rsid w:val="00195AD6"/>
    <w:rsid w:val="001960CF"/>
    <w:rsid w:val="00196C9C"/>
    <w:rsid w:val="001A0A7A"/>
    <w:rsid w:val="001A0BC7"/>
    <w:rsid w:val="001A22E0"/>
    <w:rsid w:val="001A2351"/>
    <w:rsid w:val="001A2C6B"/>
    <w:rsid w:val="001A2CC0"/>
    <w:rsid w:val="001A30D5"/>
    <w:rsid w:val="001A45E0"/>
    <w:rsid w:val="001A48AB"/>
    <w:rsid w:val="001A4A22"/>
    <w:rsid w:val="001A4AE4"/>
    <w:rsid w:val="001A4CCA"/>
    <w:rsid w:val="001A4E05"/>
    <w:rsid w:val="001A4E34"/>
    <w:rsid w:val="001A5049"/>
    <w:rsid w:val="001A52C4"/>
    <w:rsid w:val="001A538C"/>
    <w:rsid w:val="001A5B12"/>
    <w:rsid w:val="001A6CE1"/>
    <w:rsid w:val="001A70E2"/>
    <w:rsid w:val="001A736F"/>
    <w:rsid w:val="001A7FFB"/>
    <w:rsid w:val="001B1217"/>
    <w:rsid w:val="001B1225"/>
    <w:rsid w:val="001B156B"/>
    <w:rsid w:val="001B17B3"/>
    <w:rsid w:val="001B1C2D"/>
    <w:rsid w:val="001B2293"/>
    <w:rsid w:val="001B25BA"/>
    <w:rsid w:val="001B33B9"/>
    <w:rsid w:val="001B38A9"/>
    <w:rsid w:val="001B3A24"/>
    <w:rsid w:val="001B40BD"/>
    <w:rsid w:val="001B5067"/>
    <w:rsid w:val="001B6AF1"/>
    <w:rsid w:val="001B6F14"/>
    <w:rsid w:val="001B7B09"/>
    <w:rsid w:val="001C00B0"/>
    <w:rsid w:val="001C078B"/>
    <w:rsid w:val="001C07E5"/>
    <w:rsid w:val="001C0EE0"/>
    <w:rsid w:val="001C111F"/>
    <w:rsid w:val="001C2256"/>
    <w:rsid w:val="001C297B"/>
    <w:rsid w:val="001C32FF"/>
    <w:rsid w:val="001C372D"/>
    <w:rsid w:val="001C39C1"/>
    <w:rsid w:val="001C3FFD"/>
    <w:rsid w:val="001C4145"/>
    <w:rsid w:val="001C4468"/>
    <w:rsid w:val="001C459B"/>
    <w:rsid w:val="001C49AA"/>
    <w:rsid w:val="001C57F5"/>
    <w:rsid w:val="001C66B8"/>
    <w:rsid w:val="001C6A5E"/>
    <w:rsid w:val="001C70B2"/>
    <w:rsid w:val="001C722A"/>
    <w:rsid w:val="001C7822"/>
    <w:rsid w:val="001C7B3C"/>
    <w:rsid w:val="001C7DBC"/>
    <w:rsid w:val="001C7F26"/>
    <w:rsid w:val="001D0009"/>
    <w:rsid w:val="001D09B7"/>
    <w:rsid w:val="001D0A7C"/>
    <w:rsid w:val="001D0CE1"/>
    <w:rsid w:val="001D1188"/>
    <w:rsid w:val="001D1661"/>
    <w:rsid w:val="001D1A6D"/>
    <w:rsid w:val="001D21A0"/>
    <w:rsid w:val="001D2528"/>
    <w:rsid w:val="001D275E"/>
    <w:rsid w:val="001D2838"/>
    <w:rsid w:val="001D3405"/>
    <w:rsid w:val="001D372E"/>
    <w:rsid w:val="001D396A"/>
    <w:rsid w:val="001D3F00"/>
    <w:rsid w:val="001D449D"/>
    <w:rsid w:val="001D79FC"/>
    <w:rsid w:val="001D7E74"/>
    <w:rsid w:val="001E071E"/>
    <w:rsid w:val="001E09C6"/>
    <w:rsid w:val="001E0E69"/>
    <w:rsid w:val="001E1222"/>
    <w:rsid w:val="001E2097"/>
    <w:rsid w:val="001E2255"/>
    <w:rsid w:val="001E22AB"/>
    <w:rsid w:val="001E24F6"/>
    <w:rsid w:val="001E2E16"/>
    <w:rsid w:val="001E2ED0"/>
    <w:rsid w:val="001E3410"/>
    <w:rsid w:val="001E3F8E"/>
    <w:rsid w:val="001E5080"/>
    <w:rsid w:val="001E51D4"/>
    <w:rsid w:val="001E5214"/>
    <w:rsid w:val="001E6A70"/>
    <w:rsid w:val="001E7A37"/>
    <w:rsid w:val="001F0669"/>
    <w:rsid w:val="001F0D2D"/>
    <w:rsid w:val="001F1002"/>
    <w:rsid w:val="001F1176"/>
    <w:rsid w:val="001F12A9"/>
    <w:rsid w:val="001F1315"/>
    <w:rsid w:val="001F1676"/>
    <w:rsid w:val="001F20DE"/>
    <w:rsid w:val="001F2177"/>
    <w:rsid w:val="001F2246"/>
    <w:rsid w:val="001F2E9A"/>
    <w:rsid w:val="001F3318"/>
    <w:rsid w:val="001F36BF"/>
    <w:rsid w:val="001F4103"/>
    <w:rsid w:val="001F4316"/>
    <w:rsid w:val="001F449F"/>
    <w:rsid w:val="001F4BAD"/>
    <w:rsid w:val="001F5182"/>
    <w:rsid w:val="001F5B0D"/>
    <w:rsid w:val="001F5C06"/>
    <w:rsid w:val="001F5D23"/>
    <w:rsid w:val="001F5FFC"/>
    <w:rsid w:val="001F617E"/>
    <w:rsid w:val="001F6295"/>
    <w:rsid w:val="001F63C4"/>
    <w:rsid w:val="001F6B93"/>
    <w:rsid w:val="001F6C73"/>
    <w:rsid w:val="001F72E4"/>
    <w:rsid w:val="001F75B1"/>
    <w:rsid w:val="00200199"/>
    <w:rsid w:val="002001F4"/>
    <w:rsid w:val="00200841"/>
    <w:rsid w:val="0020195F"/>
    <w:rsid w:val="00201DF1"/>
    <w:rsid w:val="002025E6"/>
    <w:rsid w:val="002025FC"/>
    <w:rsid w:val="00202E44"/>
    <w:rsid w:val="00203051"/>
    <w:rsid w:val="00204798"/>
    <w:rsid w:val="00205065"/>
    <w:rsid w:val="00205140"/>
    <w:rsid w:val="00205527"/>
    <w:rsid w:val="002058C5"/>
    <w:rsid w:val="0020593C"/>
    <w:rsid w:val="00205CDF"/>
    <w:rsid w:val="00206402"/>
    <w:rsid w:val="00206704"/>
    <w:rsid w:val="00206E97"/>
    <w:rsid w:val="0020727F"/>
    <w:rsid w:val="00207578"/>
    <w:rsid w:val="00207E8C"/>
    <w:rsid w:val="002104DF"/>
    <w:rsid w:val="00210762"/>
    <w:rsid w:val="00211C95"/>
    <w:rsid w:val="00211D8B"/>
    <w:rsid w:val="00212325"/>
    <w:rsid w:val="002123AF"/>
    <w:rsid w:val="002125FF"/>
    <w:rsid w:val="002127DA"/>
    <w:rsid w:val="00212CF0"/>
    <w:rsid w:val="00213693"/>
    <w:rsid w:val="002136F9"/>
    <w:rsid w:val="00213756"/>
    <w:rsid w:val="0021476B"/>
    <w:rsid w:val="0021563B"/>
    <w:rsid w:val="002163BD"/>
    <w:rsid w:val="0021647A"/>
    <w:rsid w:val="00216C95"/>
    <w:rsid w:val="0021730C"/>
    <w:rsid w:val="002175FC"/>
    <w:rsid w:val="00217B31"/>
    <w:rsid w:val="00220656"/>
    <w:rsid w:val="00220A05"/>
    <w:rsid w:val="00220A13"/>
    <w:rsid w:val="00220FCE"/>
    <w:rsid w:val="00220FF6"/>
    <w:rsid w:val="0022102A"/>
    <w:rsid w:val="0022113A"/>
    <w:rsid w:val="00221866"/>
    <w:rsid w:val="00221D71"/>
    <w:rsid w:val="00221E0F"/>
    <w:rsid w:val="00222043"/>
    <w:rsid w:val="002221BB"/>
    <w:rsid w:val="002225FF"/>
    <w:rsid w:val="00222AE5"/>
    <w:rsid w:val="00222BD4"/>
    <w:rsid w:val="00223099"/>
    <w:rsid w:val="00224A29"/>
    <w:rsid w:val="00224B66"/>
    <w:rsid w:val="00224D2B"/>
    <w:rsid w:val="00224D32"/>
    <w:rsid w:val="0022684A"/>
    <w:rsid w:val="002270CC"/>
    <w:rsid w:val="00227E1F"/>
    <w:rsid w:val="00227E95"/>
    <w:rsid w:val="0023080E"/>
    <w:rsid w:val="00230BBB"/>
    <w:rsid w:val="00230E78"/>
    <w:rsid w:val="0023181B"/>
    <w:rsid w:val="00231B3A"/>
    <w:rsid w:val="0023283D"/>
    <w:rsid w:val="00232ED5"/>
    <w:rsid w:val="00233204"/>
    <w:rsid w:val="00233256"/>
    <w:rsid w:val="00235171"/>
    <w:rsid w:val="00235E58"/>
    <w:rsid w:val="00235F2C"/>
    <w:rsid w:val="00236752"/>
    <w:rsid w:val="00237098"/>
    <w:rsid w:val="00237916"/>
    <w:rsid w:val="00237D7B"/>
    <w:rsid w:val="002402F8"/>
    <w:rsid w:val="00240320"/>
    <w:rsid w:val="002404ED"/>
    <w:rsid w:val="00241291"/>
    <w:rsid w:val="00241295"/>
    <w:rsid w:val="002418D1"/>
    <w:rsid w:val="00242F93"/>
    <w:rsid w:val="00243347"/>
    <w:rsid w:val="00243E9A"/>
    <w:rsid w:val="00243FE8"/>
    <w:rsid w:val="00244681"/>
    <w:rsid w:val="00244F0F"/>
    <w:rsid w:val="0024508F"/>
    <w:rsid w:val="0024523D"/>
    <w:rsid w:val="00245282"/>
    <w:rsid w:val="002453CE"/>
    <w:rsid w:val="00245C86"/>
    <w:rsid w:val="00245DAB"/>
    <w:rsid w:val="00246918"/>
    <w:rsid w:val="00246E8E"/>
    <w:rsid w:val="0024703B"/>
    <w:rsid w:val="00247064"/>
    <w:rsid w:val="0024733B"/>
    <w:rsid w:val="002474A9"/>
    <w:rsid w:val="00250295"/>
    <w:rsid w:val="002503D5"/>
    <w:rsid w:val="002509C7"/>
    <w:rsid w:val="00250A62"/>
    <w:rsid w:val="0025101D"/>
    <w:rsid w:val="002510B9"/>
    <w:rsid w:val="00251EFE"/>
    <w:rsid w:val="00252844"/>
    <w:rsid w:val="00252A6D"/>
    <w:rsid w:val="00252C96"/>
    <w:rsid w:val="00253241"/>
    <w:rsid w:val="00254561"/>
    <w:rsid w:val="00254658"/>
    <w:rsid w:val="00254726"/>
    <w:rsid w:val="0025551F"/>
    <w:rsid w:val="002557D8"/>
    <w:rsid w:val="002560A8"/>
    <w:rsid w:val="002570C6"/>
    <w:rsid w:val="00257247"/>
    <w:rsid w:val="00257370"/>
    <w:rsid w:val="00257456"/>
    <w:rsid w:val="00257B31"/>
    <w:rsid w:val="002600A0"/>
    <w:rsid w:val="002600F3"/>
    <w:rsid w:val="00260DD2"/>
    <w:rsid w:val="0026175E"/>
    <w:rsid w:val="00261887"/>
    <w:rsid w:val="00261F6F"/>
    <w:rsid w:val="002629E9"/>
    <w:rsid w:val="00262AB7"/>
    <w:rsid w:val="002637A0"/>
    <w:rsid w:val="002638D5"/>
    <w:rsid w:val="00263979"/>
    <w:rsid w:val="002639A8"/>
    <w:rsid w:val="00264596"/>
    <w:rsid w:val="00264C3E"/>
    <w:rsid w:val="00264D40"/>
    <w:rsid w:val="00265667"/>
    <w:rsid w:val="00265904"/>
    <w:rsid w:val="00265EE9"/>
    <w:rsid w:val="00265F89"/>
    <w:rsid w:val="00266693"/>
    <w:rsid w:val="00267717"/>
    <w:rsid w:val="0026794D"/>
    <w:rsid w:val="00267E88"/>
    <w:rsid w:val="00271936"/>
    <w:rsid w:val="00272BF1"/>
    <w:rsid w:val="002738D9"/>
    <w:rsid w:val="00273905"/>
    <w:rsid w:val="00273A16"/>
    <w:rsid w:val="00273D30"/>
    <w:rsid w:val="0027496B"/>
    <w:rsid w:val="00274F06"/>
    <w:rsid w:val="002754C5"/>
    <w:rsid w:val="0027572A"/>
    <w:rsid w:val="00275E05"/>
    <w:rsid w:val="00276AD0"/>
    <w:rsid w:val="00276DD8"/>
    <w:rsid w:val="00276DE2"/>
    <w:rsid w:val="00276E6A"/>
    <w:rsid w:val="00277754"/>
    <w:rsid w:val="00277A74"/>
    <w:rsid w:val="00277E68"/>
    <w:rsid w:val="00280550"/>
    <w:rsid w:val="002809C3"/>
    <w:rsid w:val="002809DE"/>
    <w:rsid w:val="00280C27"/>
    <w:rsid w:val="00280D22"/>
    <w:rsid w:val="00280F5D"/>
    <w:rsid w:val="00281903"/>
    <w:rsid w:val="00281B46"/>
    <w:rsid w:val="002825A9"/>
    <w:rsid w:val="00284A4F"/>
    <w:rsid w:val="00284C1A"/>
    <w:rsid w:val="00285E3A"/>
    <w:rsid w:val="00290461"/>
    <w:rsid w:val="002904F9"/>
    <w:rsid w:val="00290978"/>
    <w:rsid w:val="00290A7A"/>
    <w:rsid w:val="002924D6"/>
    <w:rsid w:val="002928DD"/>
    <w:rsid w:val="00293832"/>
    <w:rsid w:val="002944FC"/>
    <w:rsid w:val="00294AC0"/>
    <w:rsid w:val="00294FF0"/>
    <w:rsid w:val="00295075"/>
    <w:rsid w:val="00295B24"/>
    <w:rsid w:val="00295E49"/>
    <w:rsid w:val="002968E7"/>
    <w:rsid w:val="00296A93"/>
    <w:rsid w:val="00296C91"/>
    <w:rsid w:val="00296EC2"/>
    <w:rsid w:val="00296F51"/>
    <w:rsid w:val="002972C8"/>
    <w:rsid w:val="002975AD"/>
    <w:rsid w:val="00297988"/>
    <w:rsid w:val="002A0827"/>
    <w:rsid w:val="002A089D"/>
    <w:rsid w:val="002A0E09"/>
    <w:rsid w:val="002A16DF"/>
    <w:rsid w:val="002A2086"/>
    <w:rsid w:val="002A2106"/>
    <w:rsid w:val="002A2712"/>
    <w:rsid w:val="002A37AF"/>
    <w:rsid w:val="002A3E5B"/>
    <w:rsid w:val="002A403C"/>
    <w:rsid w:val="002A430A"/>
    <w:rsid w:val="002A43B8"/>
    <w:rsid w:val="002A49E3"/>
    <w:rsid w:val="002A4ECB"/>
    <w:rsid w:val="002A4FF0"/>
    <w:rsid w:val="002A52BB"/>
    <w:rsid w:val="002A5338"/>
    <w:rsid w:val="002A576F"/>
    <w:rsid w:val="002A58AE"/>
    <w:rsid w:val="002A58BC"/>
    <w:rsid w:val="002A5925"/>
    <w:rsid w:val="002A5CF4"/>
    <w:rsid w:val="002A5EB9"/>
    <w:rsid w:val="002A613E"/>
    <w:rsid w:val="002A66F8"/>
    <w:rsid w:val="002A7857"/>
    <w:rsid w:val="002A7A30"/>
    <w:rsid w:val="002A7FEA"/>
    <w:rsid w:val="002B048A"/>
    <w:rsid w:val="002B04F7"/>
    <w:rsid w:val="002B0691"/>
    <w:rsid w:val="002B09DF"/>
    <w:rsid w:val="002B24CF"/>
    <w:rsid w:val="002B2502"/>
    <w:rsid w:val="002B278A"/>
    <w:rsid w:val="002B2F49"/>
    <w:rsid w:val="002B3215"/>
    <w:rsid w:val="002B4D87"/>
    <w:rsid w:val="002B510B"/>
    <w:rsid w:val="002B59BA"/>
    <w:rsid w:val="002B66C6"/>
    <w:rsid w:val="002B6A55"/>
    <w:rsid w:val="002B742F"/>
    <w:rsid w:val="002B7906"/>
    <w:rsid w:val="002B7B9D"/>
    <w:rsid w:val="002B7F1A"/>
    <w:rsid w:val="002C093E"/>
    <w:rsid w:val="002C12FD"/>
    <w:rsid w:val="002C17A6"/>
    <w:rsid w:val="002C2B20"/>
    <w:rsid w:val="002C2BE5"/>
    <w:rsid w:val="002C3236"/>
    <w:rsid w:val="002C39AD"/>
    <w:rsid w:val="002C3B4C"/>
    <w:rsid w:val="002C4147"/>
    <w:rsid w:val="002C4671"/>
    <w:rsid w:val="002C4C33"/>
    <w:rsid w:val="002C516A"/>
    <w:rsid w:val="002C5AF7"/>
    <w:rsid w:val="002C5C4C"/>
    <w:rsid w:val="002C6A06"/>
    <w:rsid w:val="002C6BD0"/>
    <w:rsid w:val="002C7FE3"/>
    <w:rsid w:val="002D0EC1"/>
    <w:rsid w:val="002D0FA2"/>
    <w:rsid w:val="002D195D"/>
    <w:rsid w:val="002D1A95"/>
    <w:rsid w:val="002D1C71"/>
    <w:rsid w:val="002D22FE"/>
    <w:rsid w:val="002D26A9"/>
    <w:rsid w:val="002D2941"/>
    <w:rsid w:val="002D2AEC"/>
    <w:rsid w:val="002D2C29"/>
    <w:rsid w:val="002D2F31"/>
    <w:rsid w:val="002D3233"/>
    <w:rsid w:val="002D397B"/>
    <w:rsid w:val="002D4458"/>
    <w:rsid w:val="002D5119"/>
    <w:rsid w:val="002D5308"/>
    <w:rsid w:val="002D59BA"/>
    <w:rsid w:val="002D5F4A"/>
    <w:rsid w:val="002D6177"/>
    <w:rsid w:val="002D6275"/>
    <w:rsid w:val="002D681B"/>
    <w:rsid w:val="002D6D82"/>
    <w:rsid w:val="002D76FE"/>
    <w:rsid w:val="002D79AE"/>
    <w:rsid w:val="002D7C5D"/>
    <w:rsid w:val="002D7D54"/>
    <w:rsid w:val="002E0353"/>
    <w:rsid w:val="002E03D1"/>
    <w:rsid w:val="002E0916"/>
    <w:rsid w:val="002E09FB"/>
    <w:rsid w:val="002E13F9"/>
    <w:rsid w:val="002E14D4"/>
    <w:rsid w:val="002E1C81"/>
    <w:rsid w:val="002E2072"/>
    <w:rsid w:val="002E2131"/>
    <w:rsid w:val="002E38AC"/>
    <w:rsid w:val="002E45D3"/>
    <w:rsid w:val="002E5F16"/>
    <w:rsid w:val="002E6E2A"/>
    <w:rsid w:val="002E7048"/>
    <w:rsid w:val="002E7D68"/>
    <w:rsid w:val="002F0422"/>
    <w:rsid w:val="002F0A42"/>
    <w:rsid w:val="002F0E5F"/>
    <w:rsid w:val="002F13B9"/>
    <w:rsid w:val="002F1B83"/>
    <w:rsid w:val="002F31D0"/>
    <w:rsid w:val="002F3889"/>
    <w:rsid w:val="002F3A21"/>
    <w:rsid w:val="002F53DC"/>
    <w:rsid w:val="002F5620"/>
    <w:rsid w:val="002F5F11"/>
    <w:rsid w:val="002F6BAA"/>
    <w:rsid w:val="002F70CE"/>
    <w:rsid w:val="003004A9"/>
    <w:rsid w:val="00300861"/>
    <w:rsid w:val="003008CC"/>
    <w:rsid w:val="0030124C"/>
    <w:rsid w:val="003018DD"/>
    <w:rsid w:val="0030211C"/>
    <w:rsid w:val="003026E4"/>
    <w:rsid w:val="00302AC5"/>
    <w:rsid w:val="0030322C"/>
    <w:rsid w:val="003034B5"/>
    <w:rsid w:val="0030359B"/>
    <w:rsid w:val="0030385F"/>
    <w:rsid w:val="00304327"/>
    <w:rsid w:val="0030466D"/>
    <w:rsid w:val="0030467D"/>
    <w:rsid w:val="00304E92"/>
    <w:rsid w:val="00304EC6"/>
    <w:rsid w:val="00304EEB"/>
    <w:rsid w:val="003050CB"/>
    <w:rsid w:val="0030561F"/>
    <w:rsid w:val="00305699"/>
    <w:rsid w:val="003066DB"/>
    <w:rsid w:val="00306BD0"/>
    <w:rsid w:val="003075A6"/>
    <w:rsid w:val="00307669"/>
    <w:rsid w:val="00307B48"/>
    <w:rsid w:val="00310570"/>
    <w:rsid w:val="00310D78"/>
    <w:rsid w:val="0031183E"/>
    <w:rsid w:val="0031217F"/>
    <w:rsid w:val="003127F9"/>
    <w:rsid w:val="00312C74"/>
    <w:rsid w:val="003134C5"/>
    <w:rsid w:val="00314275"/>
    <w:rsid w:val="003144BF"/>
    <w:rsid w:val="00314BFC"/>
    <w:rsid w:val="00314E94"/>
    <w:rsid w:val="0031547E"/>
    <w:rsid w:val="0031553B"/>
    <w:rsid w:val="00315B3E"/>
    <w:rsid w:val="003165F8"/>
    <w:rsid w:val="00316720"/>
    <w:rsid w:val="00316D0B"/>
    <w:rsid w:val="00317264"/>
    <w:rsid w:val="0031739D"/>
    <w:rsid w:val="00317FA9"/>
    <w:rsid w:val="00320D30"/>
    <w:rsid w:val="00322D2C"/>
    <w:rsid w:val="00323759"/>
    <w:rsid w:val="003237B8"/>
    <w:rsid w:val="003238B8"/>
    <w:rsid w:val="00324830"/>
    <w:rsid w:val="00324F59"/>
    <w:rsid w:val="00324FEE"/>
    <w:rsid w:val="00325AF2"/>
    <w:rsid w:val="00325E29"/>
    <w:rsid w:val="003261EF"/>
    <w:rsid w:val="00326448"/>
    <w:rsid w:val="00326AA1"/>
    <w:rsid w:val="00326BEF"/>
    <w:rsid w:val="00327207"/>
    <w:rsid w:val="00327BCB"/>
    <w:rsid w:val="00327C88"/>
    <w:rsid w:val="00327CB4"/>
    <w:rsid w:val="003302DE"/>
    <w:rsid w:val="0033047C"/>
    <w:rsid w:val="003308ED"/>
    <w:rsid w:val="00330A65"/>
    <w:rsid w:val="00330D2E"/>
    <w:rsid w:val="00332077"/>
    <w:rsid w:val="003321B8"/>
    <w:rsid w:val="00332941"/>
    <w:rsid w:val="00333406"/>
    <w:rsid w:val="00333C05"/>
    <w:rsid w:val="00333D61"/>
    <w:rsid w:val="00333E4E"/>
    <w:rsid w:val="00333F39"/>
    <w:rsid w:val="00335BE7"/>
    <w:rsid w:val="003363A2"/>
    <w:rsid w:val="0033651F"/>
    <w:rsid w:val="00337799"/>
    <w:rsid w:val="003404E8"/>
    <w:rsid w:val="00340738"/>
    <w:rsid w:val="0034281C"/>
    <w:rsid w:val="00342A03"/>
    <w:rsid w:val="003435D7"/>
    <w:rsid w:val="00343613"/>
    <w:rsid w:val="003439EB"/>
    <w:rsid w:val="003447C2"/>
    <w:rsid w:val="00344BCB"/>
    <w:rsid w:val="0034503B"/>
    <w:rsid w:val="00345436"/>
    <w:rsid w:val="00347393"/>
    <w:rsid w:val="00347F37"/>
    <w:rsid w:val="00350928"/>
    <w:rsid w:val="0035098C"/>
    <w:rsid w:val="00350A9B"/>
    <w:rsid w:val="00350B08"/>
    <w:rsid w:val="003516AF"/>
    <w:rsid w:val="00351A20"/>
    <w:rsid w:val="00351B78"/>
    <w:rsid w:val="00351CF2"/>
    <w:rsid w:val="003521E7"/>
    <w:rsid w:val="0035268A"/>
    <w:rsid w:val="00352F48"/>
    <w:rsid w:val="00353061"/>
    <w:rsid w:val="003532ED"/>
    <w:rsid w:val="00353797"/>
    <w:rsid w:val="003539CB"/>
    <w:rsid w:val="00353C95"/>
    <w:rsid w:val="00354516"/>
    <w:rsid w:val="003549B2"/>
    <w:rsid w:val="00355DBA"/>
    <w:rsid w:val="003567A9"/>
    <w:rsid w:val="0035692E"/>
    <w:rsid w:val="0035694E"/>
    <w:rsid w:val="00356A72"/>
    <w:rsid w:val="00356F2A"/>
    <w:rsid w:val="00357C4C"/>
    <w:rsid w:val="00357F86"/>
    <w:rsid w:val="00360121"/>
    <w:rsid w:val="0036051A"/>
    <w:rsid w:val="0036051C"/>
    <w:rsid w:val="0036060E"/>
    <w:rsid w:val="00360DBD"/>
    <w:rsid w:val="00360F1B"/>
    <w:rsid w:val="00361C97"/>
    <w:rsid w:val="00362733"/>
    <w:rsid w:val="00362819"/>
    <w:rsid w:val="00362A7A"/>
    <w:rsid w:val="00362F71"/>
    <w:rsid w:val="0036335D"/>
    <w:rsid w:val="0036355D"/>
    <w:rsid w:val="00363E48"/>
    <w:rsid w:val="003649E2"/>
    <w:rsid w:val="00364F0E"/>
    <w:rsid w:val="0036576E"/>
    <w:rsid w:val="00365940"/>
    <w:rsid w:val="00366A52"/>
    <w:rsid w:val="00366D32"/>
    <w:rsid w:val="00366D92"/>
    <w:rsid w:val="00367D09"/>
    <w:rsid w:val="00370373"/>
    <w:rsid w:val="00371CBD"/>
    <w:rsid w:val="00372280"/>
    <w:rsid w:val="0037273B"/>
    <w:rsid w:val="0037274D"/>
    <w:rsid w:val="00372F45"/>
    <w:rsid w:val="00373324"/>
    <w:rsid w:val="0037349B"/>
    <w:rsid w:val="003742CE"/>
    <w:rsid w:val="00374661"/>
    <w:rsid w:val="00374B22"/>
    <w:rsid w:val="00375191"/>
    <w:rsid w:val="00375AD9"/>
    <w:rsid w:val="00376753"/>
    <w:rsid w:val="00376888"/>
    <w:rsid w:val="003770BC"/>
    <w:rsid w:val="00377186"/>
    <w:rsid w:val="00377A7F"/>
    <w:rsid w:val="00377C9B"/>
    <w:rsid w:val="0038013D"/>
    <w:rsid w:val="00380792"/>
    <w:rsid w:val="003809F1"/>
    <w:rsid w:val="00380B81"/>
    <w:rsid w:val="00380F2A"/>
    <w:rsid w:val="00380FBC"/>
    <w:rsid w:val="00381771"/>
    <w:rsid w:val="00381C35"/>
    <w:rsid w:val="00381D3F"/>
    <w:rsid w:val="00381EA6"/>
    <w:rsid w:val="00382A83"/>
    <w:rsid w:val="00382D84"/>
    <w:rsid w:val="00382E85"/>
    <w:rsid w:val="00384606"/>
    <w:rsid w:val="003848D5"/>
    <w:rsid w:val="00384EEA"/>
    <w:rsid w:val="003854C5"/>
    <w:rsid w:val="00385F38"/>
    <w:rsid w:val="0038614C"/>
    <w:rsid w:val="00387765"/>
    <w:rsid w:val="003877C6"/>
    <w:rsid w:val="00387FA6"/>
    <w:rsid w:val="00390B28"/>
    <w:rsid w:val="00390BCF"/>
    <w:rsid w:val="00390D66"/>
    <w:rsid w:val="00391254"/>
    <w:rsid w:val="0039209E"/>
    <w:rsid w:val="003925BC"/>
    <w:rsid w:val="003928E8"/>
    <w:rsid w:val="00392D85"/>
    <w:rsid w:val="0039312F"/>
    <w:rsid w:val="00393363"/>
    <w:rsid w:val="0039345F"/>
    <w:rsid w:val="00393E65"/>
    <w:rsid w:val="00394518"/>
    <w:rsid w:val="00394AAD"/>
    <w:rsid w:val="00394D59"/>
    <w:rsid w:val="00394E4E"/>
    <w:rsid w:val="0039546D"/>
    <w:rsid w:val="00395912"/>
    <w:rsid w:val="00395BD5"/>
    <w:rsid w:val="003965F0"/>
    <w:rsid w:val="003968F4"/>
    <w:rsid w:val="00396B16"/>
    <w:rsid w:val="00396B78"/>
    <w:rsid w:val="00396B79"/>
    <w:rsid w:val="00397460"/>
    <w:rsid w:val="003974D7"/>
    <w:rsid w:val="003975D1"/>
    <w:rsid w:val="003978EE"/>
    <w:rsid w:val="00397CA2"/>
    <w:rsid w:val="003A31C0"/>
    <w:rsid w:val="003A365B"/>
    <w:rsid w:val="003A4E0C"/>
    <w:rsid w:val="003A6200"/>
    <w:rsid w:val="003A642C"/>
    <w:rsid w:val="003A7204"/>
    <w:rsid w:val="003A734B"/>
    <w:rsid w:val="003A745A"/>
    <w:rsid w:val="003B0041"/>
    <w:rsid w:val="003B0199"/>
    <w:rsid w:val="003B0595"/>
    <w:rsid w:val="003B073D"/>
    <w:rsid w:val="003B08BD"/>
    <w:rsid w:val="003B1CCA"/>
    <w:rsid w:val="003B1F67"/>
    <w:rsid w:val="003B1F6E"/>
    <w:rsid w:val="003B246C"/>
    <w:rsid w:val="003B251F"/>
    <w:rsid w:val="003B2A02"/>
    <w:rsid w:val="003B3A02"/>
    <w:rsid w:val="003B46F4"/>
    <w:rsid w:val="003B6AA6"/>
    <w:rsid w:val="003B751E"/>
    <w:rsid w:val="003C052F"/>
    <w:rsid w:val="003C0686"/>
    <w:rsid w:val="003C0C39"/>
    <w:rsid w:val="003C122B"/>
    <w:rsid w:val="003C19D3"/>
    <w:rsid w:val="003C1B59"/>
    <w:rsid w:val="003C25BC"/>
    <w:rsid w:val="003C2893"/>
    <w:rsid w:val="003C31AD"/>
    <w:rsid w:val="003C3858"/>
    <w:rsid w:val="003C38EB"/>
    <w:rsid w:val="003C4434"/>
    <w:rsid w:val="003C4FB7"/>
    <w:rsid w:val="003C5DAE"/>
    <w:rsid w:val="003C6332"/>
    <w:rsid w:val="003C64E0"/>
    <w:rsid w:val="003C65A9"/>
    <w:rsid w:val="003C67D0"/>
    <w:rsid w:val="003C6D44"/>
    <w:rsid w:val="003C6D7E"/>
    <w:rsid w:val="003C6FC1"/>
    <w:rsid w:val="003C748F"/>
    <w:rsid w:val="003C77C8"/>
    <w:rsid w:val="003D0006"/>
    <w:rsid w:val="003D0103"/>
    <w:rsid w:val="003D01AA"/>
    <w:rsid w:val="003D03E4"/>
    <w:rsid w:val="003D0861"/>
    <w:rsid w:val="003D1783"/>
    <w:rsid w:val="003D19E3"/>
    <w:rsid w:val="003D1D95"/>
    <w:rsid w:val="003D35F0"/>
    <w:rsid w:val="003D3B7F"/>
    <w:rsid w:val="003D4196"/>
    <w:rsid w:val="003D4A94"/>
    <w:rsid w:val="003D5412"/>
    <w:rsid w:val="003D5556"/>
    <w:rsid w:val="003D6535"/>
    <w:rsid w:val="003D6B22"/>
    <w:rsid w:val="003D71C3"/>
    <w:rsid w:val="003D77A3"/>
    <w:rsid w:val="003D7CDA"/>
    <w:rsid w:val="003E0204"/>
    <w:rsid w:val="003E165E"/>
    <w:rsid w:val="003E175E"/>
    <w:rsid w:val="003E17CC"/>
    <w:rsid w:val="003E1DC9"/>
    <w:rsid w:val="003E227A"/>
    <w:rsid w:val="003E2C38"/>
    <w:rsid w:val="003E3484"/>
    <w:rsid w:val="003E3929"/>
    <w:rsid w:val="003E3B29"/>
    <w:rsid w:val="003E438E"/>
    <w:rsid w:val="003E49C2"/>
    <w:rsid w:val="003E4A16"/>
    <w:rsid w:val="003E4CE4"/>
    <w:rsid w:val="003E5EDE"/>
    <w:rsid w:val="003E6140"/>
    <w:rsid w:val="003E6DF2"/>
    <w:rsid w:val="003E7268"/>
    <w:rsid w:val="003E72B3"/>
    <w:rsid w:val="003E79C4"/>
    <w:rsid w:val="003E7F92"/>
    <w:rsid w:val="003F066E"/>
    <w:rsid w:val="003F103D"/>
    <w:rsid w:val="003F10EB"/>
    <w:rsid w:val="003F1EA7"/>
    <w:rsid w:val="003F24FC"/>
    <w:rsid w:val="003F2DF6"/>
    <w:rsid w:val="003F3237"/>
    <w:rsid w:val="003F386B"/>
    <w:rsid w:val="003F3F70"/>
    <w:rsid w:val="003F4258"/>
    <w:rsid w:val="003F436F"/>
    <w:rsid w:val="003F52A5"/>
    <w:rsid w:val="003F6C93"/>
    <w:rsid w:val="003F703E"/>
    <w:rsid w:val="003F70AE"/>
    <w:rsid w:val="00401277"/>
    <w:rsid w:val="004014CF"/>
    <w:rsid w:val="004014DA"/>
    <w:rsid w:val="00401D18"/>
    <w:rsid w:val="004021B7"/>
    <w:rsid w:val="00402F2A"/>
    <w:rsid w:val="00403D66"/>
    <w:rsid w:val="00404322"/>
    <w:rsid w:val="004044D3"/>
    <w:rsid w:val="00404883"/>
    <w:rsid w:val="004049EE"/>
    <w:rsid w:val="00404AED"/>
    <w:rsid w:val="00405031"/>
    <w:rsid w:val="004066C4"/>
    <w:rsid w:val="0040696D"/>
    <w:rsid w:val="00406CB2"/>
    <w:rsid w:val="00406E40"/>
    <w:rsid w:val="00406E79"/>
    <w:rsid w:val="00407615"/>
    <w:rsid w:val="004114CF"/>
    <w:rsid w:val="0041242E"/>
    <w:rsid w:val="00413737"/>
    <w:rsid w:val="00413789"/>
    <w:rsid w:val="00413BB1"/>
    <w:rsid w:val="00414559"/>
    <w:rsid w:val="00414693"/>
    <w:rsid w:val="00415855"/>
    <w:rsid w:val="00415A29"/>
    <w:rsid w:val="00415ECE"/>
    <w:rsid w:val="0041649F"/>
    <w:rsid w:val="004166A1"/>
    <w:rsid w:val="00416DF5"/>
    <w:rsid w:val="00416EEB"/>
    <w:rsid w:val="00417525"/>
    <w:rsid w:val="0041794D"/>
    <w:rsid w:val="004179FA"/>
    <w:rsid w:val="00417F47"/>
    <w:rsid w:val="00420ABD"/>
    <w:rsid w:val="00420AE1"/>
    <w:rsid w:val="00420ED1"/>
    <w:rsid w:val="00421100"/>
    <w:rsid w:val="0042132B"/>
    <w:rsid w:val="004221BE"/>
    <w:rsid w:val="00422B87"/>
    <w:rsid w:val="00423355"/>
    <w:rsid w:val="00423BDD"/>
    <w:rsid w:val="0042478A"/>
    <w:rsid w:val="00424C12"/>
    <w:rsid w:val="00424CD7"/>
    <w:rsid w:val="00425100"/>
    <w:rsid w:val="004251C4"/>
    <w:rsid w:val="00425388"/>
    <w:rsid w:val="00425456"/>
    <w:rsid w:val="00425C9E"/>
    <w:rsid w:val="00426C40"/>
    <w:rsid w:val="0042766B"/>
    <w:rsid w:val="00427915"/>
    <w:rsid w:val="004300B0"/>
    <w:rsid w:val="00430D34"/>
    <w:rsid w:val="00430FB3"/>
    <w:rsid w:val="00430FDD"/>
    <w:rsid w:val="00431E52"/>
    <w:rsid w:val="00431F25"/>
    <w:rsid w:val="0043447D"/>
    <w:rsid w:val="00434859"/>
    <w:rsid w:val="004349C5"/>
    <w:rsid w:val="00434B65"/>
    <w:rsid w:val="00434E13"/>
    <w:rsid w:val="004356B9"/>
    <w:rsid w:val="0043586F"/>
    <w:rsid w:val="00435AD4"/>
    <w:rsid w:val="00435BC4"/>
    <w:rsid w:val="00435CE7"/>
    <w:rsid w:val="0043628B"/>
    <w:rsid w:val="00436B07"/>
    <w:rsid w:val="00436DB2"/>
    <w:rsid w:val="00436E4A"/>
    <w:rsid w:val="00436EC5"/>
    <w:rsid w:val="00436F02"/>
    <w:rsid w:val="0043748A"/>
    <w:rsid w:val="0043797E"/>
    <w:rsid w:val="00441B68"/>
    <w:rsid w:val="004420F4"/>
    <w:rsid w:val="0044216D"/>
    <w:rsid w:val="004424AE"/>
    <w:rsid w:val="00442950"/>
    <w:rsid w:val="00444071"/>
    <w:rsid w:val="004459E9"/>
    <w:rsid w:val="00445CE4"/>
    <w:rsid w:val="00445E84"/>
    <w:rsid w:val="00446449"/>
    <w:rsid w:val="004466F8"/>
    <w:rsid w:val="00446EAE"/>
    <w:rsid w:val="00447442"/>
    <w:rsid w:val="004522A5"/>
    <w:rsid w:val="0045238B"/>
    <w:rsid w:val="004528A2"/>
    <w:rsid w:val="004528EC"/>
    <w:rsid w:val="00452D6B"/>
    <w:rsid w:val="00452E19"/>
    <w:rsid w:val="0045344F"/>
    <w:rsid w:val="0045387F"/>
    <w:rsid w:val="00453F3F"/>
    <w:rsid w:val="00454513"/>
    <w:rsid w:val="004553F5"/>
    <w:rsid w:val="00455CD0"/>
    <w:rsid w:val="00455D12"/>
    <w:rsid w:val="00456394"/>
    <w:rsid w:val="00456B1C"/>
    <w:rsid w:val="00457856"/>
    <w:rsid w:val="004615B3"/>
    <w:rsid w:val="00461A1B"/>
    <w:rsid w:val="00461A2A"/>
    <w:rsid w:val="00461B97"/>
    <w:rsid w:val="00461CCC"/>
    <w:rsid w:val="004631E6"/>
    <w:rsid w:val="0046371D"/>
    <w:rsid w:val="00463A6B"/>
    <w:rsid w:val="00464452"/>
    <w:rsid w:val="00464655"/>
    <w:rsid w:val="00465170"/>
    <w:rsid w:val="0046546E"/>
    <w:rsid w:val="00465E67"/>
    <w:rsid w:val="00465F7F"/>
    <w:rsid w:val="00466D21"/>
    <w:rsid w:val="00466F2E"/>
    <w:rsid w:val="00467BE7"/>
    <w:rsid w:val="00470175"/>
    <w:rsid w:val="00470224"/>
    <w:rsid w:val="00470C10"/>
    <w:rsid w:val="00471FFC"/>
    <w:rsid w:val="0047355B"/>
    <w:rsid w:val="00473FA2"/>
    <w:rsid w:val="00473FEB"/>
    <w:rsid w:val="004741E3"/>
    <w:rsid w:val="004743A5"/>
    <w:rsid w:val="00474680"/>
    <w:rsid w:val="00474C69"/>
    <w:rsid w:val="0047595E"/>
    <w:rsid w:val="00475C29"/>
    <w:rsid w:val="00475F98"/>
    <w:rsid w:val="00476342"/>
    <w:rsid w:val="004771A8"/>
    <w:rsid w:val="00477F06"/>
    <w:rsid w:val="00477F68"/>
    <w:rsid w:val="004801FE"/>
    <w:rsid w:val="00480211"/>
    <w:rsid w:val="004802E9"/>
    <w:rsid w:val="00480386"/>
    <w:rsid w:val="004807B6"/>
    <w:rsid w:val="00480A0F"/>
    <w:rsid w:val="00480AD9"/>
    <w:rsid w:val="00480EF8"/>
    <w:rsid w:val="004818E5"/>
    <w:rsid w:val="00481A24"/>
    <w:rsid w:val="00481E00"/>
    <w:rsid w:val="00482A70"/>
    <w:rsid w:val="00482EC8"/>
    <w:rsid w:val="00482F40"/>
    <w:rsid w:val="0048309F"/>
    <w:rsid w:val="0048328F"/>
    <w:rsid w:val="0048351C"/>
    <w:rsid w:val="00483C08"/>
    <w:rsid w:val="00483D39"/>
    <w:rsid w:val="00484368"/>
    <w:rsid w:val="0048532F"/>
    <w:rsid w:val="00485971"/>
    <w:rsid w:val="00486468"/>
    <w:rsid w:val="00487E75"/>
    <w:rsid w:val="00490056"/>
    <w:rsid w:val="00490717"/>
    <w:rsid w:val="00490A09"/>
    <w:rsid w:val="004913F9"/>
    <w:rsid w:val="00491E04"/>
    <w:rsid w:val="004927A0"/>
    <w:rsid w:val="00493CA1"/>
    <w:rsid w:val="00493D9F"/>
    <w:rsid w:val="00494362"/>
    <w:rsid w:val="00494673"/>
    <w:rsid w:val="004947F8"/>
    <w:rsid w:val="00494E6D"/>
    <w:rsid w:val="00495462"/>
    <w:rsid w:val="00495E5F"/>
    <w:rsid w:val="00495FFE"/>
    <w:rsid w:val="004965F1"/>
    <w:rsid w:val="00497105"/>
    <w:rsid w:val="004976EF"/>
    <w:rsid w:val="00497EEF"/>
    <w:rsid w:val="00497F31"/>
    <w:rsid w:val="004A000A"/>
    <w:rsid w:val="004A02B4"/>
    <w:rsid w:val="004A091C"/>
    <w:rsid w:val="004A12D2"/>
    <w:rsid w:val="004A2573"/>
    <w:rsid w:val="004A28E3"/>
    <w:rsid w:val="004A2BBA"/>
    <w:rsid w:val="004A36C3"/>
    <w:rsid w:val="004A392E"/>
    <w:rsid w:val="004A3A39"/>
    <w:rsid w:val="004A3BD8"/>
    <w:rsid w:val="004A439E"/>
    <w:rsid w:val="004A464A"/>
    <w:rsid w:val="004A470F"/>
    <w:rsid w:val="004A4887"/>
    <w:rsid w:val="004A494E"/>
    <w:rsid w:val="004A4A9D"/>
    <w:rsid w:val="004A5164"/>
    <w:rsid w:val="004A56D1"/>
    <w:rsid w:val="004A577D"/>
    <w:rsid w:val="004A62BD"/>
    <w:rsid w:val="004A661E"/>
    <w:rsid w:val="004A66B1"/>
    <w:rsid w:val="004A6943"/>
    <w:rsid w:val="004A6BF7"/>
    <w:rsid w:val="004A6E6D"/>
    <w:rsid w:val="004A766F"/>
    <w:rsid w:val="004A77EC"/>
    <w:rsid w:val="004A7826"/>
    <w:rsid w:val="004A7960"/>
    <w:rsid w:val="004A7E1C"/>
    <w:rsid w:val="004B0B4B"/>
    <w:rsid w:val="004B0E7C"/>
    <w:rsid w:val="004B1879"/>
    <w:rsid w:val="004B1AEA"/>
    <w:rsid w:val="004B1D62"/>
    <w:rsid w:val="004B2221"/>
    <w:rsid w:val="004B22AE"/>
    <w:rsid w:val="004B2434"/>
    <w:rsid w:val="004B2751"/>
    <w:rsid w:val="004B2BF5"/>
    <w:rsid w:val="004B2D15"/>
    <w:rsid w:val="004B2E8C"/>
    <w:rsid w:val="004B3435"/>
    <w:rsid w:val="004B3475"/>
    <w:rsid w:val="004B360E"/>
    <w:rsid w:val="004B43A2"/>
    <w:rsid w:val="004B48FF"/>
    <w:rsid w:val="004B513F"/>
    <w:rsid w:val="004B5A07"/>
    <w:rsid w:val="004B5AAC"/>
    <w:rsid w:val="004B660C"/>
    <w:rsid w:val="004B6CCA"/>
    <w:rsid w:val="004B6F92"/>
    <w:rsid w:val="004B7B92"/>
    <w:rsid w:val="004B7D8C"/>
    <w:rsid w:val="004B7E25"/>
    <w:rsid w:val="004C0027"/>
    <w:rsid w:val="004C017F"/>
    <w:rsid w:val="004C1669"/>
    <w:rsid w:val="004C195D"/>
    <w:rsid w:val="004C1968"/>
    <w:rsid w:val="004C1BE0"/>
    <w:rsid w:val="004C2161"/>
    <w:rsid w:val="004C219E"/>
    <w:rsid w:val="004C24B1"/>
    <w:rsid w:val="004C2AEA"/>
    <w:rsid w:val="004C2D31"/>
    <w:rsid w:val="004C4277"/>
    <w:rsid w:val="004C45B7"/>
    <w:rsid w:val="004C45E1"/>
    <w:rsid w:val="004C4F2C"/>
    <w:rsid w:val="004C51D5"/>
    <w:rsid w:val="004C670E"/>
    <w:rsid w:val="004C6FBA"/>
    <w:rsid w:val="004C7BCE"/>
    <w:rsid w:val="004C7F4F"/>
    <w:rsid w:val="004D0ABF"/>
    <w:rsid w:val="004D1538"/>
    <w:rsid w:val="004D2F04"/>
    <w:rsid w:val="004D34BC"/>
    <w:rsid w:val="004D35DB"/>
    <w:rsid w:val="004D38E8"/>
    <w:rsid w:val="004D46C8"/>
    <w:rsid w:val="004D559C"/>
    <w:rsid w:val="004D589A"/>
    <w:rsid w:val="004D5F88"/>
    <w:rsid w:val="004D63F6"/>
    <w:rsid w:val="004D67A3"/>
    <w:rsid w:val="004D6C05"/>
    <w:rsid w:val="004D6E50"/>
    <w:rsid w:val="004D736C"/>
    <w:rsid w:val="004D7566"/>
    <w:rsid w:val="004E03DD"/>
    <w:rsid w:val="004E08E9"/>
    <w:rsid w:val="004E105E"/>
    <w:rsid w:val="004E12F0"/>
    <w:rsid w:val="004E1958"/>
    <w:rsid w:val="004E19DB"/>
    <w:rsid w:val="004E20B1"/>
    <w:rsid w:val="004E21CD"/>
    <w:rsid w:val="004E2566"/>
    <w:rsid w:val="004E2AAA"/>
    <w:rsid w:val="004E2D33"/>
    <w:rsid w:val="004E2F86"/>
    <w:rsid w:val="004E32C5"/>
    <w:rsid w:val="004E40D0"/>
    <w:rsid w:val="004E48C2"/>
    <w:rsid w:val="004E4BF3"/>
    <w:rsid w:val="004E5319"/>
    <w:rsid w:val="004E5998"/>
    <w:rsid w:val="004E680A"/>
    <w:rsid w:val="004E6C4B"/>
    <w:rsid w:val="004E78D7"/>
    <w:rsid w:val="004E7E06"/>
    <w:rsid w:val="004E7F15"/>
    <w:rsid w:val="004F0103"/>
    <w:rsid w:val="004F0115"/>
    <w:rsid w:val="004F0130"/>
    <w:rsid w:val="004F01C3"/>
    <w:rsid w:val="004F022B"/>
    <w:rsid w:val="004F0961"/>
    <w:rsid w:val="004F0D9D"/>
    <w:rsid w:val="004F141F"/>
    <w:rsid w:val="004F2E28"/>
    <w:rsid w:val="004F3251"/>
    <w:rsid w:val="004F3580"/>
    <w:rsid w:val="004F3797"/>
    <w:rsid w:val="004F38F8"/>
    <w:rsid w:val="004F3F5D"/>
    <w:rsid w:val="004F43D7"/>
    <w:rsid w:val="004F5676"/>
    <w:rsid w:val="004F56A6"/>
    <w:rsid w:val="004F59A2"/>
    <w:rsid w:val="004F59B6"/>
    <w:rsid w:val="004F5A46"/>
    <w:rsid w:val="004F6C97"/>
    <w:rsid w:val="004F6E5D"/>
    <w:rsid w:val="004F7750"/>
    <w:rsid w:val="004F77CE"/>
    <w:rsid w:val="004F7878"/>
    <w:rsid w:val="0050039D"/>
    <w:rsid w:val="00500AAA"/>
    <w:rsid w:val="00500B40"/>
    <w:rsid w:val="00501133"/>
    <w:rsid w:val="005014D9"/>
    <w:rsid w:val="005016BA"/>
    <w:rsid w:val="005019B2"/>
    <w:rsid w:val="00501CD3"/>
    <w:rsid w:val="00502748"/>
    <w:rsid w:val="00502B06"/>
    <w:rsid w:val="00502CF9"/>
    <w:rsid w:val="0050325E"/>
    <w:rsid w:val="005035E4"/>
    <w:rsid w:val="0050379D"/>
    <w:rsid w:val="0050427D"/>
    <w:rsid w:val="00504CD8"/>
    <w:rsid w:val="00504DE2"/>
    <w:rsid w:val="005056FC"/>
    <w:rsid w:val="00505E4D"/>
    <w:rsid w:val="00505E9D"/>
    <w:rsid w:val="0050667A"/>
    <w:rsid w:val="0050716A"/>
    <w:rsid w:val="005074D1"/>
    <w:rsid w:val="0051017C"/>
    <w:rsid w:val="00510BA6"/>
    <w:rsid w:val="005114C6"/>
    <w:rsid w:val="005116FC"/>
    <w:rsid w:val="005117F9"/>
    <w:rsid w:val="00511DB1"/>
    <w:rsid w:val="0051251C"/>
    <w:rsid w:val="00512946"/>
    <w:rsid w:val="00513132"/>
    <w:rsid w:val="0051379F"/>
    <w:rsid w:val="0051490A"/>
    <w:rsid w:val="00514C90"/>
    <w:rsid w:val="00515FD3"/>
    <w:rsid w:val="005162F6"/>
    <w:rsid w:val="005164F1"/>
    <w:rsid w:val="005168D0"/>
    <w:rsid w:val="00516FD0"/>
    <w:rsid w:val="00517395"/>
    <w:rsid w:val="00517AAC"/>
    <w:rsid w:val="00517F0A"/>
    <w:rsid w:val="005200BE"/>
    <w:rsid w:val="00520246"/>
    <w:rsid w:val="00521EEE"/>
    <w:rsid w:val="005220EF"/>
    <w:rsid w:val="0052230F"/>
    <w:rsid w:val="0052287C"/>
    <w:rsid w:val="00523B73"/>
    <w:rsid w:val="005240BD"/>
    <w:rsid w:val="00524853"/>
    <w:rsid w:val="00524D73"/>
    <w:rsid w:val="00526132"/>
    <w:rsid w:val="00526E09"/>
    <w:rsid w:val="005301C9"/>
    <w:rsid w:val="00530362"/>
    <w:rsid w:val="00530D4D"/>
    <w:rsid w:val="00531922"/>
    <w:rsid w:val="00531960"/>
    <w:rsid w:val="00531C08"/>
    <w:rsid w:val="00531D45"/>
    <w:rsid w:val="0053218E"/>
    <w:rsid w:val="0053296E"/>
    <w:rsid w:val="00532DD7"/>
    <w:rsid w:val="00532FD3"/>
    <w:rsid w:val="00533D21"/>
    <w:rsid w:val="00533F8F"/>
    <w:rsid w:val="0053445E"/>
    <w:rsid w:val="0053585E"/>
    <w:rsid w:val="00536862"/>
    <w:rsid w:val="005368E0"/>
    <w:rsid w:val="00536AFB"/>
    <w:rsid w:val="00536D9A"/>
    <w:rsid w:val="00537037"/>
    <w:rsid w:val="005370C4"/>
    <w:rsid w:val="0053731F"/>
    <w:rsid w:val="0053755F"/>
    <w:rsid w:val="00537DC6"/>
    <w:rsid w:val="00537EF0"/>
    <w:rsid w:val="0054057D"/>
    <w:rsid w:val="005408CE"/>
    <w:rsid w:val="00540C3A"/>
    <w:rsid w:val="005419E6"/>
    <w:rsid w:val="00542189"/>
    <w:rsid w:val="005423EE"/>
    <w:rsid w:val="00542721"/>
    <w:rsid w:val="005432C7"/>
    <w:rsid w:val="005444BC"/>
    <w:rsid w:val="0054463B"/>
    <w:rsid w:val="005447BC"/>
    <w:rsid w:val="00544945"/>
    <w:rsid w:val="005454AD"/>
    <w:rsid w:val="0054694F"/>
    <w:rsid w:val="0054696E"/>
    <w:rsid w:val="00546998"/>
    <w:rsid w:val="0054699A"/>
    <w:rsid w:val="00547022"/>
    <w:rsid w:val="00547D79"/>
    <w:rsid w:val="00547E9E"/>
    <w:rsid w:val="005500AD"/>
    <w:rsid w:val="005504A5"/>
    <w:rsid w:val="00550975"/>
    <w:rsid w:val="00550C7D"/>
    <w:rsid w:val="0055117D"/>
    <w:rsid w:val="00551727"/>
    <w:rsid w:val="00552109"/>
    <w:rsid w:val="005531F6"/>
    <w:rsid w:val="005536D8"/>
    <w:rsid w:val="005538B9"/>
    <w:rsid w:val="00553D52"/>
    <w:rsid w:val="00553F8C"/>
    <w:rsid w:val="00554095"/>
    <w:rsid w:val="00555385"/>
    <w:rsid w:val="00555792"/>
    <w:rsid w:val="005568FA"/>
    <w:rsid w:val="005569FD"/>
    <w:rsid w:val="00556C59"/>
    <w:rsid w:val="00556E70"/>
    <w:rsid w:val="00557C19"/>
    <w:rsid w:val="00557E7B"/>
    <w:rsid w:val="00560F86"/>
    <w:rsid w:val="005610B6"/>
    <w:rsid w:val="00561B12"/>
    <w:rsid w:val="005621B3"/>
    <w:rsid w:val="005625A8"/>
    <w:rsid w:val="00562840"/>
    <w:rsid w:val="00562D27"/>
    <w:rsid w:val="00563153"/>
    <w:rsid w:val="005634E5"/>
    <w:rsid w:val="005636A6"/>
    <w:rsid w:val="005637C6"/>
    <w:rsid w:val="00563D4A"/>
    <w:rsid w:val="00564223"/>
    <w:rsid w:val="00565022"/>
    <w:rsid w:val="00565CC2"/>
    <w:rsid w:val="005668BF"/>
    <w:rsid w:val="00567052"/>
    <w:rsid w:val="00567095"/>
    <w:rsid w:val="00567113"/>
    <w:rsid w:val="00567491"/>
    <w:rsid w:val="00567D24"/>
    <w:rsid w:val="00567EB0"/>
    <w:rsid w:val="00570227"/>
    <w:rsid w:val="00570660"/>
    <w:rsid w:val="0057113A"/>
    <w:rsid w:val="00572427"/>
    <w:rsid w:val="00572710"/>
    <w:rsid w:val="0057299D"/>
    <w:rsid w:val="00572AD1"/>
    <w:rsid w:val="00572CB3"/>
    <w:rsid w:val="00572CF0"/>
    <w:rsid w:val="00572D84"/>
    <w:rsid w:val="005740C2"/>
    <w:rsid w:val="005748BE"/>
    <w:rsid w:val="00574BB0"/>
    <w:rsid w:val="00576861"/>
    <w:rsid w:val="00577A51"/>
    <w:rsid w:val="00577E4C"/>
    <w:rsid w:val="00577EEE"/>
    <w:rsid w:val="00577F55"/>
    <w:rsid w:val="0058078A"/>
    <w:rsid w:val="00580C36"/>
    <w:rsid w:val="00580D94"/>
    <w:rsid w:val="005810AB"/>
    <w:rsid w:val="005811ED"/>
    <w:rsid w:val="00581653"/>
    <w:rsid w:val="00581751"/>
    <w:rsid w:val="0058198E"/>
    <w:rsid w:val="00582066"/>
    <w:rsid w:val="00582231"/>
    <w:rsid w:val="00582B3D"/>
    <w:rsid w:val="0058315F"/>
    <w:rsid w:val="0058348D"/>
    <w:rsid w:val="005837A6"/>
    <w:rsid w:val="00583C70"/>
    <w:rsid w:val="00583F12"/>
    <w:rsid w:val="005857AE"/>
    <w:rsid w:val="00585D37"/>
    <w:rsid w:val="00586470"/>
    <w:rsid w:val="0058707F"/>
    <w:rsid w:val="00587119"/>
    <w:rsid w:val="005879AA"/>
    <w:rsid w:val="00590081"/>
    <w:rsid w:val="005901E2"/>
    <w:rsid w:val="0059045D"/>
    <w:rsid w:val="00590D72"/>
    <w:rsid w:val="00591915"/>
    <w:rsid w:val="00591D7F"/>
    <w:rsid w:val="00592039"/>
    <w:rsid w:val="005921D3"/>
    <w:rsid w:val="00592C4C"/>
    <w:rsid w:val="005938C6"/>
    <w:rsid w:val="00594A12"/>
    <w:rsid w:val="00595B79"/>
    <w:rsid w:val="00595F7F"/>
    <w:rsid w:val="00596897"/>
    <w:rsid w:val="005969F6"/>
    <w:rsid w:val="00596ADA"/>
    <w:rsid w:val="00596C50"/>
    <w:rsid w:val="005976B6"/>
    <w:rsid w:val="00597913"/>
    <w:rsid w:val="00597B30"/>
    <w:rsid w:val="005A057D"/>
    <w:rsid w:val="005A0B82"/>
    <w:rsid w:val="005A0D15"/>
    <w:rsid w:val="005A0E35"/>
    <w:rsid w:val="005A0FAF"/>
    <w:rsid w:val="005A1080"/>
    <w:rsid w:val="005A10FB"/>
    <w:rsid w:val="005A17B9"/>
    <w:rsid w:val="005A21E4"/>
    <w:rsid w:val="005A2620"/>
    <w:rsid w:val="005A30F1"/>
    <w:rsid w:val="005A31FF"/>
    <w:rsid w:val="005A3EC7"/>
    <w:rsid w:val="005A4044"/>
    <w:rsid w:val="005A5AAA"/>
    <w:rsid w:val="005A5C4B"/>
    <w:rsid w:val="005A5D1E"/>
    <w:rsid w:val="005A724C"/>
    <w:rsid w:val="005A736A"/>
    <w:rsid w:val="005A7D7B"/>
    <w:rsid w:val="005B0422"/>
    <w:rsid w:val="005B093F"/>
    <w:rsid w:val="005B1D58"/>
    <w:rsid w:val="005B2314"/>
    <w:rsid w:val="005B262C"/>
    <w:rsid w:val="005B2F47"/>
    <w:rsid w:val="005B36D7"/>
    <w:rsid w:val="005B3B53"/>
    <w:rsid w:val="005B40F6"/>
    <w:rsid w:val="005B47BB"/>
    <w:rsid w:val="005B4A7E"/>
    <w:rsid w:val="005B5411"/>
    <w:rsid w:val="005B5720"/>
    <w:rsid w:val="005B5A1A"/>
    <w:rsid w:val="005B632B"/>
    <w:rsid w:val="005B7178"/>
    <w:rsid w:val="005B7952"/>
    <w:rsid w:val="005C01EF"/>
    <w:rsid w:val="005C02AD"/>
    <w:rsid w:val="005C0E75"/>
    <w:rsid w:val="005C13F1"/>
    <w:rsid w:val="005C1D52"/>
    <w:rsid w:val="005C2A7F"/>
    <w:rsid w:val="005C2D96"/>
    <w:rsid w:val="005C321F"/>
    <w:rsid w:val="005C3889"/>
    <w:rsid w:val="005C3ADA"/>
    <w:rsid w:val="005C3C6A"/>
    <w:rsid w:val="005C3D9F"/>
    <w:rsid w:val="005C3E0D"/>
    <w:rsid w:val="005C55A9"/>
    <w:rsid w:val="005C5744"/>
    <w:rsid w:val="005C621A"/>
    <w:rsid w:val="005C650A"/>
    <w:rsid w:val="005C6652"/>
    <w:rsid w:val="005C6A37"/>
    <w:rsid w:val="005C720E"/>
    <w:rsid w:val="005C799B"/>
    <w:rsid w:val="005C7BFE"/>
    <w:rsid w:val="005D00C1"/>
    <w:rsid w:val="005D0185"/>
    <w:rsid w:val="005D0C7E"/>
    <w:rsid w:val="005D0FEA"/>
    <w:rsid w:val="005D1194"/>
    <w:rsid w:val="005D1444"/>
    <w:rsid w:val="005D1539"/>
    <w:rsid w:val="005D1CA6"/>
    <w:rsid w:val="005D29AC"/>
    <w:rsid w:val="005D3B03"/>
    <w:rsid w:val="005D3B0A"/>
    <w:rsid w:val="005D3C8D"/>
    <w:rsid w:val="005D3D57"/>
    <w:rsid w:val="005D3D81"/>
    <w:rsid w:val="005D4015"/>
    <w:rsid w:val="005D4260"/>
    <w:rsid w:val="005D4AB0"/>
    <w:rsid w:val="005D4F7C"/>
    <w:rsid w:val="005D5ECF"/>
    <w:rsid w:val="005D620B"/>
    <w:rsid w:val="005D687A"/>
    <w:rsid w:val="005D6E2B"/>
    <w:rsid w:val="005D7272"/>
    <w:rsid w:val="005E0F81"/>
    <w:rsid w:val="005E1083"/>
    <w:rsid w:val="005E1A8E"/>
    <w:rsid w:val="005E1B94"/>
    <w:rsid w:val="005E2CD2"/>
    <w:rsid w:val="005E31C1"/>
    <w:rsid w:val="005E3225"/>
    <w:rsid w:val="005E36ED"/>
    <w:rsid w:val="005E3883"/>
    <w:rsid w:val="005E4196"/>
    <w:rsid w:val="005E4EBE"/>
    <w:rsid w:val="005E4FC1"/>
    <w:rsid w:val="005E59CB"/>
    <w:rsid w:val="005E69CA"/>
    <w:rsid w:val="005E7760"/>
    <w:rsid w:val="005E7A58"/>
    <w:rsid w:val="005E7D17"/>
    <w:rsid w:val="005F00BA"/>
    <w:rsid w:val="005F09D4"/>
    <w:rsid w:val="005F0B3C"/>
    <w:rsid w:val="005F0FF4"/>
    <w:rsid w:val="005F1080"/>
    <w:rsid w:val="005F2637"/>
    <w:rsid w:val="005F2651"/>
    <w:rsid w:val="005F2C1B"/>
    <w:rsid w:val="005F2CB4"/>
    <w:rsid w:val="005F2E4F"/>
    <w:rsid w:val="005F336B"/>
    <w:rsid w:val="005F3C62"/>
    <w:rsid w:val="005F3F35"/>
    <w:rsid w:val="005F5147"/>
    <w:rsid w:val="005F62F9"/>
    <w:rsid w:val="005F69C6"/>
    <w:rsid w:val="005F727C"/>
    <w:rsid w:val="005F7ADC"/>
    <w:rsid w:val="0060006E"/>
    <w:rsid w:val="006000B6"/>
    <w:rsid w:val="0060027B"/>
    <w:rsid w:val="006002CA"/>
    <w:rsid w:val="00600403"/>
    <w:rsid w:val="00603702"/>
    <w:rsid w:val="00603E5B"/>
    <w:rsid w:val="0060487F"/>
    <w:rsid w:val="006051BB"/>
    <w:rsid w:val="00605835"/>
    <w:rsid w:val="00605A44"/>
    <w:rsid w:val="0060625E"/>
    <w:rsid w:val="00606347"/>
    <w:rsid w:val="00607147"/>
    <w:rsid w:val="0060779C"/>
    <w:rsid w:val="00607EF9"/>
    <w:rsid w:val="00610527"/>
    <w:rsid w:val="00610A9C"/>
    <w:rsid w:val="00610CEC"/>
    <w:rsid w:val="0061122E"/>
    <w:rsid w:val="006112D0"/>
    <w:rsid w:val="00611573"/>
    <w:rsid w:val="00612F73"/>
    <w:rsid w:val="00613095"/>
    <w:rsid w:val="0061375D"/>
    <w:rsid w:val="006147AB"/>
    <w:rsid w:val="00614BB9"/>
    <w:rsid w:val="006150BC"/>
    <w:rsid w:val="0061538E"/>
    <w:rsid w:val="00615463"/>
    <w:rsid w:val="006157DA"/>
    <w:rsid w:val="006162EF"/>
    <w:rsid w:val="00616FE4"/>
    <w:rsid w:val="00617381"/>
    <w:rsid w:val="00617D65"/>
    <w:rsid w:val="00617E4F"/>
    <w:rsid w:val="00620290"/>
    <w:rsid w:val="006219AD"/>
    <w:rsid w:val="00622046"/>
    <w:rsid w:val="006220DA"/>
    <w:rsid w:val="00622306"/>
    <w:rsid w:val="00622A36"/>
    <w:rsid w:val="00622BA5"/>
    <w:rsid w:val="0062367C"/>
    <w:rsid w:val="006241D2"/>
    <w:rsid w:val="00624ECD"/>
    <w:rsid w:val="00624FBE"/>
    <w:rsid w:val="0062598D"/>
    <w:rsid w:val="00626349"/>
    <w:rsid w:val="006268A5"/>
    <w:rsid w:val="0062697D"/>
    <w:rsid w:val="00630B01"/>
    <w:rsid w:val="006318D8"/>
    <w:rsid w:val="0063195C"/>
    <w:rsid w:val="00631D2D"/>
    <w:rsid w:val="0063216E"/>
    <w:rsid w:val="00632422"/>
    <w:rsid w:val="0063318D"/>
    <w:rsid w:val="0063329D"/>
    <w:rsid w:val="00633B30"/>
    <w:rsid w:val="00634BAE"/>
    <w:rsid w:val="006350E1"/>
    <w:rsid w:val="0063536C"/>
    <w:rsid w:val="00635E7B"/>
    <w:rsid w:val="00635EB7"/>
    <w:rsid w:val="00636432"/>
    <w:rsid w:val="00636459"/>
    <w:rsid w:val="00636AF5"/>
    <w:rsid w:val="00637822"/>
    <w:rsid w:val="006401BB"/>
    <w:rsid w:val="006403D0"/>
    <w:rsid w:val="00640ADA"/>
    <w:rsid w:val="0064121A"/>
    <w:rsid w:val="006412BA"/>
    <w:rsid w:val="00641B6A"/>
    <w:rsid w:val="00641E10"/>
    <w:rsid w:val="00642572"/>
    <w:rsid w:val="00642A67"/>
    <w:rsid w:val="00643501"/>
    <w:rsid w:val="00643840"/>
    <w:rsid w:val="00643931"/>
    <w:rsid w:val="00644D70"/>
    <w:rsid w:val="00645D16"/>
    <w:rsid w:val="00646562"/>
    <w:rsid w:val="00646D12"/>
    <w:rsid w:val="0064739E"/>
    <w:rsid w:val="00650151"/>
    <w:rsid w:val="00650748"/>
    <w:rsid w:val="00650A31"/>
    <w:rsid w:val="00650C0F"/>
    <w:rsid w:val="0065187E"/>
    <w:rsid w:val="00651AA3"/>
    <w:rsid w:val="0065240A"/>
    <w:rsid w:val="00652D5C"/>
    <w:rsid w:val="0065325C"/>
    <w:rsid w:val="00654672"/>
    <w:rsid w:val="00654A62"/>
    <w:rsid w:val="00654FCC"/>
    <w:rsid w:val="00655AD4"/>
    <w:rsid w:val="00655DED"/>
    <w:rsid w:val="00655F4F"/>
    <w:rsid w:val="006567B5"/>
    <w:rsid w:val="00656C5D"/>
    <w:rsid w:val="00656D7A"/>
    <w:rsid w:val="00656F34"/>
    <w:rsid w:val="006573BB"/>
    <w:rsid w:val="006576FE"/>
    <w:rsid w:val="006579BE"/>
    <w:rsid w:val="006600C1"/>
    <w:rsid w:val="00660797"/>
    <w:rsid w:val="006607A6"/>
    <w:rsid w:val="00660987"/>
    <w:rsid w:val="00660F64"/>
    <w:rsid w:val="00661AA4"/>
    <w:rsid w:val="00661E03"/>
    <w:rsid w:val="00662054"/>
    <w:rsid w:val="006621C9"/>
    <w:rsid w:val="00662853"/>
    <w:rsid w:val="00662AB5"/>
    <w:rsid w:val="00662B60"/>
    <w:rsid w:val="006637D3"/>
    <w:rsid w:val="00663973"/>
    <w:rsid w:val="00663B4E"/>
    <w:rsid w:val="00663F10"/>
    <w:rsid w:val="00664228"/>
    <w:rsid w:val="006643A0"/>
    <w:rsid w:val="0066475A"/>
    <w:rsid w:val="00664DAC"/>
    <w:rsid w:val="00664ECE"/>
    <w:rsid w:val="00665216"/>
    <w:rsid w:val="006652F6"/>
    <w:rsid w:val="00665B9B"/>
    <w:rsid w:val="006663C9"/>
    <w:rsid w:val="0066644F"/>
    <w:rsid w:val="006668C9"/>
    <w:rsid w:val="0066755D"/>
    <w:rsid w:val="00667B73"/>
    <w:rsid w:val="006703F1"/>
    <w:rsid w:val="006708D7"/>
    <w:rsid w:val="00670CE2"/>
    <w:rsid w:val="0067198A"/>
    <w:rsid w:val="00672C0D"/>
    <w:rsid w:val="00673CAA"/>
    <w:rsid w:val="00673DCF"/>
    <w:rsid w:val="00673DEB"/>
    <w:rsid w:val="00673F04"/>
    <w:rsid w:val="006749F7"/>
    <w:rsid w:val="006758F3"/>
    <w:rsid w:val="0067613B"/>
    <w:rsid w:val="00676436"/>
    <w:rsid w:val="0067679C"/>
    <w:rsid w:val="0067680C"/>
    <w:rsid w:val="00677095"/>
    <w:rsid w:val="00680472"/>
    <w:rsid w:val="00680950"/>
    <w:rsid w:val="0068183D"/>
    <w:rsid w:val="006824F1"/>
    <w:rsid w:val="00682CA3"/>
    <w:rsid w:val="00682DA6"/>
    <w:rsid w:val="0068317D"/>
    <w:rsid w:val="0068416D"/>
    <w:rsid w:val="006846F7"/>
    <w:rsid w:val="00684E0E"/>
    <w:rsid w:val="006855C1"/>
    <w:rsid w:val="00686B6C"/>
    <w:rsid w:val="00687F44"/>
    <w:rsid w:val="00690258"/>
    <w:rsid w:val="00690DA5"/>
    <w:rsid w:val="00691009"/>
    <w:rsid w:val="006912E8"/>
    <w:rsid w:val="00691C35"/>
    <w:rsid w:val="00691F31"/>
    <w:rsid w:val="00691F5E"/>
    <w:rsid w:val="006930CF"/>
    <w:rsid w:val="00693508"/>
    <w:rsid w:val="006941F2"/>
    <w:rsid w:val="006949CA"/>
    <w:rsid w:val="00695218"/>
    <w:rsid w:val="0069578C"/>
    <w:rsid w:val="00695A4A"/>
    <w:rsid w:val="00695A6D"/>
    <w:rsid w:val="00695DFE"/>
    <w:rsid w:val="0069685C"/>
    <w:rsid w:val="0069746B"/>
    <w:rsid w:val="006A018B"/>
    <w:rsid w:val="006A062D"/>
    <w:rsid w:val="006A0FB3"/>
    <w:rsid w:val="006A198F"/>
    <w:rsid w:val="006A1D8E"/>
    <w:rsid w:val="006A1EBC"/>
    <w:rsid w:val="006A1EF0"/>
    <w:rsid w:val="006A2566"/>
    <w:rsid w:val="006A59CD"/>
    <w:rsid w:val="006A5A6A"/>
    <w:rsid w:val="006A5C25"/>
    <w:rsid w:val="006A6C18"/>
    <w:rsid w:val="006A757E"/>
    <w:rsid w:val="006A76AD"/>
    <w:rsid w:val="006B0BF7"/>
    <w:rsid w:val="006B0DAB"/>
    <w:rsid w:val="006B11C8"/>
    <w:rsid w:val="006B1E24"/>
    <w:rsid w:val="006B1ED8"/>
    <w:rsid w:val="006B2140"/>
    <w:rsid w:val="006B223F"/>
    <w:rsid w:val="006B2F86"/>
    <w:rsid w:val="006B31E7"/>
    <w:rsid w:val="006B355D"/>
    <w:rsid w:val="006B38AF"/>
    <w:rsid w:val="006B46ED"/>
    <w:rsid w:val="006B4707"/>
    <w:rsid w:val="006B48D5"/>
    <w:rsid w:val="006B4CD5"/>
    <w:rsid w:val="006B5315"/>
    <w:rsid w:val="006B5D74"/>
    <w:rsid w:val="006B6928"/>
    <w:rsid w:val="006B6B5F"/>
    <w:rsid w:val="006C0107"/>
    <w:rsid w:val="006C0263"/>
    <w:rsid w:val="006C0280"/>
    <w:rsid w:val="006C02CA"/>
    <w:rsid w:val="006C0369"/>
    <w:rsid w:val="006C047D"/>
    <w:rsid w:val="006C214D"/>
    <w:rsid w:val="006C23BE"/>
    <w:rsid w:val="006C3388"/>
    <w:rsid w:val="006C34FA"/>
    <w:rsid w:val="006C3D1A"/>
    <w:rsid w:val="006C3D30"/>
    <w:rsid w:val="006C462C"/>
    <w:rsid w:val="006C46BB"/>
    <w:rsid w:val="006C4785"/>
    <w:rsid w:val="006C4A98"/>
    <w:rsid w:val="006C53B7"/>
    <w:rsid w:val="006C6CFA"/>
    <w:rsid w:val="006C6D95"/>
    <w:rsid w:val="006D0232"/>
    <w:rsid w:val="006D0D2E"/>
    <w:rsid w:val="006D1451"/>
    <w:rsid w:val="006D146E"/>
    <w:rsid w:val="006D1532"/>
    <w:rsid w:val="006D1583"/>
    <w:rsid w:val="006D18AB"/>
    <w:rsid w:val="006D1D66"/>
    <w:rsid w:val="006D1F2C"/>
    <w:rsid w:val="006D2172"/>
    <w:rsid w:val="006D2286"/>
    <w:rsid w:val="006D28B7"/>
    <w:rsid w:val="006D37AF"/>
    <w:rsid w:val="006D3A73"/>
    <w:rsid w:val="006D4214"/>
    <w:rsid w:val="006D4512"/>
    <w:rsid w:val="006D48A4"/>
    <w:rsid w:val="006D4FD2"/>
    <w:rsid w:val="006D506B"/>
    <w:rsid w:val="006D5837"/>
    <w:rsid w:val="006D5E1A"/>
    <w:rsid w:val="006D5E2F"/>
    <w:rsid w:val="006D5F72"/>
    <w:rsid w:val="006D781A"/>
    <w:rsid w:val="006E0F5A"/>
    <w:rsid w:val="006E1090"/>
    <w:rsid w:val="006E18CB"/>
    <w:rsid w:val="006E237C"/>
    <w:rsid w:val="006E2585"/>
    <w:rsid w:val="006E2685"/>
    <w:rsid w:val="006E29A9"/>
    <w:rsid w:val="006E3064"/>
    <w:rsid w:val="006E4467"/>
    <w:rsid w:val="006E5C28"/>
    <w:rsid w:val="006E5C64"/>
    <w:rsid w:val="006E6091"/>
    <w:rsid w:val="006E6CCD"/>
    <w:rsid w:val="006F0159"/>
    <w:rsid w:val="006F03E1"/>
    <w:rsid w:val="006F081D"/>
    <w:rsid w:val="006F098E"/>
    <w:rsid w:val="006F0CA7"/>
    <w:rsid w:val="006F0F4F"/>
    <w:rsid w:val="006F0FB5"/>
    <w:rsid w:val="006F1558"/>
    <w:rsid w:val="006F17CE"/>
    <w:rsid w:val="006F1823"/>
    <w:rsid w:val="006F2033"/>
    <w:rsid w:val="006F2CCE"/>
    <w:rsid w:val="006F3130"/>
    <w:rsid w:val="006F3147"/>
    <w:rsid w:val="006F4408"/>
    <w:rsid w:val="006F4948"/>
    <w:rsid w:val="006F4A93"/>
    <w:rsid w:val="006F54BA"/>
    <w:rsid w:val="006F5F0F"/>
    <w:rsid w:val="006F6471"/>
    <w:rsid w:val="006F6FC5"/>
    <w:rsid w:val="006F753B"/>
    <w:rsid w:val="006F77BC"/>
    <w:rsid w:val="006F7DF9"/>
    <w:rsid w:val="00700D34"/>
    <w:rsid w:val="00700DB7"/>
    <w:rsid w:val="007011FA"/>
    <w:rsid w:val="00701677"/>
    <w:rsid w:val="007017EE"/>
    <w:rsid w:val="007019A6"/>
    <w:rsid w:val="00704430"/>
    <w:rsid w:val="007064CC"/>
    <w:rsid w:val="0070673D"/>
    <w:rsid w:val="0070675D"/>
    <w:rsid w:val="00706AEB"/>
    <w:rsid w:val="007073E6"/>
    <w:rsid w:val="00707471"/>
    <w:rsid w:val="007075A5"/>
    <w:rsid w:val="00707EA3"/>
    <w:rsid w:val="007109BB"/>
    <w:rsid w:val="00710D83"/>
    <w:rsid w:val="007113E2"/>
    <w:rsid w:val="007116D3"/>
    <w:rsid w:val="00711746"/>
    <w:rsid w:val="007123F3"/>
    <w:rsid w:val="00714073"/>
    <w:rsid w:val="00714A91"/>
    <w:rsid w:val="00715541"/>
    <w:rsid w:val="007161BC"/>
    <w:rsid w:val="00716A25"/>
    <w:rsid w:val="0071755F"/>
    <w:rsid w:val="00717EA2"/>
    <w:rsid w:val="0072018D"/>
    <w:rsid w:val="007202D0"/>
    <w:rsid w:val="00722355"/>
    <w:rsid w:val="0072344A"/>
    <w:rsid w:val="00723522"/>
    <w:rsid w:val="00723554"/>
    <w:rsid w:val="0072385E"/>
    <w:rsid w:val="00724CC6"/>
    <w:rsid w:val="00725064"/>
    <w:rsid w:val="00726977"/>
    <w:rsid w:val="007275C4"/>
    <w:rsid w:val="007277FE"/>
    <w:rsid w:val="00730320"/>
    <w:rsid w:val="00731018"/>
    <w:rsid w:val="0073147A"/>
    <w:rsid w:val="00731EB8"/>
    <w:rsid w:val="00731F3C"/>
    <w:rsid w:val="0073201D"/>
    <w:rsid w:val="0073212A"/>
    <w:rsid w:val="00732664"/>
    <w:rsid w:val="00732884"/>
    <w:rsid w:val="00733094"/>
    <w:rsid w:val="00734C04"/>
    <w:rsid w:val="0073545F"/>
    <w:rsid w:val="0073567A"/>
    <w:rsid w:val="00735D28"/>
    <w:rsid w:val="00736388"/>
    <w:rsid w:val="00736A06"/>
    <w:rsid w:val="007377E2"/>
    <w:rsid w:val="00737B44"/>
    <w:rsid w:val="00740103"/>
    <w:rsid w:val="007409E5"/>
    <w:rsid w:val="00741083"/>
    <w:rsid w:val="00741374"/>
    <w:rsid w:val="00741658"/>
    <w:rsid w:val="00741803"/>
    <w:rsid w:val="00741B0D"/>
    <w:rsid w:val="00742CF7"/>
    <w:rsid w:val="00742F59"/>
    <w:rsid w:val="0074345E"/>
    <w:rsid w:val="007450C1"/>
    <w:rsid w:val="0074569B"/>
    <w:rsid w:val="00745792"/>
    <w:rsid w:val="00745C81"/>
    <w:rsid w:val="00745D31"/>
    <w:rsid w:val="007461FE"/>
    <w:rsid w:val="007462D1"/>
    <w:rsid w:val="00746598"/>
    <w:rsid w:val="007465E6"/>
    <w:rsid w:val="00746686"/>
    <w:rsid w:val="00746C64"/>
    <w:rsid w:val="00747254"/>
    <w:rsid w:val="007475A3"/>
    <w:rsid w:val="00747B7D"/>
    <w:rsid w:val="00750445"/>
    <w:rsid w:val="00750E80"/>
    <w:rsid w:val="00751399"/>
    <w:rsid w:val="007516CA"/>
    <w:rsid w:val="007518E6"/>
    <w:rsid w:val="00751B17"/>
    <w:rsid w:val="00751F16"/>
    <w:rsid w:val="00752241"/>
    <w:rsid w:val="00752595"/>
    <w:rsid w:val="007530DA"/>
    <w:rsid w:val="00753A10"/>
    <w:rsid w:val="00753C2D"/>
    <w:rsid w:val="007544C7"/>
    <w:rsid w:val="00754CC1"/>
    <w:rsid w:val="00755CBD"/>
    <w:rsid w:val="0075622E"/>
    <w:rsid w:val="00756BED"/>
    <w:rsid w:val="00757648"/>
    <w:rsid w:val="00757BA2"/>
    <w:rsid w:val="00760591"/>
    <w:rsid w:val="00760A02"/>
    <w:rsid w:val="00760E2E"/>
    <w:rsid w:val="00760F22"/>
    <w:rsid w:val="00760FF9"/>
    <w:rsid w:val="00761461"/>
    <w:rsid w:val="007616B8"/>
    <w:rsid w:val="00761739"/>
    <w:rsid w:val="00761F91"/>
    <w:rsid w:val="007627C8"/>
    <w:rsid w:val="007627E4"/>
    <w:rsid w:val="00763499"/>
    <w:rsid w:val="007639B4"/>
    <w:rsid w:val="00764B20"/>
    <w:rsid w:val="00765154"/>
    <w:rsid w:val="0076589B"/>
    <w:rsid w:val="00766767"/>
    <w:rsid w:val="007670FF"/>
    <w:rsid w:val="007677AD"/>
    <w:rsid w:val="00767C2B"/>
    <w:rsid w:val="007700DB"/>
    <w:rsid w:val="007700EE"/>
    <w:rsid w:val="00770274"/>
    <w:rsid w:val="0077060D"/>
    <w:rsid w:val="00770FC8"/>
    <w:rsid w:val="007716E7"/>
    <w:rsid w:val="00771C06"/>
    <w:rsid w:val="0077250A"/>
    <w:rsid w:val="00772A53"/>
    <w:rsid w:val="00774B90"/>
    <w:rsid w:val="007753E3"/>
    <w:rsid w:val="00775AA3"/>
    <w:rsid w:val="00775DB9"/>
    <w:rsid w:val="0077629D"/>
    <w:rsid w:val="007764D6"/>
    <w:rsid w:val="007767A1"/>
    <w:rsid w:val="0077696E"/>
    <w:rsid w:val="00776DB8"/>
    <w:rsid w:val="00776FBE"/>
    <w:rsid w:val="0077710A"/>
    <w:rsid w:val="007774F7"/>
    <w:rsid w:val="007778B9"/>
    <w:rsid w:val="00777CFF"/>
    <w:rsid w:val="00781455"/>
    <w:rsid w:val="00781529"/>
    <w:rsid w:val="007831B8"/>
    <w:rsid w:val="00783DB9"/>
    <w:rsid w:val="007849F3"/>
    <w:rsid w:val="00784A97"/>
    <w:rsid w:val="00784CEC"/>
    <w:rsid w:val="0078546B"/>
    <w:rsid w:val="0078546E"/>
    <w:rsid w:val="007859E2"/>
    <w:rsid w:val="00785CB9"/>
    <w:rsid w:val="00786B1F"/>
    <w:rsid w:val="00786D0F"/>
    <w:rsid w:val="00787781"/>
    <w:rsid w:val="0078780B"/>
    <w:rsid w:val="0078784B"/>
    <w:rsid w:val="00787FF1"/>
    <w:rsid w:val="0079007F"/>
    <w:rsid w:val="0079037A"/>
    <w:rsid w:val="00790455"/>
    <w:rsid w:val="00790582"/>
    <w:rsid w:val="00790746"/>
    <w:rsid w:val="00791003"/>
    <w:rsid w:val="00791502"/>
    <w:rsid w:val="0079277F"/>
    <w:rsid w:val="00792CD1"/>
    <w:rsid w:val="00793C19"/>
    <w:rsid w:val="0079459F"/>
    <w:rsid w:val="00795501"/>
    <w:rsid w:val="007964DE"/>
    <w:rsid w:val="00796631"/>
    <w:rsid w:val="00796757"/>
    <w:rsid w:val="00796835"/>
    <w:rsid w:val="0079702E"/>
    <w:rsid w:val="007A0056"/>
    <w:rsid w:val="007A0114"/>
    <w:rsid w:val="007A0625"/>
    <w:rsid w:val="007A062B"/>
    <w:rsid w:val="007A0C66"/>
    <w:rsid w:val="007A2196"/>
    <w:rsid w:val="007A27DB"/>
    <w:rsid w:val="007A4106"/>
    <w:rsid w:val="007A4880"/>
    <w:rsid w:val="007A4FA3"/>
    <w:rsid w:val="007A583D"/>
    <w:rsid w:val="007A5AC5"/>
    <w:rsid w:val="007A6515"/>
    <w:rsid w:val="007A65D0"/>
    <w:rsid w:val="007A68C4"/>
    <w:rsid w:val="007A74FF"/>
    <w:rsid w:val="007A7773"/>
    <w:rsid w:val="007A7DC3"/>
    <w:rsid w:val="007A7F92"/>
    <w:rsid w:val="007B07A8"/>
    <w:rsid w:val="007B1621"/>
    <w:rsid w:val="007B210B"/>
    <w:rsid w:val="007B2307"/>
    <w:rsid w:val="007B2AF4"/>
    <w:rsid w:val="007B2C3C"/>
    <w:rsid w:val="007B2FC3"/>
    <w:rsid w:val="007B2FC5"/>
    <w:rsid w:val="007B33EC"/>
    <w:rsid w:val="007B3465"/>
    <w:rsid w:val="007B4CF4"/>
    <w:rsid w:val="007B5824"/>
    <w:rsid w:val="007B5A22"/>
    <w:rsid w:val="007B5D9B"/>
    <w:rsid w:val="007B626A"/>
    <w:rsid w:val="007B6D51"/>
    <w:rsid w:val="007B77EA"/>
    <w:rsid w:val="007B7B70"/>
    <w:rsid w:val="007C01BC"/>
    <w:rsid w:val="007C09F4"/>
    <w:rsid w:val="007C0D7F"/>
    <w:rsid w:val="007C0ED9"/>
    <w:rsid w:val="007C135A"/>
    <w:rsid w:val="007C20E6"/>
    <w:rsid w:val="007C31D8"/>
    <w:rsid w:val="007C3704"/>
    <w:rsid w:val="007C3885"/>
    <w:rsid w:val="007C3B0E"/>
    <w:rsid w:val="007C4444"/>
    <w:rsid w:val="007C48CD"/>
    <w:rsid w:val="007C5708"/>
    <w:rsid w:val="007C572E"/>
    <w:rsid w:val="007C5E34"/>
    <w:rsid w:val="007C5F91"/>
    <w:rsid w:val="007C65E2"/>
    <w:rsid w:val="007C6B7A"/>
    <w:rsid w:val="007C7930"/>
    <w:rsid w:val="007C7B40"/>
    <w:rsid w:val="007D0661"/>
    <w:rsid w:val="007D114E"/>
    <w:rsid w:val="007D16D9"/>
    <w:rsid w:val="007D21AA"/>
    <w:rsid w:val="007D28BA"/>
    <w:rsid w:val="007D2AFE"/>
    <w:rsid w:val="007D2DBA"/>
    <w:rsid w:val="007D34E0"/>
    <w:rsid w:val="007D351D"/>
    <w:rsid w:val="007D3E1C"/>
    <w:rsid w:val="007D3E6D"/>
    <w:rsid w:val="007D4992"/>
    <w:rsid w:val="007D505C"/>
    <w:rsid w:val="007D5531"/>
    <w:rsid w:val="007D5C51"/>
    <w:rsid w:val="007D5ECC"/>
    <w:rsid w:val="007D625E"/>
    <w:rsid w:val="007D6EB2"/>
    <w:rsid w:val="007D7AD1"/>
    <w:rsid w:val="007D7B23"/>
    <w:rsid w:val="007E062A"/>
    <w:rsid w:val="007E076B"/>
    <w:rsid w:val="007E0CD2"/>
    <w:rsid w:val="007E0D49"/>
    <w:rsid w:val="007E15DF"/>
    <w:rsid w:val="007E2142"/>
    <w:rsid w:val="007E2412"/>
    <w:rsid w:val="007E264D"/>
    <w:rsid w:val="007E2B83"/>
    <w:rsid w:val="007E3024"/>
    <w:rsid w:val="007E3025"/>
    <w:rsid w:val="007E3B86"/>
    <w:rsid w:val="007E3D2E"/>
    <w:rsid w:val="007E4B80"/>
    <w:rsid w:val="007E56A1"/>
    <w:rsid w:val="007E594A"/>
    <w:rsid w:val="007E5E6B"/>
    <w:rsid w:val="007E5F16"/>
    <w:rsid w:val="007E64F1"/>
    <w:rsid w:val="007E6722"/>
    <w:rsid w:val="007E6AF3"/>
    <w:rsid w:val="007E784E"/>
    <w:rsid w:val="007F0539"/>
    <w:rsid w:val="007F1195"/>
    <w:rsid w:val="007F1333"/>
    <w:rsid w:val="007F18A4"/>
    <w:rsid w:val="007F1C05"/>
    <w:rsid w:val="007F2151"/>
    <w:rsid w:val="007F240F"/>
    <w:rsid w:val="007F2E40"/>
    <w:rsid w:val="007F38B8"/>
    <w:rsid w:val="007F393D"/>
    <w:rsid w:val="007F3C29"/>
    <w:rsid w:val="007F3C42"/>
    <w:rsid w:val="007F474A"/>
    <w:rsid w:val="007F4B33"/>
    <w:rsid w:val="007F551F"/>
    <w:rsid w:val="007F5A79"/>
    <w:rsid w:val="007F6458"/>
    <w:rsid w:val="007F6489"/>
    <w:rsid w:val="007F6902"/>
    <w:rsid w:val="007F73CE"/>
    <w:rsid w:val="007F786D"/>
    <w:rsid w:val="007F7C86"/>
    <w:rsid w:val="007F7CB5"/>
    <w:rsid w:val="007F7E31"/>
    <w:rsid w:val="00800C26"/>
    <w:rsid w:val="00801197"/>
    <w:rsid w:val="008015A0"/>
    <w:rsid w:val="00801763"/>
    <w:rsid w:val="00801E3C"/>
    <w:rsid w:val="008029F3"/>
    <w:rsid w:val="00802C64"/>
    <w:rsid w:val="00802F5C"/>
    <w:rsid w:val="008040A6"/>
    <w:rsid w:val="00804386"/>
    <w:rsid w:val="00804782"/>
    <w:rsid w:val="00805F76"/>
    <w:rsid w:val="00806ABB"/>
    <w:rsid w:val="00806CFE"/>
    <w:rsid w:val="00807016"/>
    <w:rsid w:val="0080724A"/>
    <w:rsid w:val="0080799F"/>
    <w:rsid w:val="00807A3E"/>
    <w:rsid w:val="008102AD"/>
    <w:rsid w:val="00811386"/>
    <w:rsid w:val="00811815"/>
    <w:rsid w:val="0081198F"/>
    <w:rsid w:val="00811B34"/>
    <w:rsid w:val="00812CA2"/>
    <w:rsid w:val="0081331D"/>
    <w:rsid w:val="008137FD"/>
    <w:rsid w:val="0081448C"/>
    <w:rsid w:val="00814B64"/>
    <w:rsid w:val="00814C16"/>
    <w:rsid w:val="00815324"/>
    <w:rsid w:val="00815375"/>
    <w:rsid w:val="0081607F"/>
    <w:rsid w:val="0081656C"/>
    <w:rsid w:val="0081666F"/>
    <w:rsid w:val="00816743"/>
    <w:rsid w:val="008167F5"/>
    <w:rsid w:val="00816D2C"/>
    <w:rsid w:val="008171FB"/>
    <w:rsid w:val="0081730C"/>
    <w:rsid w:val="008202A4"/>
    <w:rsid w:val="00820A0D"/>
    <w:rsid w:val="00820BC3"/>
    <w:rsid w:val="008213E3"/>
    <w:rsid w:val="008219CE"/>
    <w:rsid w:val="00821DAD"/>
    <w:rsid w:val="008228D9"/>
    <w:rsid w:val="0082303E"/>
    <w:rsid w:val="00823262"/>
    <w:rsid w:val="00823263"/>
    <w:rsid w:val="0082387D"/>
    <w:rsid w:val="00823D73"/>
    <w:rsid w:val="00823E30"/>
    <w:rsid w:val="00824186"/>
    <w:rsid w:val="00824AAF"/>
    <w:rsid w:val="00825859"/>
    <w:rsid w:val="0082633A"/>
    <w:rsid w:val="00826614"/>
    <w:rsid w:val="00827D9D"/>
    <w:rsid w:val="00830614"/>
    <w:rsid w:val="008306BD"/>
    <w:rsid w:val="00831111"/>
    <w:rsid w:val="008318EB"/>
    <w:rsid w:val="00831EE4"/>
    <w:rsid w:val="00831F24"/>
    <w:rsid w:val="008323B5"/>
    <w:rsid w:val="008336DA"/>
    <w:rsid w:val="008346BB"/>
    <w:rsid w:val="00834A35"/>
    <w:rsid w:val="00834AFE"/>
    <w:rsid w:val="0083513E"/>
    <w:rsid w:val="008351C3"/>
    <w:rsid w:val="0083531C"/>
    <w:rsid w:val="0083554C"/>
    <w:rsid w:val="00835A63"/>
    <w:rsid w:val="00835AC0"/>
    <w:rsid w:val="008362B0"/>
    <w:rsid w:val="008363A1"/>
    <w:rsid w:val="00836625"/>
    <w:rsid w:val="00836903"/>
    <w:rsid w:val="00836921"/>
    <w:rsid w:val="00836E55"/>
    <w:rsid w:val="0083797B"/>
    <w:rsid w:val="00837A7E"/>
    <w:rsid w:val="00837D6C"/>
    <w:rsid w:val="00840027"/>
    <w:rsid w:val="008405C2"/>
    <w:rsid w:val="00842095"/>
    <w:rsid w:val="00842227"/>
    <w:rsid w:val="008426A2"/>
    <w:rsid w:val="00842A49"/>
    <w:rsid w:val="0084303B"/>
    <w:rsid w:val="00843069"/>
    <w:rsid w:val="00843399"/>
    <w:rsid w:val="008434E9"/>
    <w:rsid w:val="00843660"/>
    <w:rsid w:val="00843A12"/>
    <w:rsid w:val="00843B1F"/>
    <w:rsid w:val="00843E46"/>
    <w:rsid w:val="0084455D"/>
    <w:rsid w:val="00845431"/>
    <w:rsid w:val="008455BC"/>
    <w:rsid w:val="00846349"/>
    <w:rsid w:val="00846B40"/>
    <w:rsid w:val="00846E20"/>
    <w:rsid w:val="00850A2D"/>
    <w:rsid w:val="00850D4F"/>
    <w:rsid w:val="00851425"/>
    <w:rsid w:val="00851D25"/>
    <w:rsid w:val="00851D26"/>
    <w:rsid w:val="008521DD"/>
    <w:rsid w:val="008524B6"/>
    <w:rsid w:val="00852B40"/>
    <w:rsid w:val="0085352B"/>
    <w:rsid w:val="0085462C"/>
    <w:rsid w:val="00854ADF"/>
    <w:rsid w:val="00854C1D"/>
    <w:rsid w:val="00855232"/>
    <w:rsid w:val="00855570"/>
    <w:rsid w:val="00855783"/>
    <w:rsid w:val="00855784"/>
    <w:rsid w:val="00855975"/>
    <w:rsid w:val="008560E3"/>
    <w:rsid w:val="008561A1"/>
    <w:rsid w:val="008564BE"/>
    <w:rsid w:val="00856D11"/>
    <w:rsid w:val="00856E18"/>
    <w:rsid w:val="00856E40"/>
    <w:rsid w:val="008572FA"/>
    <w:rsid w:val="00857850"/>
    <w:rsid w:val="00857C97"/>
    <w:rsid w:val="00857D06"/>
    <w:rsid w:val="00857E09"/>
    <w:rsid w:val="0086039A"/>
    <w:rsid w:val="008608B2"/>
    <w:rsid w:val="00860900"/>
    <w:rsid w:val="00860C05"/>
    <w:rsid w:val="008616A3"/>
    <w:rsid w:val="00861721"/>
    <w:rsid w:val="00861B0D"/>
    <w:rsid w:val="00862537"/>
    <w:rsid w:val="0086257F"/>
    <w:rsid w:val="00862F39"/>
    <w:rsid w:val="008648C6"/>
    <w:rsid w:val="008648FD"/>
    <w:rsid w:val="00866451"/>
    <w:rsid w:val="00866AA3"/>
    <w:rsid w:val="00867606"/>
    <w:rsid w:val="008676AE"/>
    <w:rsid w:val="00867AEB"/>
    <w:rsid w:val="00870DA6"/>
    <w:rsid w:val="008713C4"/>
    <w:rsid w:val="00871465"/>
    <w:rsid w:val="0087162E"/>
    <w:rsid w:val="008720BB"/>
    <w:rsid w:val="00873C4F"/>
    <w:rsid w:val="00873D51"/>
    <w:rsid w:val="00873E28"/>
    <w:rsid w:val="00874111"/>
    <w:rsid w:val="008743D0"/>
    <w:rsid w:val="008753FC"/>
    <w:rsid w:val="00875AF5"/>
    <w:rsid w:val="00875BA3"/>
    <w:rsid w:val="00875C9A"/>
    <w:rsid w:val="00875E53"/>
    <w:rsid w:val="00875FC2"/>
    <w:rsid w:val="00876671"/>
    <w:rsid w:val="008768B2"/>
    <w:rsid w:val="00876BAB"/>
    <w:rsid w:val="0087706E"/>
    <w:rsid w:val="00877836"/>
    <w:rsid w:val="00877CBE"/>
    <w:rsid w:val="00877DD3"/>
    <w:rsid w:val="008810C4"/>
    <w:rsid w:val="00881884"/>
    <w:rsid w:val="00882264"/>
    <w:rsid w:val="008827AE"/>
    <w:rsid w:val="00882AEC"/>
    <w:rsid w:val="008831FD"/>
    <w:rsid w:val="008834DC"/>
    <w:rsid w:val="008837EB"/>
    <w:rsid w:val="00883887"/>
    <w:rsid w:val="00884997"/>
    <w:rsid w:val="00885107"/>
    <w:rsid w:val="00885A5D"/>
    <w:rsid w:val="00886B80"/>
    <w:rsid w:val="008871E8"/>
    <w:rsid w:val="0089016B"/>
    <w:rsid w:val="008904AB"/>
    <w:rsid w:val="00890B98"/>
    <w:rsid w:val="0089115B"/>
    <w:rsid w:val="008911D7"/>
    <w:rsid w:val="008918C3"/>
    <w:rsid w:val="008924D3"/>
    <w:rsid w:val="00892F05"/>
    <w:rsid w:val="008934B4"/>
    <w:rsid w:val="00893525"/>
    <w:rsid w:val="00893628"/>
    <w:rsid w:val="00893E97"/>
    <w:rsid w:val="00893FFC"/>
    <w:rsid w:val="00894708"/>
    <w:rsid w:val="00895284"/>
    <w:rsid w:val="008952D9"/>
    <w:rsid w:val="00895E28"/>
    <w:rsid w:val="008963B8"/>
    <w:rsid w:val="00896DC3"/>
    <w:rsid w:val="008A02DB"/>
    <w:rsid w:val="008A2256"/>
    <w:rsid w:val="008A22D0"/>
    <w:rsid w:val="008A22DB"/>
    <w:rsid w:val="008A4496"/>
    <w:rsid w:val="008A4D28"/>
    <w:rsid w:val="008A5123"/>
    <w:rsid w:val="008A53AD"/>
    <w:rsid w:val="008A5671"/>
    <w:rsid w:val="008A56F3"/>
    <w:rsid w:val="008A59D3"/>
    <w:rsid w:val="008A627E"/>
    <w:rsid w:val="008A639F"/>
    <w:rsid w:val="008A7279"/>
    <w:rsid w:val="008A7E53"/>
    <w:rsid w:val="008A7F75"/>
    <w:rsid w:val="008B06BF"/>
    <w:rsid w:val="008B1240"/>
    <w:rsid w:val="008B12C1"/>
    <w:rsid w:val="008B1565"/>
    <w:rsid w:val="008B232F"/>
    <w:rsid w:val="008B2525"/>
    <w:rsid w:val="008B28C6"/>
    <w:rsid w:val="008B2B8E"/>
    <w:rsid w:val="008B3BF0"/>
    <w:rsid w:val="008B44EA"/>
    <w:rsid w:val="008B55F5"/>
    <w:rsid w:val="008B5CCA"/>
    <w:rsid w:val="008B5EA2"/>
    <w:rsid w:val="008B6BE8"/>
    <w:rsid w:val="008B7345"/>
    <w:rsid w:val="008C081C"/>
    <w:rsid w:val="008C085A"/>
    <w:rsid w:val="008C0A33"/>
    <w:rsid w:val="008C115E"/>
    <w:rsid w:val="008C1582"/>
    <w:rsid w:val="008C1591"/>
    <w:rsid w:val="008C1A47"/>
    <w:rsid w:val="008C1C21"/>
    <w:rsid w:val="008C26A5"/>
    <w:rsid w:val="008C29E3"/>
    <w:rsid w:val="008C307A"/>
    <w:rsid w:val="008C36A9"/>
    <w:rsid w:val="008C3E08"/>
    <w:rsid w:val="008C3ED3"/>
    <w:rsid w:val="008C4620"/>
    <w:rsid w:val="008C4909"/>
    <w:rsid w:val="008C4A46"/>
    <w:rsid w:val="008C522A"/>
    <w:rsid w:val="008C558D"/>
    <w:rsid w:val="008C5625"/>
    <w:rsid w:val="008C5FEC"/>
    <w:rsid w:val="008C6830"/>
    <w:rsid w:val="008C6D69"/>
    <w:rsid w:val="008D09C6"/>
    <w:rsid w:val="008D0D0C"/>
    <w:rsid w:val="008D16DC"/>
    <w:rsid w:val="008D183C"/>
    <w:rsid w:val="008D1920"/>
    <w:rsid w:val="008D2C4E"/>
    <w:rsid w:val="008D2F85"/>
    <w:rsid w:val="008D35D4"/>
    <w:rsid w:val="008D3BC1"/>
    <w:rsid w:val="008D3CD9"/>
    <w:rsid w:val="008D43DF"/>
    <w:rsid w:val="008D45D7"/>
    <w:rsid w:val="008D4C52"/>
    <w:rsid w:val="008D4C72"/>
    <w:rsid w:val="008D51B8"/>
    <w:rsid w:val="008D6CA2"/>
    <w:rsid w:val="008D6E27"/>
    <w:rsid w:val="008D710A"/>
    <w:rsid w:val="008D762C"/>
    <w:rsid w:val="008D7F10"/>
    <w:rsid w:val="008E009B"/>
    <w:rsid w:val="008E02B0"/>
    <w:rsid w:val="008E04C8"/>
    <w:rsid w:val="008E1030"/>
    <w:rsid w:val="008E1884"/>
    <w:rsid w:val="008E20F7"/>
    <w:rsid w:val="008E211F"/>
    <w:rsid w:val="008E2776"/>
    <w:rsid w:val="008E33D6"/>
    <w:rsid w:val="008E3CA3"/>
    <w:rsid w:val="008E3CB1"/>
    <w:rsid w:val="008E4945"/>
    <w:rsid w:val="008E4A8C"/>
    <w:rsid w:val="008E4AB5"/>
    <w:rsid w:val="008E524F"/>
    <w:rsid w:val="008E5621"/>
    <w:rsid w:val="008E6012"/>
    <w:rsid w:val="008E66BA"/>
    <w:rsid w:val="008E672C"/>
    <w:rsid w:val="008E67B7"/>
    <w:rsid w:val="008E76D2"/>
    <w:rsid w:val="008E783D"/>
    <w:rsid w:val="008E7EDB"/>
    <w:rsid w:val="008F0043"/>
    <w:rsid w:val="008F005D"/>
    <w:rsid w:val="008F188E"/>
    <w:rsid w:val="008F1BC3"/>
    <w:rsid w:val="008F2351"/>
    <w:rsid w:val="008F2DE0"/>
    <w:rsid w:val="008F37A7"/>
    <w:rsid w:val="008F432B"/>
    <w:rsid w:val="008F4F14"/>
    <w:rsid w:val="008F5075"/>
    <w:rsid w:val="008F52D2"/>
    <w:rsid w:val="008F5E12"/>
    <w:rsid w:val="008F6088"/>
    <w:rsid w:val="008F70C4"/>
    <w:rsid w:val="008F7860"/>
    <w:rsid w:val="008F7980"/>
    <w:rsid w:val="008F7B91"/>
    <w:rsid w:val="008F7E87"/>
    <w:rsid w:val="00900257"/>
    <w:rsid w:val="00900387"/>
    <w:rsid w:val="0090083E"/>
    <w:rsid w:val="00900D5D"/>
    <w:rsid w:val="009010B6"/>
    <w:rsid w:val="00901754"/>
    <w:rsid w:val="00901E9C"/>
    <w:rsid w:val="00901FD5"/>
    <w:rsid w:val="0090335B"/>
    <w:rsid w:val="009036CE"/>
    <w:rsid w:val="0090524F"/>
    <w:rsid w:val="00905598"/>
    <w:rsid w:val="00905A5F"/>
    <w:rsid w:val="00906966"/>
    <w:rsid w:val="00906C64"/>
    <w:rsid w:val="009070F6"/>
    <w:rsid w:val="009077EF"/>
    <w:rsid w:val="009103AD"/>
    <w:rsid w:val="009105A6"/>
    <w:rsid w:val="00910DCF"/>
    <w:rsid w:val="009114AC"/>
    <w:rsid w:val="00911C9E"/>
    <w:rsid w:val="00912183"/>
    <w:rsid w:val="009121CE"/>
    <w:rsid w:val="0091264B"/>
    <w:rsid w:val="00912B2D"/>
    <w:rsid w:val="009135DD"/>
    <w:rsid w:val="00913B0A"/>
    <w:rsid w:val="009149A6"/>
    <w:rsid w:val="009149CD"/>
    <w:rsid w:val="00915016"/>
    <w:rsid w:val="00915C70"/>
    <w:rsid w:val="0091676C"/>
    <w:rsid w:val="00916A00"/>
    <w:rsid w:val="00916BF9"/>
    <w:rsid w:val="00917513"/>
    <w:rsid w:val="0091773D"/>
    <w:rsid w:val="00917C2A"/>
    <w:rsid w:val="00917C70"/>
    <w:rsid w:val="00920333"/>
    <w:rsid w:val="00920844"/>
    <w:rsid w:val="00921229"/>
    <w:rsid w:val="00921353"/>
    <w:rsid w:val="00921DB7"/>
    <w:rsid w:val="009224D3"/>
    <w:rsid w:val="00922BF3"/>
    <w:rsid w:val="00923015"/>
    <w:rsid w:val="0092349C"/>
    <w:rsid w:val="00923D85"/>
    <w:rsid w:val="00924101"/>
    <w:rsid w:val="0092507D"/>
    <w:rsid w:val="009256B7"/>
    <w:rsid w:val="00925B65"/>
    <w:rsid w:val="00925D1A"/>
    <w:rsid w:val="009268CB"/>
    <w:rsid w:val="009268EF"/>
    <w:rsid w:val="00927064"/>
    <w:rsid w:val="009304F6"/>
    <w:rsid w:val="00930543"/>
    <w:rsid w:val="00930864"/>
    <w:rsid w:val="00930D50"/>
    <w:rsid w:val="009311B0"/>
    <w:rsid w:val="00931F0F"/>
    <w:rsid w:val="00931F7A"/>
    <w:rsid w:val="00932A71"/>
    <w:rsid w:val="009339B7"/>
    <w:rsid w:val="00934473"/>
    <w:rsid w:val="00935CC2"/>
    <w:rsid w:val="00935FF4"/>
    <w:rsid w:val="00936393"/>
    <w:rsid w:val="0093695D"/>
    <w:rsid w:val="00936E86"/>
    <w:rsid w:val="009374A0"/>
    <w:rsid w:val="00937D57"/>
    <w:rsid w:val="00937F06"/>
    <w:rsid w:val="009402DC"/>
    <w:rsid w:val="009406FE"/>
    <w:rsid w:val="00940844"/>
    <w:rsid w:val="00940C2F"/>
    <w:rsid w:val="00940F2F"/>
    <w:rsid w:val="00941052"/>
    <w:rsid w:val="009413A9"/>
    <w:rsid w:val="00941974"/>
    <w:rsid w:val="00941CA8"/>
    <w:rsid w:val="00942F96"/>
    <w:rsid w:val="00943CB9"/>
    <w:rsid w:val="00943D74"/>
    <w:rsid w:val="00944119"/>
    <w:rsid w:val="0094486C"/>
    <w:rsid w:val="009454B5"/>
    <w:rsid w:val="00945909"/>
    <w:rsid w:val="00946C4F"/>
    <w:rsid w:val="00947B14"/>
    <w:rsid w:val="009500A3"/>
    <w:rsid w:val="009513E4"/>
    <w:rsid w:val="009515BC"/>
    <w:rsid w:val="00952123"/>
    <w:rsid w:val="00952E1E"/>
    <w:rsid w:val="00953CC3"/>
    <w:rsid w:val="00954128"/>
    <w:rsid w:val="0095414C"/>
    <w:rsid w:val="009558D0"/>
    <w:rsid w:val="00955A67"/>
    <w:rsid w:val="00955C6B"/>
    <w:rsid w:val="009564F9"/>
    <w:rsid w:val="00956677"/>
    <w:rsid w:val="0095696F"/>
    <w:rsid w:val="00957411"/>
    <w:rsid w:val="00957697"/>
    <w:rsid w:val="00957716"/>
    <w:rsid w:val="00960464"/>
    <w:rsid w:val="00960A34"/>
    <w:rsid w:val="00961026"/>
    <w:rsid w:val="0096126D"/>
    <w:rsid w:val="00961839"/>
    <w:rsid w:val="00961858"/>
    <w:rsid w:val="00962592"/>
    <w:rsid w:val="00962FE6"/>
    <w:rsid w:val="0096440F"/>
    <w:rsid w:val="009647C5"/>
    <w:rsid w:val="00964E7C"/>
    <w:rsid w:val="009653CF"/>
    <w:rsid w:val="009657A3"/>
    <w:rsid w:val="0096690E"/>
    <w:rsid w:val="00966B83"/>
    <w:rsid w:val="00966B93"/>
    <w:rsid w:val="00966C6C"/>
    <w:rsid w:val="00966DEB"/>
    <w:rsid w:val="0096795B"/>
    <w:rsid w:val="009702C9"/>
    <w:rsid w:val="00970694"/>
    <w:rsid w:val="009712E7"/>
    <w:rsid w:val="009713A6"/>
    <w:rsid w:val="009719C2"/>
    <w:rsid w:val="00971CFD"/>
    <w:rsid w:val="00971E9E"/>
    <w:rsid w:val="009731F7"/>
    <w:rsid w:val="00973CC6"/>
    <w:rsid w:val="009741B1"/>
    <w:rsid w:val="00976A8F"/>
    <w:rsid w:val="00976B71"/>
    <w:rsid w:val="00976E5D"/>
    <w:rsid w:val="00976F96"/>
    <w:rsid w:val="00977231"/>
    <w:rsid w:val="0097757E"/>
    <w:rsid w:val="00977C6F"/>
    <w:rsid w:val="00977E76"/>
    <w:rsid w:val="00980CE3"/>
    <w:rsid w:val="00980D74"/>
    <w:rsid w:val="00981139"/>
    <w:rsid w:val="0098178E"/>
    <w:rsid w:val="00982533"/>
    <w:rsid w:val="009827A3"/>
    <w:rsid w:val="00982CFA"/>
    <w:rsid w:val="009843F5"/>
    <w:rsid w:val="009845E5"/>
    <w:rsid w:val="0098478C"/>
    <w:rsid w:val="0098499D"/>
    <w:rsid w:val="009850A4"/>
    <w:rsid w:val="00985BBD"/>
    <w:rsid w:val="009863F3"/>
    <w:rsid w:val="009874C7"/>
    <w:rsid w:val="00987A40"/>
    <w:rsid w:val="00987B3A"/>
    <w:rsid w:val="00987CFC"/>
    <w:rsid w:val="00987ECC"/>
    <w:rsid w:val="009901DD"/>
    <w:rsid w:val="00990700"/>
    <w:rsid w:val="00990C17"/>
    <w:rsid w:val="009925E1"/>
    <w:rsid w:val="00992F38"/>
    <w:rsid w:val="0099334C"/>
    <w:rsid w:val="0099335D"/>
    <w:rsid w:val="0099337C"/>
    <w:rsid w:val="009939E7"/>
    <w:rsid w:val="00993A92"/>
    <w:rsid w:val="00993BF1"/>
    <w:rsid w:val="0099444E"/>
    <w:rsid w:val="00994F8F"/>
    <w:rsid w:val="0099541E"/>
    <w:rsid w:val="00995D83"/>
    <w:rsid w:val="00995F86"/>
    <w:rsid w:val="009962C9"/>
    <w:rsid w:val="0099639A"/>
    <w:rsid w:val="00996F8A"/>
    <w:rsid w:val="0099765E"/>
    <w:rsid w:val="00997926"/>
    <w:rsid w:val="009A0FDD"/>
    <w:rsid w:val="009A1519"/>
    <w:rsid w:val="009A15BC"/>
    <w:rsid w:val="009A2194"/>
    <w:rsid w:val="009A2DFC"/>
    <w:rsid w:val="009A2EDC"/>
    <w:rsid w:val="009A37A6"/>
    <w:rsid w:val="009A3DD2"/>
    <w:rsid w:val="009A42FE"/>
    <w:rsid w:val="009A43A4"/>
    <w:rsid w:val="009A4DE9"/>
    <w:rsid w:val="009A56A1"/>
    <w:rsid w:val="009A584C"/>
    <w:rsid w:val="009A60D6"/>
    <w:rsid w:val="009A658D"/>
    <w:rsid w:val="009A6998"/>
    <w:rsid w:val="009A7B3D"/>
    <w:rsid w:val="009A7EE9"/>
    <w:rsid w:val="009A7F6F"/>
    <w:rsid w:val="009A7F9E"/>
    <w:rsid w:val="009B132D"/>
    <w:rsid w:val="009B178B"/>
    <w:rsid w:val="009B2283"/>
    <w:rsid w:val="009B322D"/>
    <w:rsid w:val="009B3533"/>
    <w:rsid w:val="009B373B"/>
    <w:rsid w:val="009B37DA"/>
    <w:rsid w:val="009B4CFD"/>
    <w:rsid w:val="009B4DC6"/>
    <w:rsid w:val="009B532D"/>
    <w:rsid w:val="009B537D"/>
    <w:rsid w:val="009B5CAC"/>
    <w:rsid w:val="009B5F57"/>
    <w:rsid w:val="009B633C"/>
    <w:rsid w:val="009B6626"/>
    <w:rsid w:val="009B6CCB"/>
    <w:rsid w:val="009C01E7"/>
    <w:rsid w:val="009C1D25"/>
    <w:rsid w:val="009C21CE"/>
    <w:rsid w:val="009C2348"/>
    <w:rsid w:val="009C23D3"/>
    <w:rsid w:val="009C2424"/>
    <w:rsid w:val="009C2B35"/>
    <w:rsid w:val="009C38CE"/>
    <w:rsid w:val="009C4033"/>
    <w:rsid w:val="009C4604"/>
    <w:rsid w:val="009C46EC"/>
    <w:rsid w:val="009C4828"/>
    <w:rsid w:val="009C4E81"/>
    <w:rsid w:val="009C61D1"/>
    <w:rsid w:val="009C67D4"/>
    <w:rsid w:val="009C7188"/>
    <w:rsid w:val="009C76EE"/>
    <w:rsid w:val="009D042E"/>
    <w:rsid w:val="009D0717"/>
    <w:rsid w:val="009D12FA"/>
    <w:rsid w:val="009D13A0"/>
    <w:rsid w:val="009D159F"/>
    <w:rsid w:val="009D1796"/>
    <w:rsid w:val="009D2674"/>
    <w:rsid w:val="009D29DA"/>
    <w:rsid w:val="009D3AE1"/>
    <w:rsid w:val="009D3B71"/>
    <w:rsid w:val="009D3CED"/>
    <w:rsid w:val="009D4276"/>
    <w:rsid w:val="009D42F7"/>
    <w:rsid w:val="009D49B1"/>
    <w:rsid w:val="009D4EFF"/>
    <w:rsid w:val="009D4F70"/>
    <w:rsid w:val="009D4FEE"/>
    <w:rsid w:val="009D52B9"/>
    <w:rsid w:val="009D53CF"/>
    <w:rsid w:val="009D56FC"/>
    <w:rsid w:val="009D5D1E"/>
    <w:rsid w:val="009D5F8F"/>
    <w:rsid w:val="009D6370"/>
    <w:rsid w:val="009D6D80"/>
    <w:rsid w:val="009D7374"/>
    <w:rsid w:val="009D738E"/>
    <w:rsid w:val="009E020F"/>
    <w:rsid w:val="009E0871"/>
    <w:rsid w:val="009E0C15"/>
    <w:rsid w:val="009E11C7"/>
    <w:rsid w:val="009E1AC2"/>
    <w:rsid w:val="009E1CA2"/>
    <w:rsid w:val="009E1E8C"/>
    <w:rsid w:val="009E1F97"/>
    <w:rsid w:val="009E2B67"/>
    <w:rsid w:val="009E2CFB"/>
    <w:rsid w:val="009E3A1A"/>
    <w:rsid w:val="009E3BE4"/>
    <w:rsid w:val="009E40DE"/>
    <w:rsid w:val="009E44F7"/>
    <w:rsid w:val="009E560E"/>
    <w:rsid w:val="009E596A"/>
    <w:rsid w:val="009E5ADE"/>
    <w:rsid w:val="009E6928"/>
    <w:rsid w:val="009E69B2"/>
    <w:rsid w:val="009E71FA"/>
    <w:rsid w:val="009F0632"/>
    <w:rsid w:val="009F073A"/>
    <w:rsid w:val="009F0A82"/>
    <w:rsid w:val="009F0E66"/>
    <w:rsid w:val="009F19A0"/>
    <w:rsid w:val="009F2374"/>
    <w:rsid w:val="009F27F8"/>
    <w:rsid w:val="009F30FC"/>
    <w:rsid w:val="009F432E"/>
    <w:rsid w:val="009F469D"/>
    <w:rsid w:val="009F4971"/>
    <w:rsid w:val="009F4B80"/>
    <w:rsid w:val="009F4BF2"/>
    <w:rsid w:val="009F4F8B"/>
    <w:rsid w:val="009F5375"/>
    <w:rsid w:val="009F59CC"/>
    <w:rsid w:val="009F7156"/>
    <w:rsid w:val="009F731B"/>
    <w:rsid w:val="00A001E3"/>
    <w:rsid w:val="00A003A1"/>
    <w:rsid w:val="00A00E0D"/>
    <w:rsid w:val="00A02496"/>
    <w:rsid w:val="00A02587"/>
    <w:rsid w:val="00A02871"/>
    <w:rsid w:val="00A02A67"/>
    <w:rsid w:val="00A030A6"/>
    <w:rsid w:val="00A03199"/>
    <w:rsid w:val="00A03678"/>
    <w:rsid w:val="00A03770"/>
    <w:rsid w:val="00A03CA9"/>
    <w:rsid w:val="00A057D1"/>
    <w:rsid w:val="00A05C9F"/>
    <w:rsid w:val="00A05DB4"/>
    <w:rsid w:val="00A0630D"/>
    <w:rsid w:val="00A065C7"/>
    <w:rsid w:val="00A06A7B"/>
    <w:rsid w:val="00A0718E"/>
    <w:rsid w:val="00A0725C"/>
    <w:rsid w:val="00A076F5"/>
    <w:rsid w:val="00A07E22"/>
    <w:rsid w:val="00A1005E"/>
    <w:rsid w:val="00A1064D"/>
    <w:rsid w:val="00A106B9"/>
    <w:rsid w:val="00A107CF"/>
    <w:rsid w:val="00A11397"/>
    <w:rsid w:val="00A13306"/>
    <w:rsid w:val="00A13947"/>
    <w:rsid w:val="00A1394D"/>
    <w:rsid w:val="00A13FA6"/>
    <w:rsid w:val="00A14476"/>
    <w:rsid w:val="00A14481"/>
    <w:rsid w:val="00A145EA"/>
    <w:rsid w:val="00A148A3"/>
    <w:rsid w:val="00A14BC8"/>
    <w:rsid w:val="00A14FFF"/>
    <w:rsid w:val="00A1539D"/>
    <w:rsid w:val="00A1552A"/>
    <w:rsid w:val="00A15CF7"/>
    <w:rsid w:val="00A1644C"/>
    <w:rsid w:val="00A16455"/>
    <w:rsid w:val="00A164A4"/>
    <w:rsid w:val="00A16514"/>
    <w:rsid w:val="00A16FDC"/>
    <w:rsid w:val="00A20CE5"/>
    <w:rsid w:val="00A21339"/>
    <w:rsid w:val="00A21603"/>
    <w:rsid w:val="00A21CF7"/>
    <w:rsid w:val="00A22029"/>
    <w:rsid w:val="00A22101"/>
    <w:rsid w:val="00A225CC"/>
    <w:rsid w:val="00A225F5"/>
    <w:rsid w:val="00A2296C"/>
    <w:rsid w:val="00A2339A"/>
    <w:rsid w:val="00A23CC5"/>
    <w:rsid w:val="00A23CE7"/>
    <w:rsid w:val="00A23EEB"/>
    <w:rsid w:val="00A24466"/>
    <w:rsid w:val="00A24677"/>
    <w:rsid w:val="00A24E1E"/>
    <w:rsid w:val="00A24E2C"/>
    <w:rsid w:val="00A2555A"/>
    <w:rsid w:val="00A26916"/>
    <w:rsid w:val="00A3154D"/>
    <w:rsid w:val="00A31567"/>
    <w:rsid w:val="00A319DD"/>
    <w:rsid w:val="00A31DF1"/>
    <w:rsid w:val="00A3292E"/>
    <w:rsid w:val="00A32E29"/>
    <w:rsid w:val="00A32EE4"/>
    <w:rsid w:val="00A33657"/>
    <w:rsid w:val="00A339C8"/>
    <w:rsid w:val="00A33A5A"/>
    <w:rsid w:val="00A33E07"/>
    <w:rsid w:val="00A349FB"/>
    <w:rsid w:val="00A34BC6"/>
    <w:rsid w:val="00A34F47"/>
    <w:rsid w:val="00A351A4"/>
    <w:rsid w:val="00A35233"/>
    <w:rsid w:val="00A35BB5"/>
    <w:rsid w:val="00A35CC0"/>
    <w:rsid w:val="00A36657"/>
    <w:rsid w:val="00A36A22"/>
    <w:rsid w:val="00A36B2F"/>
    <w:rsid w:val="00A36E73"/>
    <w:rsid w:val="00A3739D"/>
    <w:rsid w:val="00A3760E"/>
    <w:rsid w:val="00A37F1B"/>
    <w:rsid w:val="00A4018F"/>
    <w:rsid w:val="00A40364"/>
    <w:rsid w:val="00A40C1F"/>
    <w:rsid w:val="00A40FAA"/>
    <w:rsid w:val="00A41E64"/>
    <w:rsid w:val="00A41F5C"/>
    <w:rsid w:val="00A42AC5"/>
    <w:rsid w:val="00A4495D"/>
    <w:rsid w:val="00A44D18"/>
    <w:rsid w:val="00A45CA6"/>
    <w:rsid w:val="00A45CB0"/>
    <w:rsid w:val="00A46419"/>
    <w:rsid w:val="00A46EC5"/>
    <w:rsid w:val="00A4735C"/>
    <w:rsid w:val="00A4745E"/>
    <w:rsid w:val="00A47B93"/>
    <w:rsid w:val="00A51962"/>
    <w:rsid w:val="00A51F31"/>
    <w:rsid w:val="00A5209F"/>
    <w:rsid w:val="00A5252E"/>
    <w:rsid w:val="00A526C8"/>
    <w:rsid w:val="00A52AF2"/>
    <w:rsid w:val="00A52DD2"/>
    <w:rsid w:val="00A5321E"/>
    <w:rsid w:val="00A536E3"/>
    <w:rsid w:val="00A53938"/>
    <w:rsid w:val="00A53F96"/>
    <w:rsid w:val="00A543B1"/>
    <w:rsid w:val="00A545EA"/>
    <w:rsid w:val="00A54B46"/>
    <w:rsid w:val="00A55890"/>
    <w:rsid w:val="00A56912"/>
    <w:rsid w:val="00A56F85"/>
    <w:rsid w:val="00A57052"/>
    <w:rsid w:val="00A57166"/>
    <w:rsid w:val="00A57D07"/>
    <w:rsid w:val="00A57F3A"/>
    <w:rsid w:val="00A6054F"/>
    <w:rsid w:val="00A60FEC"/>
    <w:rsid w:val="00A61461"/>
    <w:rsid w:val="00A61593"/>
    <w:rsid w:val="00A616E2"/>
    <w:rsid w:val="00A62C5D"/>
    <w:rsid w:val="00A62CA0"/>
    <w:rsid w:val="00A63B0F"/>
    <w:rsid w:val="00A63D56"/>
    <w:rsid w:val="00A64175"/>
    <w:rsid w:val="00A64E2F"/>
    <w:rsid w:val="00A659E5"/>
    <w:rsid w:val="00A65B61"/>
    <w:rsid w:val="00A66483"/>
    <w:rsid w:val="00A67375"/>
    <w:rsid w:val="00A67490"/>
    <w:rsid w:val="00A70EF4"/>
    <w:rsid w:val="00A715EB"/>
    <w:rsid w:val="00A71C7E"/>
    <w:rsid w:val="00A7207F"/>
    <w:rsid w:val="00A72DF8"/>
    <w:rsid w:val="00A7313F"/>
    <w:rsid w:val="00A74AFA"/>
    <w:rsid w:val="00A74BCF"/>
    <w:rsid w:val="00A75312"/>
    <w:rsid w:val="00A76098"/>
    <w:rsid w:val="00A7628D"/>
    <w:rsid w:val="00A76447"/>
    <w:rsid w:val="00A7652A"/>
    <w:rsid w:val="00A769F9"/>
    <w:rsid w:val="00A76C70"/>
    <w:rsid w:val="00A77245"/>
    <w:rsid w:val="00A80B43"/>
    <w:rsid w:val="00A80C19"/>
    <w:rsid w:val="00A8127A"/>
    <w:rsid w:val="00A81303"/>
    <w:rsid w:val="00A81924"/>
    <w:rsid w:val="00A81A2C"/>
    <w:rsid w:val="00A81DCC"/>
    <w:rsid w:val="00A81FD6"/>
    <w:rsid w:val="00A8202D"/>
    <w:rsid w:val="00A82406"/>
    <w:rsid w:val="00A82436"/>
    <w:rsid w:val="00A82581"/>
    <w:rsid w:val="00A826F1"/>
    <w:rsid w:val="00A82F85"/>
    <w:rsid w:val="00A843CC"/>
    <w:rsid w:val="00A847FC"/>
    <w:rsid w:val="00A855D0"/>
    <w:rsid w:val="00A855F8"/>
    <w:rsid w:val="00A87586"/>
    <w:rsid w:val="00A87A8C"/>
    <w:rsid w:val="00A9076A"/>
    <w:rsid w:val="00A90C1E"/>
    <w:rsid w:val="00A90E56"/>
    <w:rsid w:val="00A91799"/>
    <w:rsid w:val="00A92EEA"/>
    <w:rsid w:val="00A933A2"/>
    <w:rsid w:val="00A938E7"/>
    <w:rsid w:val="00A93DA7"/>
    <w:rsid w:val="00A93E51"/>
    <w:rsid w:val="00A94E5B"/>
    <w:rsid w:val="00A95169"/>
    <w:rsid w:val="00A9530D"/>
    <w:rsid w:val="00A9669E"/>
    <w:rsid w:val="00A96ADE"/>
    <w:rsid w:val="00A96BD3"/>
    <w:rsid w:val="00A96D0F"/>
    <w:rsid w:val="00A96DD0"/>
    <w:rsid w:val="00A9738A"/>
    <w:rsid w:val="00A97603"/>
    <w:rsid w:val="00A9767B"/>
    <w:rsid w:val="00A97A75"/>
    <w:rsid w:val="00A97AFA"/>
    <w:rsid w:val="00A97B4F"/>
    <w:rsid w:val="00A97C36"/>
    <w:rsid w:val="00A97E1C"/>
    <w:rsid w:val="00AA007C"/>
    <w:rsid w:val="00AA12E9"/>
    <w:rsid w:val="00AA1865"/>
    <w:rsid w:val="00AA1A27"/>
    <w:rsid w:val="00AA1FAA"/>
    <w:rsid w:val="00AA20D3"/>
    <w:rsid w:val="00AA29AF"/>
    <w:rsid w:val="00AA3056"/>
    <w:rsid w:val="00AA3205"/>
    <w:rsid w:val="00AA36C5"/>
    <w:rsid w:val="00AA3D81"/>
    <w:rsid w:val="00AA3FCE"/>
    <w:rsid w:val="00AA4574"/>
    <w:rsid w:val="00AA5490"/>
    <w:rsid w:val="00AA56B4"/>
    <w:rsid w:val="00AA5847"/>
    <w:rsid w:val="00AA67A6"/>
    <w:rsid w:val="00AA6B69"/>
    <w:rsid w:val="00AA6BE6"/>
    <w:rsid w:val="00AA6CA7"/>
    <w:rsid w:val="00AA7755"/>
    <w:rsid w:val="00AA7E78"/>
    <w:rsid w:val="00AB0860"/>
    <w:rsid w:val="00AB0C55"/>
    <w:rsid w:val="00AB0E21"/>
    <w:rsid w:val="00AB2649"/>
    <w:rsid w:val="00AB417A"/>
    <w:rsid w:val="00AB4C4F"/>
    <w:rsid w:val="00AB546E"/>
    <w:rsid w:val="00AB5B95"/>
    <w:rsid w:val="00AB62CD"/>
    <w:rsid w:val="00AB6FC3"/>
    <w:rsid w:val="00AB7877"/>
    <w:rsid w:val="00AC00BD"/>
    <w:rsid w:val="00AC05E5"/>
    <w:rsid w:val="00AC0DD4"/>
    <w:rsid w:val="00AC165E"/>
    <w:rsid w:val="00AC17EB"/>
    <w:rsid w:val="00AC1A87"/>
    <w:rsid w:val="00AC2174"/>
    <w:rsid w:val="00AC23BF"/>
    <w:rsid w:val="00AC2ACA"/>
    <w:rsid w:val="00AC2CD2"/>
    <w:rsid w:val="00AC522A"/>
    <w:rsid w:val="00AC53AC"/>
    <w:rsid w:val="00AC5AAC"/>
    <w:rsid w:val="00AC5E55"/>
    <w:rsid w:val="00AC6C45"/>
    <w:rsid w:val="00AC728F"/>
    <w:rsid w:val="00AC7E26"/>
    <w:rsid w:val="00AD0FF1"/>
    <w:rsid w:val="00AD1E58"/>
    <w:rsid w:val="00AD1F0C"/>
    <w:rsid w:val="00AD224D"/>
    <w:rsid w:val="00AD2332"/>
    <w:rsid w:val="00AD2A6B"/>
    <w:rsid w:val="00AD395A"/>
    <w:rsid w:val="00AD3C84"/>
    <w:rsid w:val="00AD43DE"/>
    <w:rsid w:val="00AD4D85"/>
    <w:rsid w:val="00AD574E"/>
    <w:rsid w:val="00AD5DF0"/>
    <w:rsid w:val="00AD6962"/>
    <w:rsid w:val="00AD6B53"/>
    <w:rsid w:val="00AD6C37"/>
    <w:rsid w:val="00AD73CE"/>
    <w:rsid w:val="00AD7A97"/>
    <w:rsid w:val="00AD7D1B"/>
    <w:rsid w:val="00AD7E2C"/>
    <w:rsid w:val="00AE02E5"/>
    <w:rsid w:val="00AE0DA8"/>
    <w:rsid w:val="00AE11BF"/>
    <w:rsid w:val="00AE14B3"/>
    <w:rsid w:val="00AE20E1"/>
    <w:rsid w:val="00AE3D76"/>
    <w:rsid w:val="00AE4B4C"/>
    <w:rsid w:val="00AE4C1D"/>
    <w:rsid w:val="00AE4D54"/>
    <w:rsid w:val="00AE4FE7"/>
    <w:rsid w:val="00AE56F3"/>
    <w:rsid w:val="00AE56FD"/>
    <w:rsid w:val="00AE5CFF"/>
    <w:rsid w:val="00AE61BB"/>
    <w:rsid w:val="00AE6341"/>
    <w:rsid w:val="00AE6F49"/>
    <w:rsid w:val="00AE7282"/>
    <w:rsid w:val="00AE7A8B"/>
    <w:rsid w:val="00AE7DD0"/>
    <w:rsid w:val="00AF01D5"/>
    <w:rsid w:val="00AF0E6B"/>
    <w:rsid w:val="00AF14BA"/>
    <w:rsid w:val="00AF17DF"/>
    <w:rsid w:val="00AF2D56"/>
    <w:rsid w:val="00AF2FF5"/>
    <w:rsid w:val="00AF318F"/>
    <w:rsid w:val="00AF38DC"/>
    <w:rsid w:val="00AF3FB6"/>
    <w:rsid w:val="00AF435A"/>
    <w:rsid w:val="00AF48EE"/>
    <w:rsid w:val="00AF4957"/>
    <w:rsid w:val="00AF5621"/>
    <w:rsid w:val="00B007B8"/>
    <w:rsid w:val="00B00C84"/>
    <w:rsid w:val="00B00ED0"/>
    <w:rsid w:val="00B0120E"/>
    <w:rsid w:val="00B01ADC"/>
    <w:rsid w:val="00B01CAF"/>
    <w:rsid w:val="00B01DF8"/>
    <w:rsid w:val="00B03213"/>
    <w:rsid w:val="00B03574"/>
    <w:rsid w:val="00B04E0A"/>
    <w:rsid w:val="00B05117"/>
    <w:rsid w:val="00B0527C"/>
    <w:rsid w:val="00B05A28"/>
    <w:rsid w:val="00B060C3"/>
    <w:rsid w:val="00B0746D"/>
    <w:rsid w:val="00B078E5"/>
    <w:rsid w:val="00B07AA2"/>
    <w:rsid w:val="00B07CC0"/>
    <w:rsid w:val="00B105F8"/>
    <w:rsid w:val="00B10952"/>
    <w:rsid w:val="00B11033"/>
    <w:rsid w:val="00B1116E"/>
    <w:rsid w:val="00B113DF"/>
    <w:rsid w:val="00B1180F"/>
    <w:rsid w:val="00B12127"/>
    <w:rsid w:val="00B123D2"/>
    <w:rsid w:val="00B12F17"/>
    <w:rsid w:val="00B1370F"/>
    <w:rsid w:val="00B13B80"/>
    <w:rsid w:val="00B13BF2"/>
    <w:rsid w:val="00B14027"/>
    <w:rsid w:val="00B1453A"/>
    <w:rsid w:val="00B152CF"/>
    <w:rsid w:val="00B157C8"/>
    <w:rsid w:val="00B15EC5"/>
    <w:rsid w:val="00B16182"/>
    <w:rsid w:val="00B16393"/>
    <w:rsid w:val="00B17592"/>
    <w:rsid w:val="00B20130"/>
    <w:rsid w:val="00B20ED4"/>
    <w:rsid w:val="00B21158"/>
    <w:rsid w:val="00B21359"/>
    <w:rsid w:val="00B215CE"/>
    <w:rsid w:val="00B219A3"/>
    <w:rsid w:val="00B21FC3"/>
    <w:rsid w:val="00B223A1"/>
    <w:rsid w:val="00B225D3"/>
    <w:rsid w:val="00B2288D"/>
    <w:rsid w:val="00B23636"/>
    <w:rsid w:val="00B23ACE"/>
    <w:rsid w:val="00B23EA7"/>
    <w:rsid w:val="00B253C6"/>
    <w:rsid w:val="00B259CE"/>
    <w:rsid w:val="00B25C1A"/>
    <w:rsid w:val="00B25D81"/>
    <w:rsid w:val="00B26086"/>
    <w:rsid w:val="00B264F4"/>
    <w:rsid w:val="00B27051"/>
    <w:rsid w:val="00B274A4"/>
    <w:rsid w:val="00B27788"/>
    <w:rsid w:val="00B278A9"/>
    <w:rsid w:val="00B27F4C"/>
    <w:rsid w:val="00B305F9"/>
    <w:rsid w:val="00B308B9"/>
    <w:rsid w:val="00B30CCC"/>
    <w:rsid w:val="00B30EAA"/>
    <w:rsid w:val="00B31224"/>
    <w:rsid w:val="00B328EE"/>
    <w:rsid w:val="00B3291E"/>
    <w:rsid w:val="00B32B56"/>
    <w:rsid w:val="00B334D9"/>
    <w:rsid w:val="00B33AC2"/>
    <w:rsid w:val="00B33E09"/>
    <w:rsid w:val="00B33EEC"/>
    <w:rsid w:val="00B34E89"/>
    <w:rsid w:val="00B35326"/>
    <w:rsid w:val="00B36030"/>
    <w:rsid w:val="00B362BB"/>
    <w:rsid w:val="00B36511"/>
    <w:rsid w:val="00B366F3"/>
    <w:rsid w:val="00B36A0B"/>
    <w:rsid w:val="00B371CC"/>
    <w:rsid w:val="00B37774"/>
    <w:rsid w:val="00B37B8E"/>
    <w:rsid w:val="00B40353"/>
    <w:rsid w:val="00B4038D"/>
    <w:rsid w:val="00B4099B"/>
    <w:rsid w:val="00B40BBC"/>
    <w:rsid w:val="00B40F79"/>
    <w:rsid w:val="00B415A5"/>
    <w:rsid w:val="00B41773"/>
    <w:rsid w:val="00B41B82"/>
    <w:rsid w:val="00B4227F"/>
    <w:rsid w:val="00B4309B"/>
    <w:rsid w:val="00B438D4"/>
    <w:rsid w:val="00B43B5D"/>
    <w:rsid w:val="00B44722"/>
    <w:rsid w:val="00B45193"/>
    <w:rsid w:val="00B451D8"/>
    <w:rsid w:val="00B457A1"/>
    <w:rsid w:val="00B46392"/>
    <w:rsid w:val="00B46672"/>
    <w:rsid w:val="00B469EC"/>
    <w:rsid w:val="00B46F23"/>
    <w:rsid w:val="00B47065"/>
    <w:rsid w:val="00B503C8"/>
    <w:rsid w:val="00B504D4"/>
    <w:rsid w:val="00B50871"/>
    <w:rsid w:val="00B51011"/>
    <w:rsid w:val="00B513A2"/>
    <w:rsid w:val="00B5156D"/>
    <w:rsid w:val="00B51661"/>
    <w:rsid w:val="00B51701"/>
    <w:rsid w:val="00B5184D"/>
    <w:rsid w:val="00B529AC"/>
    <w:rsid w:val="00B529C8"/>
    <w:rsid w:val="00B52A99"/>
    <w:rsid w:val="00B52F3D"/>
    <w:rsid w:val="00B53229"/>
    <w:rsid w:val="00B5376B"/>
    <w:rsid w:val="00B53A94"/>
    <w:rsid w:val="00B5423E"/>
    <w:rsid w:val="00B54A41"/>
    <w:rsid w:val="00B54F19"/>
    <w:rsid w:val="00B555FF"/>
    <w:rsid w:val="00B558A9"/>
    <w:rsid w:val="00B55A77"/>
    <w:rsid w:val="00B55F39"/>
    <w:rsid w:val="00B563C6"/>
    <w:rsid w:val="00B565DC"/>
    <w:rsid w:val="00B566D6"/>
    <w:rsid w:val="00B57E45"/>
    <w:rsid w:val="00B57F75"/>
    <w:rsid w:val="00B6028F"/>
    <w:rsid w:val="00B60AE0"/>
    <w:rsid w:val="00B61354"/>
    <w:rsid w:val="00B61DF1"/>
    <w:rsid w:val="00B61F1E"/>
    <w:rsid w:val="00B638F0"/>
    <w:rsid w:val="00B64F7E"/>
    <w:rsid w:val="00B656B8"/>
    <w:rsid w:val="00B65B91"/>
    <w:rsid w:val="00B65D5D"/>
    <w:rsid w:val="00B66214"/>
    <w:rsid w:val="00B6654F"/>
    <w:rsid w:val="00B66564"/>
    <w:rsid w:val="00B66765"/>
    <w:rsid w:val="00B66AB5"/>
    <w:rsid w:val="00B67602"/>
    <w:rsid w:val="00B70020"/>
    <w:rsid w:val="00B701E1"/>
    <w:rsid w:val="00B704DA"/>
    <w:rsid w:val="00B711DE"/>
    <w:rsid w:val="00B71485"/>
    <w:rsid w:val="00B7187F"/>
    <w:rsid w:val="00B71B96"/>
    <w:rsid w:val="00B71F07"/>
    <w:rsid w:val="00B7209B"/>
    <w:rsid w:val="00B72CE3"/>
    <w:rsid w:val="00B72FE3"/>
    <w:rsid w:val="00B7368D"/>
    <w:rsid w:val="00B73DEA"/>
    <w:rsid w:val="00B7450F"/>
    <w:rsid w:val="00B74C34"/>
    <w:rsid w:val="00B75422"/>
    <w:rsid w:val="00B761A3"/>
    <w:rsid w:val="00B7627D"/>
    <w:rsid w:val="00B76296"/>
    <w:rsid w:val="00B76805"/>
    <w:rsid w:val="00B76CF5"/>
    <w:rsid w:val="00B7735A"/>
    <w:rsid w:val="00B777A3"/>
    <w:rsid w:val="00B778E3"/>
    <w:rsid w:val="00B77F68"/>
    <w:rsid w:val="00B80A90"/>
    <w:rsid w:val="00B80DEC"/>
    <w:rsid w:val="00B810DE"/>
    <w:rsid w:val="00B817C0"/>
    <w:rsid w:val="00B81D03"/>
    <w:rsid w:val="00B8225C"/>
    <w:rsid w:val="00B829EE"/>
    <w:rsid w:val="00B82FF0"/>
    <w:rsid w:val="00B83296"/>
    <w:rsid w:val="00B8334F"/>
    <w:rsid w:val="00B83DC1"/>
    <w:rsid w:val="00B84469"/>
    <w:rsid w:val="00B84557"/>
    <w:rsid w:val="00B84F0E"/>
    <w:rsid w:val="00B84FA0"/>
    <w:rsid w:val="00B85139"/>
    <w:rsid w:val="00B85732"/>
    <w:rsid w:val="00B857F7"/>
    <w:rsid w:val="00B858E8"/>
    <w:rsid w:val="00B860C2"/>
    <w:rsid w:val="00B8711E"/>
    <w:rsid w:val="00B871E3"/>
    <w:rsid w:val="00B9007C"/>
    <w:rsid w:val="00B9041F"/>
    <w:rsid w:val="00B916A5"/>
    <w:rsid w:val="00B916F5"/>
    <w:rsid w:val="00B9195F"/>
    <w:rsid w:val="00B91BD5"/>
    <w:rsid w:val="00B9277A"/>
    <w:rsid w:val="00B92946"/>
    <w:rsid w:val="00B929FB"/>
    <w:rsid w:val="00B93780"/>
    <w:rsid w:val="00B93809"/>
    <w:rsid w:val="00B93AF9"/>
    <w:rsid w:val="00B9461D"/>
    <w:rsid w:val="00B95564"/>
    <w:rsid w:val="00B955A5"/>
    <w:rsid w:val="00B95907"/>
    <w:rsid w:val="00B95CE3"/>
    <w:rsid w:val="00B960D6"/>
    <w:rsid w:val="00B9610C"/>
    <w:rsid w:val="00B9665F"/>
    <w:rsid w:val="00B96671"/>
    <w:rsid w:val="00B968E5"/>
    <w:rsid w:val="00B96FEE"/>
    <w:rsid w:val="00B9705B"/>
    <w:rsid w:val="00BA0275"/>
    <w:rsid w:val="00BA0381"/>
    <w:rsid w:val="00BA03C0"/>
    <w:rsid w:val="00BA0404"/>
    <w:rsid w:val="00BA0774"/>
    <w:rsid w:val="00BA0A68"/>
    <w:rsid w:val="00BA100D"/>
    <w:rsid w:val="00BA106C"/>
    <w:rsid w:val="00BA1451"/>
    <w:rsid w:val="00BA1583"/>
    <w:rsid w:val="00BA1AAE"/>
    <w:rsid w:val="00BA233C"/>
    <w:rsid w:val="00BA24D2"/>
    <w:rsid w:val="00BA28E9"/>
    <w:rsid w:val="00BA2AAA"/>
    <w:rsid w:val="00BA3141"/>
    <w:rsid w:val="00BA3509"/>
    <w:rsid w:val="00BA351C"/>
    <w:rsid w:val="00BA3C33"/>
    <w:rsid w:val="00BA4507"/>
    <w:rsid w:val="00BA4ED5"/>
    <w:rsid w:val="00BA5C6C"/>
    <w:rsid w:val="00BA5FC5"/>
    <w:rsid w:val="00BA63EA"/>
    <w:rsid w:val="00BA6DF3"/>
    <w:rsid w:val="00BA78B4"/>
    <w:rsid w:val="00BB08F6"/>
    <w:rsid w:val="00BB0B81"/>
    <w:rsid w:val="00BB0F36"/>
    <w:rsid w:val="00BB1257"/>
    <w:rsid w:val="00BB1D1F"/>
    <w:rsid w:val="00BB21D0"/>
    <w:rsid w:val="00BB2791"/>
    <w:rsid w:val="00BB2819"/>
    <w:rsid w:val="00BB29EE"/>
    <w:rsid w:val="00BB2E09"/>
    <w:rsid w:val="00BB3535"/>
    <w:rsid w:val="00BB3C0B"/>
    <w:rsid w:val="00BB51E7"/>
    <w:rsid w:val="00BB541F"/>
    <w:rsid w:val="00BB6237"/>
    <w:rsid w:val="00BB6591"/>
    <w:rsid w:val="00BB6D81"/>
    <w:rsid w:val="00BB7752"/>
    <w:rsid w:val="00BB77BC"/>
    <w:rsid w:val="00BB789A"/>
    <w:rsid w:val="00BC0069"/>
    <w:rsid w:val="00BC06F4"/>
    <w:rsid w:val="00BC1228"/>
    <w:rsid w:val="00BC12F3"/>
    <w:rsid w:val="00BC18C1"/>
    <w:rsid w:val="00BC1B49"/>
    <w:rsid w:val="00BC21B6"/>
    <w:rsid w:val="00BC21CE"/>
    <w:rsid w:val="00BC25A3"/>
    <w:rsid w:val="00BC2753"/>
    <w:rsid w:val="00BC29D6"/>
    <w:rsid w:val="00BC2FBE"/>
    <w:rsid w:val="00BC3FF2"/>
    <w:rsid w:val="00BC468D"/>
    <w:rsid w:val="00BC48CB"/>
    <w:rsid w:val="00BC4FA5"/>
    <w:rsid w:val="00BC5ABA"/>
    <w:rsid w:val="00BC625E"/>
    <w:rsid w:val="00BC63F9"/>
    <w:rsid w:val="00BC6B7E"/>
    <w:rsid w:val="00BC736D"/>
    <w:rsid w:val="00BC73D3"/>
    <w:rsid w:val="00BC7AEE"/>
    <w:rsid w:val="00BD0D9D"/>
    <w:rsid w:val="00BD1FA3"/>
    <w:rsid w:val="00BD3462"/>
    <w:rsid w:val="00BD3605"/>
    <w:rsid w:val="00BD3B39"/>
    <w:rsid w:val="00BD4070"/>
    <w:rsid w:val="00BD442D"/>
    <w:rsid w:val="00BD4AA3"/>
    <w:rsid w:val="00BD4AB7"/>
    <w:rsid w:val="00BD4FA1"/>
    <w:rsid w:val="00BD5DC0"/>
    <w:rsid w:val="00BD5FA2"/>
    <w:rsid w:val="00BD63AA"/>
    <w:rsid w:val="00BD68E7"/>
    <w:rsid w:val="00BD6B00"/>
    <w:rsid w:val="00BD7083"/>
    <w:rsid w:val="00BD7132"/>
    <w:rsid w:val="00BD76D7"/>
    <w:rsid w:val="00BD7B97"/>
    <w:rsid w:val="00BE0015"/>
    <w:rsid w:val="00BE0137"/>
    <w:rsid w:val="00BE0B57"/>
    <w:rsid w:val="00BE10CA"/>
    <w:rsid w:val="00BE18C3"/>
    <w:rsid w:val="00BE19F0"/>
    <w:rsid w:val="00BE1D95"/>
    <w:rsid w:val="00BE21E8"/>
    <w:rsid w:val="00BE3031"/>
    <w:rsid w:val="00BE3151"/>
    <w:rsid w:val="00BE36D2"/>
    <w:rsid w:val="00BE3745"/>
    <w:rsid w:val="00BE3942"/>
    <w:rsid w:val="00BE4D37"/>
    <w:rsid w:val="00BE4EE8"/>
    <w:rsid w:val="00BE5092"/>
    <w:rsid w:val="00BE54F8"/>
    <w:rsid w:val="00BE55DA"/>
    <w:rsid w:val="00BE62DF"/>
    <w:rsid w:val="00BE66F3"/>
    <w:rsid w:val="00BE67C3"/>
    <w:rsid w:val="00BE6921"/>
    <w:rsid w:val="00BE6ACF"/>
    <w:rsid w:val="00BE7213"/>
    <w:rsid w:val="00BF062C"/>
    <w:rsid w:val="00BF0992"/>
    <w:rsid w:val="00BF0AF4"/>
    <w:rsid w:val="00BF10FD"/>
    <w:rsid w:val="00BF1551"/>
    <w:rsid w:val="00BF20BD"/>
    <w:rsid w:val="00BF21A9"/>
    <w:rsid w:val="00BF24C5"/>
    <w:rsid w:val="00BF25EC"/>
    <w:rsid w:val="00BF2E8C"/>
    <w:rsid w:val="00BF3916"/>
    <w:rsid w:val="00BF39E2"/>
    <w:rsid w:val="00BF42DB"/>
    <w:rsid w:val="00BF46A8"/>
    <w:rsid w:val="00BF54CC"/>
    <w:rsid w:val="00BF5889"/>
    <w:rsid w:val="00BF5E5D"/>
    <w:rsid w:val="00BF6292"/>
    <w:rsid w:val="00BF648E"/>
    <w:rsid w:val="00BF6500"/>
    <w:rsid w:val="00BF6899"/>
    <w:rsid w:val="00BF6B76"/>
    <w:rsid w:val="00BF708F"/>
    <w:rsid w:val="00BF7B89"/>
    <w:rsid w:val="00C00198"/>
    <w:rsid w:val="00C00CC3"/>
    <w:rsid w:val="00C0215D"/>
    <w:rsid w:val="00C02FDE"/>
    <w:rsid w:val="00C0310C"/>
    <w:rsid w:val="00C03AA2"/>
    <w:rsid w:val="00C04FE2"/>
    <w:rsid w:val="00C06155"/>
    <w:rsid w:val="00C0644B"/>
    <w:rsid w:val="00C065D6"/>
    <w:rsid w:val="00C06FFC"/>
    <w:rsid w:val="00C0729E"/>
    <w:rsid w:val="00C07DCC"/>
    <w:rsid w:val="00C100DE"/>
    <w:rsid w:val="00C103E1"/>
    <w:rsid w:val="00C10956"/>
    <w:rsid w:val="00C113EF"/>
    <w:rsid w:val="00C12B4E"/>
    <w:rsid w:val="00C131EE"/>
    <w:rsid w:val="00C13ACE"/>
    <w:rsid w:val="00C13C78"/>
    <w:rsid w:val="00C1460C"/>
    <w:rsid w:val="00C1477A"/>
    <w:rsid w:val="00C14AE5"/>
    <w:rsid w:val="00C14FD6"/>
    <w:rsid w:val="00C1554D"/>
    <w:rsid w:val="00C155F2"/>
    <w:rsid w:val="00C156BE"/>
    <w:rsid w:val="00C168FE"/>
    <w:rsid w:val="00C16E50"/>
    <w:rsid w:val="00C17292"/>
    <w:rsid w:val="00C17497"/>
    <w:rsid w:val="00C17D7B"/>
    <w:rsid w:val="00C2065C"/>
    <w:rsid w:val="00C206ED"/>
    <w:rsid w:val="00C20B75"/>
    <w:rsid w:val="00C21880"/>
    <w:rsid w:val="00C22A03"/>
    <w:rsid w:val="00C22B3C"/>
    <w:rsid w:val="00C236AA"/>
    <w:rsid w:val="00C23E38"/>
    <w:rsid w:val="00C23FAB"/>
    <w:rsid w:val="00C24027"/>
    <w:rsid w:val="00C24673"/>
    <w:rsid w:val="00C24E60"/>
    <w:rsid w:val="00C25362"/>
    <w:rsid w:val="00C25954"/>
    <w:rsid w:val="00C25A7A"/>
    <w:rsid w:val="00C2631D"/>
    <w:rsid w:val="00C26CE5"/>
    <w:rsid w:val="00C27400"/>
    <w:rsid w:val="00C27761"/>
    <w:rsid w:val="00C277B4"/>
    <w:rsid w:val="00C277F2"/>
    <w:rsid w:val="00C27ADE"/>
    <w:rsid w:val="00C27AF5"/>
    <w:rsid w:val="00C27B34"/>
    <w:rsid w:val="00C27C54"/>
    <w:rsid w:val="00C27C7C"/>
    <w:rsid w:val="00C304AA"/>
    <w:rsid w:val="00C30E96"/>
    <w:rsid w:val="00C31082"/>
    <w:rsid w:val="00C31D79"/>
    <w:rsid w:val="00C3203B"/>
    <w:rsid w:val="00C32373"/>
    <w:rsid w:val="00C32D0B"/>
    <w:rsid w:val="00C32D2B"/>
    <w:rsid w:val="00C32F1F"/>
    <w:rsid w:val="00C33755"/>
    <w:rsid w:val="00C3467E"/>
    <w:rsid w:val="00C34736"/>
    <w:rsid w:val="00C3509D"/>
    <w:rsid w:val="00C3562C"/>
    <w:rsid w:val="00C359BF"/>
    <w:rsid w:val="00C360B4"/>
    <w:rsid w:val="00C36B61"/>
    <w:rsid w:val="00C40152"/>
    <w:rsid w:val="00C40F6D"/>
    <w:rsid w:val="00C412E0"/>
    <w:rsid w:val="00C41FBF"/>
    <w:rsid w:val="00C42B61"/>
    <w:rsid w:val="00C42EC4"/>
    <w:rsid w:val="00C430AE"/>
    <w:rsid w:val="00C438C2"/>
    <w:rsid w:val="00C43D27"/>
    <w:rsid w:val="00C4510C"/>
    <w:rsid w:val="00C45931"/>
    <w:rsid w:val="00C4661A"/>
    <w:rsid w:val="00C4691B"/>
    <w:rsid w:val="00C46ADA"/>
    <w:rsid w:val="00C4718A"/>
    <w:rsid w:val="00C47ECF"/>
    <w:rsid w:val="00C47F37"/>
    <w:rsid w:val="00C50405"/>
    <w:rsid w:val="00C50EEC"/>
    <w:rsid w:val="00C510AC"/>
    <w:rsid w:val="00C5173C"/>
    <w:rsid w:val="00C52870"/>
    <w:rsid w:val="00C529C7"/>
    <w:rsid w:val="00C52E65"/>
    <w:rsid w:val="00C53B58"/>
    <w:rsid w:val="00C53D1E"/>
    <w:rsid w:val="00C53D81"/>
    <w:rsid w:val="00C54F32"/>
    <w:rsid w:val="00C55CDE"/>
    <w:rsid w:val="00C55F64"/>
    <w:rsid w:val="00C56305"/>
    <w:rsid w:val="00C56722"/>
    <w:rsid w:val="00C56E99"/>
    <w:rsid w:val="00C57180"/>
    <w:rsid w:val="00C60233"/>
    <w:rsid w:val="00C60D77"/>
    <w:rsid w:val="00C61056"/>
    <w:rsid w:val="00C61857"/>
    <w:rsid w:val="00C61919"/>
    <w:rsid w:val="00C61BF2"/>
    <w:rsid w:val="00C6346C"/>
    <w:rsid w:val="00C63FC7"/>
    <w:rsid w:val="00C653E5"/>
    <w:rsid w:val="00C658CE"/>
    <w:rsid w:val="00C66DEF"/>
    <w:rsid w:val="00C66FAB"/>
    <w:rsid w:val="00C6720E"/>
    <w:rsid w:val="00C6765C"/>
    <w:rsid w:val="00C6768B"/>
    <w:rsid w:val="00C67B38"/>
    <w:rsid w:val="00C67CB1"/>
    <w:rsid w:val="00C67EFA"/>
    <w:rsid w:val="00C7009E"/>
    <w:rsid w:val="00C70BAE"/>
    <w:rsid w:val="00C71386"/>
    <w:rsid w:val="00C71558"/>
    <w:rsid w:val="00C71FC7"/>
    <w:rsid w:val="00C720BE"/>
    <w:rsid w:val="00C72A1C"/>
    <w:rsid w:val="00C72F78"/>
    <w:rsid w:val="00C733AD"/>
    <w:rsid w:val="00C73ADE"/>
    <w:rsid w:val="00C74154"/>
    <w:rsid w:val="00C741C4"/>
    <w:rsid w:val="00C75052"/>
    <w:rsid w:val="00C755CA"/>
    <w:rsid w:val="00C755FC"/>
    <w:rsid w:val="00C75DC3"/>
    <w:rsid w:val="00C75E8B"/>
    <w:rsid w:val="00C76181"/>
    <w:rsid w:val="00C76667"/>
    <w:rsid w:val="00C76FD8"/>
    <w:rsid w:val="00C771E0"/>
    <w:rsid w:val="00C773AA"/>
    <w:rsid w:val="00C777FF"/>
    <w:rsid w:val="00C80AF7"/>
    <w:rsid w:val="00C8132E"/>
    <w:rsid w:val="00C8148E"/>
    <w:rsid w:val="00C814E2"/>
    <w:rsid w:val="00C81B67"/>
    <w:rsid w:val="00C82005"/>
    <w:rsid w:val="00C82697"/>
    <w:rsid w:val="00C83103"/>
    <w:rsid w:val="00C83474"/>
    <w:rsid w:val="00C83A60"/>
    <w:rsid w:val="00C8474A"/>
    <w:rsid w:val="00C84F11"/>
    <w:rsid w:val="00C851A6"/>
    <w:rsid w:val="00C85372"/>
    <w:rsid w:val="00C86533"/>
    <w:rsid w:val="00C86AE9"/>
    <w:rsid w:val="00C870E8"/>
    <w:rsid w:val="00C8720F"/>
    <w:rsid w:val="00C87B52"/>
    <w:rsid w:val="00C9049C"/>
    <w:rsid w:val="00C90EFC"/>
    <w:rsid w:val="00C91C7B"/>
    <w:rsid w:val="00C92144"/>
    <w:rsid w:val="00C921AA"/>
    <w:rsid w:val="00C93378"/>
    <w:rsid w:val="00C93724"/>
    <w:rsid w:val="00C938EE"/>
    <w:rsid w:val="00C93A0F"/>
    <w:rsid w:val="00C93A5A"/>
    <w:rsid w:val="00C940E3"/>
    <w:rsid w:val="00C94256"/>
    <w:rsid w:val="00C9460D"/>
    <w:rsid w:val="00C949B4"/>
    <w:rsid w:val="00C95082"/>
    <w:rsid w:val="00C9546B"/>
    <w:rsid w:val="00C95B79"/>
    <w:rsid w:val="00C963A3"/>
    <w:rsid w:val="00C964AF"/>
    <w:rsid w:val="00C966FC"/>
    <w:rsid w:val="00C96A2D"/>
    <w:rsid w:val="00C96E61"/>
    <w:rsid w:val="00C96F01"/>
    <w:rsid w:val="00CA0041"/>
    <w:rsid w:val="00CA11FA"/>
    <w:rsid w:val="00CA1608"/>
    <w:rsid w:val="00CA1B32"/>
    <w:rsid w:val="00CA2934"/>
    <w:rsid w:val="00CA29B5"/>
    <w:rsid w:val="00CA2CF6"/>
    <w:rsid w:val="00CA2DB0"/>
    <w:rsid w:val="00CA35B7"/>
    <w:rsid w:val="00CA39F8"/>
    <w:rsid w:val="00CA4273"/>
    <w:rsid w:val="00CA42C1"/>
    <w:rsid w:val="00CA4DF1"/>
    <w:rsid w:val="00CA5211"/>
    <w:rsid w:val="00CA575D"/>
    <w:rsid w:val="00CA5E4D"/>
    <w:rsid w:val="00CA66A0"/>
    <w:rsid w:val="00CA67BC"/>
    <w:rsid w:val="00CA67CB"/>
    <w:rsid w:val="00CA680A"/>
    <w:rsid w:val="00CA6A40"/>
    <w:rsid w:val="00CA6BC9"/>
    <w:rsid w:val="00CA6FAB"/>
    <w:rsid w:val="00CA7B9F"/>
    <w:rsid w:val="00CA7D42"/>
    <w:rsid w:val="00CB0A52"/>
    <w:rsid w:val="00CB1AB2"/>
    <w:rsid w:val="00CB1D83"/>
    <w:rsid w:val="00CB1EA9"/>
    <w:rsid w:val="00CB3D50"/>
    <w:rsid w:val="00CB48C3"/>
    <w:rsid w:val="00CB4D20"/>
    <w:rsid w:val="00CB67B6"/>
    <w:rsid w:val="00CB6D4A"/>
    <w:rsid w:val="00CB71E3"/>
    <w:rsid w:val="00CB7255"/>
    <w:rsid w:val="00CB73DD"/>
    <w:rsid w:val="00CB7ECD"/>
    <w:rsid w:val="00CC157F"/>
    <w:rsid w:val="00CC254A"/>
    <w:rsid w:val="00CC2759"/>
    <w:rsid w:val="00CC2D23"/>
    <w:rsid w:val="00CC2D70"/>
    <w:rsid w:val="00CC2D95"/>
    <w:rsid w:val="00CC37F4"/>
    <w:rsid w:val="00CC390F"/>
    <w:rsid w:val="00CC3B3F"/>
    <w:rsid w:val="00CC42BB"/>
    <w:rsid w:val="00CC452D"/>
    <w:rsid w:val="00CC49FF"/>
    <w:rsid w:val="00CC56BD"/>
    <w:rsid w:val="00CC6613"/>
    <w:rsid w:val="00CC67B8"/>
    <w:rsid w:val="00CC74C6"/>
    <w:rsid w:val="00CC750E"/>
    <w:rsid w:val="00CD0000"/>
    <w:rsid w:val="00CD01AE"/>
    <w:rsid w:val="00CD03BB"/>
    <w:rsid w:val="00CD0F27"/>
    <w:rsid w:val="00CD30CE"/>
    <w:rsid w:val="00CD37AB"/>
    <w:rsid w:val="00CD3B19"/>
    <w:rsid w:val="00CD3F0D"/>
    <w:rsid w:val="00CD4136"/>
    <w:rsid w:val="00CD425A"/>
    <w:rsid w:val="00CD48F3"/>
    <w:rsid w:val="00CD4AA5"/>
    <w:rsid w:val="00CD67F9"/>
    <w:rsid w:val="00CD6BD4"/>
    <w:rsid w:val="00CD7143"/>
    <w:rsid w:val="00CD741D"/>
    <w:rsid w:val="00CD757F"/>
    <w:rsid w:val="00CD7D8F"/>
    <w:rsid w:val="00CE000A"/>
    <w:rsid w:val="00CE0181"/>
    <w:rsid w:val="00CE0DB9"/>
    <w:rsid w:val="00CE0DC0"/>
    <w:rsid w:val="00CE122E"/>
    <w:rsid w:val="00CE1268"/>
    <w:rsid w:val="00CE2154"/>
    <w:rsid w:val="00CE227E"/>
    <w:rsid w:val="00CE28AF"/>
    <w:rsid w:val="00CE2A7B"/>
    <w:rsid w:val="00CE2F6C"/>
    <w:rsid w:val="00CE3152"/>
    <w:rsid w:val="00CE372A"/>
    <w:rsid w:val="00CE44FA"/>
    <w:rsid w:val="00CE4D2E"/>
    <w:rsid w:val="00CE4FB5"/>
    <w:rsid w:val="00CE5DF4"/>
    <w:rsid w:val="00CE6E24"/>
    <w:rsid w:val="00CE7C01"/>
    <w:rsid w:val="00CE7C46"/>
    <w:rsid w:val="00CE7E52"/>
    <w:rsid w:val="00CF1495"/>
    <w:rsid w:val="00CF14AD"/>
    <w:rsid w:val="00CF2C0F"/>
    <w:rsid w:val="00CF2E9E"/>
    <w:rsid w:val="00CF3896"/>
    <w:rsid w:val="00CF4435"/>
    <w:rsid w:val="00CF5188"/>
    <w:rsid w:val="00CF5A60"/>
    <w:rsid w:val="00CF5DC6"/>
    <w:rsid w:val="00CF6116"/>
    <w:rsid w:val="00CF6993"/>
    <w:rsid w:val="00CF74E3"/>
    <w:rsid w:val="00D007A7"/>
    <w:rsid w:val="00D0080F"/>
    <w:rsid w:val="00D0087D"/>
    <w:rsid w:val="00D00E40"/>
    <w:rsid w:val="00D010B6"/>
    <w:rsid w:val="00D01134"/>
    <w:rsid w:val="00D0176E"/>
    <w:rsid w:val="00D01AD4"/>
    <w:rsid w:val="00D01AF0"/>
    <w:rsid w:val="00D02123"/>
    <w:rsid w:val="00D023F9"/>
    <w:rsid w:val="00D03151"/>
    <w:rsid w:val="00D03822"/>
    <w:rsid w:val="00D0407D"/>
    <w:rsid w:val="00D0559C"/>
    <w:rsid w:val="00D0638F"/>
    <w:rsid w:val="00D068AF"/>
    <w:rsid w:val="00D06AE5"/>
    <w:rsid w:val="00D06E95"/>
    <w:rsid w:val="00D07A24"/>
    <w:rsid w:val="00D10397"/>
    <w:rsid w:val="00D10CA0"/>
    <w:rsid w:val="00D11CDA"/>
    <w:rsid w:val="00D129CD"/>
    <w:rsid w:val="00D13A40"/>
    <w:rsid w:val="00D14145"/>
    <w:rsid w:val="00D14ACB"/>
    <w:rsid w:val="00D14D80"/>
    <w:rsid w:val="00D1625B"/>
    <w:rsid w:val="00D16671"/>
    <w:rsid w:val="00D168A5"/>
    <w:rsid w:val="00D16F30"/>
    <w:rsid w:val="00D1706E"/>
    <w:rsid w:val="00D17169"/>
    <w:rsid w:val="00D1791C"/>
    <w:rsid w:val="00D17A1E"/>
    <w:rsid w:val="00D20331"/>
    <w:rsid w:val="00D20B88"/>
    <w:rsid w:val="00D213C8"/>
    <w:rsid w:val="00D21575"/>
    <w:rsid w:val="00D21704"/>
    <w:rsid w:val="00D21DBC"/>
    <w:rsid w:val="00D21EF6"/>
    <w:rsid w:val="00D21FE4"/>
    <w:rsid w:val="00D22FC2"/>
    <w:rsid w:val="00D23398"/>
    <w:rsid w:val="00D2374A"/>
    <w:rsid w:val="00D24236"/>
    <w:rsid w:val="00D256B8"/>
    <w:rsid w:val="00D25DE0"/>
    <w:rsid w:val="00D26589"/>
    <w:rsid w:val="00D27272"/>
    <w:rsid w:val="00D279D2"/>
    <w:rsid w:val="00D27F2D"/>
    <w:rsid w:val="00D27FCF"/>
    <w:rsid w:val="00D30189"/>
    <w:rsid w:val="00D30EA4"/>
    <w:rsid w:val="00D30FD8"/>
    <w:rsid w:val="00D3243F"/>
    <w:rsid w:val="00D32597"/>
    <w:rsid w:val="00D329C3"/>
    <w:rsid w:val="00D32B67"/>
    <w:rsid w:val="00D32D6F"/>
    <w:rsid w:val="00D32F4A"/>
    <w:rsid w:val="00D331AA"/>
    <w:rsid w:val="00D33D0B"/>
    <w:rsid w:val="00D33DD7"/>
    <w:rsid w:val="00D3402B"/>
    <w:rsid w:val="00D34211"/>
    <w:rsid w:val="00D35059"/>
    <w:rsid w:val="00D3506C"/>
    <w:rsid w:val="00D352CE"/>
    <w:rsid w:val="00D354D5"/>
    <w:rsid w:val="00D35A0D"/>
    <w:rsid w:val="00D36359"/>
    <w:rsid w:val="00D364A9"/>
    <w:rsid w:val="00D37119"/>
    <w:rsid w:val="00D37128"/>
    <w:rsid w:val="00D37CED"/>
    <w:rsid w:val="00D37F8F"/>
    <w:rsid w:val="00D40BD9"/>
    <w:rsid w:val="00D40E6C"/>
    <w:rsid w:val="00D415D6"/>
    <w:rsid w:val="00D415E5"/>
    <w:rsid w:val="00D41763"/>
    <w:rsid w:val="00D421DC"/>
    <w:rsid w:val="00D424FB"/>
    <w:rsid w:val="00D4306E"/>
    <w:rsid w:val="00D4334B"/>
    <w:rsid w:val="00D437EF"/>
    <w:rsid w:val="00D43A88"/>
    <w:rsid w:val="00D43C99"/>
    <w:rsid w:val="00D442E7"/>
    <w:rsid w:val="00D45422"/>
    <w:rsid w:val="00D4542A"/>
    <w:rsid w:val="00D45537"/>
    <w:rsid w:val="00D45AAE"/>
    <w:rsid w:val="00D46DCD"/>
    <w:rsid w:val="00D46E58"/>
    <w:rsid w:val="00D474BF"/>
    <w:rsid w:val="00D476A3"/>
    <w:rsid w:val="00D47B0F"/>
    <w:rsid w:val="00D47F75"/>
    <w:rsid w:val="00D50F04"/>
    <w:rsid w:val="00D510C3"/>
    <w:rsid w:val="00D51991"/>
    <w:rsid w:val="00D51F52"/>
    <w:rsid w:val="00D522DB"/>
    <w:rsid w:val="00D5286E"/>
    <w:rsid w:val="00D52BCF"/>
    <w:rsid w:val="00D5327E"/>
    <w:rsid w:val="00D534A3"/>
    <w:rsid w:val="00D536D2"/>
    <w:rsid w:val="00D53DB5"/>
    <w:rsid w:val="00D54B10"/>
    <w:rsid w:val="00D5526E"/>
    <w:rsid w:val="00D55454"/>
    <w:rsid w:val="00D5546B"/>
    <w:rsid w:val="00D55A96"/>
    <w:rsid w:val="00D55BD2"/>
    <w:rsid w:val="00D55CC4"/>
    <w:rsid w:val="00D55D7D"/>
    <w:rsid w:val="00D561A4"/>
    <w:rsid w:val="00D56D02"/>
    <w:rsid w:val="00D56D2F"/>
    <w:rsid w:val="00D56E5F"/>
    <w:rsid w:val="00D57524"/>
    <w:rsid w:val="00D60168"/>
    <w:rsid w:val="00D60772"/>
    <w:rsid w:val="00D60A59"/>
    <w:rsid w:val="00D60D50"/>
    <w:rsid w:val="00D60D94"/>
    <w:rsid w:val="00D6280E"/>
    <w:rsid w:val="00D62B4C"/>
    <w:rsid w:val="00D62E40"/>
    <w:rsid w:val="00D636DA"/>
    <w:rsid w:val="00D63A76"/>
    <w:rsid w:val="00D63AAB"/>
    <w:rsid w:val="00D63BCF"/>
    <w:rsid w:val="00D63F1D"/>
    <w:rsid w:val="00D642D5"/>
    <w:rsid w:val="00D647CE"/>
    <w:rsid w:val="00D649B6"/>
    <w:rsid w:val="00D64D55"/>
    <w:rsid w:val="00D64E38"/>
    <w:rsid w:val="00D65552"/>
    <w:rsid w:val="00D663B4"/>
    <w:rsid w:val="00D66632"/>
    <w:rsid w:val="00D66CC9"/>
    <w:rsid w:val="00D66D67"/>
    <w:rsid w:val="00D67310"/>
    <w:rsid w:val="00D677A2"/>
    <w:rsid w:val="00D67E73"/>
    <w:rsid w:val="00D7005E"/>
    <w:rsid w:val="00D707FD"/>
    <w:rsid w:val="00D725B0"/>
    <w:rsid w:val="00D73252"/>
    <w:rsid w:val="00D73423"/>
    <w:rsid w:val="00D738AF"/>
    <w:rsid w:val="00D73CBA"/>
    <w:rsid w:val="00D74AF4"/>
    <w:rsid w:val="00D753C8"/>
    <w:rsid w:val="00D753DD"/>
    <w:rsid w:val="00D7615A"/>
    <w:rsid w:val="00D761A5"/>
    <w:rsid w:val="00D76682"/>
    <w:rsid w:val="00D76B16"/>
    <w:rsid w:val="00D76E0D"/>
    <w:rsid w:val="00D778F2"/>
    <w:rsid w:val="00D77AE7"/>
    <w:rsid w:val="00D77B19"/>
    <w:rsid w:val="00D77FEB"/>
    <w:rsid w:val="00D800DA"/>
    <w:rsid w:val="00D801C1"/>
    <w:rsid w:val="00D809A1"/>
    <w:rsid w:val="00D80B08"/>
    <w:rsid w:val="00D80B8F"/>
    <w:rsid w:val="00D80C57"/>
    <w:rsid w:val="00D823CF"/>
    <w:rsid w:val="00D82934"/>
    <w:rsid w:val="00D82CFE"/>
    <w:rsid w:val="00D84C44"/>
    <w:rsid w:val="00D8591D"/>
    <w:rsid w:val="00D85E6D"/>
    <w:rsid w:val="00D860B0"/>
    <w:rsid w:val="00D861A5"/>
    <w:rsid w:val="00D87FFD"/>
    <w:rsid w:val="00D90111"/>
    <w:rsid w:val="00D91033"/>
    <w:rsid w:val="00D91342"/>
    <w:rsid w:val="00D91549"/>
    <w:rsid w:val="00D928C3"/>
    <w:rsid w:val="00D935CA"/>
    <w:rsid w:val="00D94660"/>
    <w:rsid w:val="00D94A82"/>
    <w:rsid w:val="00D94DCC"/>
    <w:rsid w:val="00D95276"/>
    <w:rsid w:val="00D955E8"/>
    <w:rsid w:val="00D9585E"/>
    <w:rsid w:val="00D95EE9"/>
    <w:rsid w:val="00D96A22"/>
    <w:rsid w:val="00D96B5B"/>
    <w:rsid w:val="00D96BC4"/>
    <w:rsid w:val="00D9731D"/>
    <w:rsid w:val="00D9740A"/>
    <w:rsid w:val="00DA1421"/>
    <w:rsid w:val="00DA16EF"/>
    <w:rsid w:val="00DA1EBC"/>
    <w:rsid w:val="00DA23EA"/>
    <w:rsid w:val="00DA3D00"/>
    <w:rsid w:val="00DA4192"/>
    <w:rsid w:val="00DA4694"/>
    <w:rsid w:val="00DA5002"/>
    <w:rsid w:val="00DA5BA8"/>
    <w:rsid w:val="00DA6E61"/>
    <w:rsid w:val="00DA73DB"/>
    <w:rsid w:val="00DB06C3"/>
    <w:rsid w:val="00DB0B0B"/>
    <w:rsid w:val="00DB0F2F"/>
    <w:rsid w:val="00DB1359"/>
    <w:rsid w:val="00DB17EC"/>
    <w:rsid w:val="00DB19C8"/>
    <w:rsid w:val="00DB1F3B"/>
    <w:rsid w:val="00DB1F3D"/>
    <w:rsid w:val="00DB2050"/>
    <w:rsid w:val="00DB256E"/>
    <w:rsid w:val="00DB3136"/>
    <w:rsid w:val="00DB3E14"/>
    <w:rsid w:val="00DB42C1"/>
    <w:rsid w:val="00DB4310"/>
    <w:rsid w:val="00DB556D"/>
    <w:rsid w:val="00DB64C6"/>
    <w:rsid w:val="00DB744A"/>
    <w:rsid w:val="00DB74DE"/>
    <w:rsid w:val="00DB7526"/>
    <w:rsid w:val="00DB7CD3"/>
    <w:rsid w:val="00DC061D"/>
    <w:rsid w:val="00DC0F9D"/>
    <w:rsid w:val="00DC170F"/>
    <w:rsid w:val="00DC1906"/>
    <w:rsid w:val="00DC1915"/>
    <w:rsid w:val="00DC1B5F"/>
    <w:rsid w:val="00DC2200"/>
    <w:rsid w:val="00DC3585"/>
    <w:rsid w:val="00DC3914"/>
    <w:rsid w:val="00DC3935"/>
    <w:rsid w:val="00DC3A22"/>
    <w:rsid w:val="00DC3EBB"/>
    <w:rsid w:val="00DC45BA"/>
    <w:rsid w:val="00DC477A"/>
    <w:rsid w:val="00DC4D8B"/>
    <w:rsid w:val="00DC51E6"/>
    <w:rsid w:val="00DC54CF"/>
    <w:rsid w:val="00DC5F31"/>
    <w:rsid w:val="00DC6441"/>
    <w:rsid w:val="00DC6B7D"/>
    <w:rsid w:val="00DC6D12"/>
    <w:rsid w:val="00DC6F25"/>
    <w:rsid w:val="00DC712B"/>
    <w:rsid w:val="00DC713D"/>
    <w:rsid w:val="00DC7431"/>
    <w:rsid w:val="00DC7487"/>
    <w:rsid w:val="00DC7538"/>
    <w:rsid w:val="00DC7AF8"/>
    <w:rsid w:val="00DC7E62"/>
    <w:rsid w:val="00DD04CC"/>
    <w:rsid w:val="00DD0A2D"/>
    <w:rsid w:val="00DD11F0"/>
    <w:rsid w:val="00DD13E5"/>
    <w:rsid w:val="00DD1D66"/>
    <w:rsid w:val="00DD2712"/>
    <w:rsid w:val="00DD2AD7"/>
    <w:rsid w:val="00DD3641"/>
    <w:rsid w:val="00DD37F3"/>
    <w:rsid w:val="00DD3986"/>
    <w:rsid w:val="00DD3B02"/>
    <w:rsid w:val="00DD3F28"/>
    <w:rsid w:val="00DD4B07"/>
    <w:rsid w:val="00DD5BD3"/>
    <w:rsid w:val="00DD609F"/>
    <w:rsid w:val="00DD61B7"/>
    <w:rsid w:val="00DD68A4"/>
    <w:rsid w:val="00DD7759"/>
    <w:rsid w:val="00DE0698"/>
    <w:rsid w:val="00DE0C7E"/>
    <w:rsid w:val="00DE1191"/>
    <w:rsid w:val="00DE232E"/>
    <w:rsid w:val="00DE2708"/>
    <w:rsid w:val="00DE2848"/>
    <w:rsid w:val="00DE2955"/>
    <w:rsid w:val="00DE3658"/>
    <w:rsid w:val="00DE43EF"/>
    <w:rsid w:val="00DE4813"/>
    <w:rsid w:val="00DE4F78"/>
    <w:rsid w:val="00DE59F5"/>
    <w:rsid w:val="00DE604D"/>
    <w:rsid w:val="00DE646A"/>
    <w:rsid w:val="00DE6724"/>
    <w:rsid w:val="00DE67C0"/>
    <w:rsid w:val="00DE6A77"/>
    <w:rsid w:val="00DE6F54"/>
    <w:rsid w:val="00DE7FDC"/>
    <w:rsid w:val="00DF0870"/>
    <w:rsid w:val="00DF097E"/>
    <w:rsid w:val="00DF09CC"/>
    <w:rsid w:val="00DF0D9D"/>
    <w:rsid w:val="00DF178A"/>
    <w:rsid w:val="00DF1EC1"/>
    <w:rsid w:val="00DF201C"/>
    <w:rsid w:val="00DF2E3B"/>
    <w:rsid w:val="00DF393F"/>
    <w:rsid w:val="00DF4051"/>
    <w:rsid w:val="00DF417D"/>
    <w:rsid w:val="00DF42B8"/>
    <w:rsid w:val="00DF4DB0"/>
    <w:rsid w:val="00DF4F34"/>
    <w:rsid w:val="00DF5BB2"/>
    <w:rsid w:val="00DF6768"/>
    <w:rsid w:val="00DF6DCF"/>
    <w:rsid w:val="00DF7046"/>
    <w:rsid w:val="00DF78E5"/>
    <w:rsid w:val="00E005C6"/>
    <w:rsid w:val="00E00709"/>
    <w:rsid w:val="00E008CD"/>
    <w:rsid w:val="00E00BC4"/>
    <w:rsid w:val="00E01073"/>
    <w:rsid w:val="00E0139F"/>
    <w:rsid w:val="00E01684"/>
    <w:rsid w:val="00E01CDC"/>
    <w:rsid w:val="00E020CB"/>
    <w:rsid w:val="00E02C32"/>
    <w:rsid w:val="00E02E6E"/>
    <w:rsid w:val="00E03C4A"/>
    <w:rsid w:val="00E0414A"/>
    <w:rsid w:val="00E04809"/>
    <w:rsid w:val="00E048D6"/>
    <w:rsid w:val="00E04B2B"/>
    <w:rsid w:val="00E06937"/>
    <w:rsid w:val="00E069DA"/>
    <w:rsid w:val="00E0743C"/>
    <w:rsid w:val="00E07982"/>
    <w:rsid w:val="00E07E9C"/>
    <w:rsid w:val="00E101AE"/>
    <w:rsid w:val="00E1078B"/>
    <w:rsid w:val="00E107A0"/>
    <w:rsid w:val="00E10A55"/>
    <w:rsid w:val="00E10D74"/>
    <w:rsid w:val="00E10FF6"/>
    <w:rsid w:val="00E1164E"/>
    <w:rsid w:val="00E1187F"/>
    <w:rsid w:val="00E11C2C"/>
    <w:rsid w:val="00E1219E"/>
    <w:rsid w:val="00E122B9"/>
    <w:rsid w:val="00E12B4A"/>
    <w:rsid w:val="00E12BCA"/>
    <w:rsid w:val="00E12FA3"/>
    <w:rsid w:val="00E1306E"/>
    <w:rsid w:val="00E13102"/>
    <w:rsid w:val="00E13874"/>
    <w:rsid w:val="00E13E84"/>
    <w:rsid w:val="00E14051"/>
    <w:rsid w:val="00E145A9"/>
    <w:rsid w:val="00E1492E"/>
    <w:rsid w:val="00E14CE0"/>
    <w:rsid w:val="00E1521D"/>
    <w:rsid w:val="00E15638"/>
    <w:rsid w:val="00E160E9"/>
    <w:rsid w:val="00E1669F"/>
    <w:rsid w:val="00E16974"/>
    <w:rsid w:val="00E16EB8"/>
    <w:rsid w:val="00E177A1"/>
    <w:rsid w:val="00E17803"/>
    <w:rsid w:val="00E20029"/>
    <w:rsid w:val="00E204B7"/>
    <w:rsid w:val="00E208BD"/>
    <w:rsid w:val="00E20C8F"/>
    <w:rsid w:val="00E20FE9"/>
    <w:rsid w:val="00E210D2"/>
    <w:rsid w:val="00E21397"/>
    <w:rsid w:val="00E216C5"/>
    <w:rsid w:val="00E218C3"/>
    <w:rsid w:val="00E21B80"/>
    <w:rsid w:val="00E2205B"/>
    <w:rsid w:val="00E224FF"/>
    <w:rsid w:val="00E225D7"/>
    <w:rsid w:val="00E22B1C"/>
    <w:rsid w:val="00E22B4E"/>
    <w:rsid w:val="00E22CDE"/>
    <w:rsid w:val="00E2309F"/>
    <w:rsid w:val="00E231A8"/>
    <w:rsid w:val="00E23BF8"/>
    <w:rsid w:val="00E2422A"/>
    <w:rsid w:val="00E245A9"/>
    <w:rsid w:val="00E2477A"/>
    <w:rsid w:val="00E24D83"/>
    <w:rsid w:val="00E253F4"/>
    <w:rsid w:val="00E25462"/>
    <w:rsid w:val="00E255C0"/>
    <w:rsid w:val="00E25D85"/>
    <w:rsid w:val="00E2601D"/>
    <w:rsid w:val="00E265D3"/>
    <w:rsid w:val="00E269DE"/>
    <w:rsid w:val="00E26A8B"/>
    <w:rsid w:val="00E26E81"/>
    <w:rsid w:val="00E27ADE"/>
    <w:rsid w:val="00E27FC4"/>
    <w:rsid w:val="00E30260"/>
    <w:rsid w:val="00E306AE"/>
    <w:rsid w:val="00E30BE9"/>
    <w:rsid w:val="00E310D7"/>
    <w:rsid w:val="00E31855"/>
    <w:rsid w:val="00E318B9"/>
    <w:rsid w:val="00E32C58"/>
    <w:rsid w:val="00E3349B"/>
    <w:rsid w:val="00E33750"/>
    <w:rsid w:val="00E33EDE"/>
    <w:rsid w:val="00E34FA7"/>
    <w:rsid w:val="00E3522C"/>
    <w:rsid w:val="00E3530E"/>
    <w:rsid w:val="00E35537"/>
    <w:rsid w:val="00E357AD"/>
    <w:rsid w:val="00E3589A"/>
    <w:rsid w:val="00E35D9A"/>
    <w:rsid w:val="00E364B8"/>
    <w:rsid w:val="00E3654F"/>
    <w:rsid w:val="00E36CB1"/>
    <w:rsid w:val="00E37488"/>
    <w:rsid w:val="00E37D42"/>
    <w:rsid w:val="00E40D8E"/>
    <w:rsid w:val="00E415F8"/>
    <w:rsid w:val="00E41D9F"/>
    <w:rsid w:val="00E422F1"/>
    <w:rsid w:val="00E4237D"/>
    <w:rsid w:val="00E423F1"/>
    <w:rsid w:val="00E424B2"/>
    <w:rsid w:val="00E4286E"/>
    <w:rsid w:val="00E43014"/>
    <w:rsid w:val="00E4371E"/>
    <w:rsid w:val="00E43B07"/>
    <w:rsid w:val="00E44593"/>
    <w:rsid w:val="00E454A8"/>
    <w:rsid w:val="00E45520"/>
    <w:rsid w:val="00E47CB5"/>
    <w:rsid w:val="00E47EB4"/>
    <w:rsid w:val="00E5033A"/>
    <w:rsid w:val="00E504D6"/>
    <w:rsid w:val="00E507D5"/>
    <w:rsid w:val="00E50879"/>
    <w:rsid w:val="00E51127"/>
    <w:rsid w:val="00E519D6"/>
    <w:rsid w:val="00E52074"/>
    <w:rsid w:val="00E521F6"/>
    <w:rsid w:val="00E5239F"/>
    <w:rsid w:val="00E525CA"/>
    <w:rsid w:val="00E52643"/>
    <w:rsid w:val="00E53918"/>
    <w:rsid w:val="00E53D32"/>
    <w:rsid w:val="00E5400D"/>
    <w:rsid w:val="00E54F60"/>
    <w:rsid w:val="00E55C87"/>
    <w:rsid w:val="00E55CF4"/>
    <w:rsid w:val="00E5611C"/>
    <w:rsid w:val="00E562BA"/>
    <w:rsid w:val="00E564D6"/>
    <w:rsid w:val="00E573C5"/>
    <w:rsid w:val="00E574BA"/>
    <w:rsid w:val="00E6141A"/>
    <w:rsid w:val="00E61901"/>
    <w:rsid w:val="00E64216"/>
    <w:rsid w:val="00E64E3C"/>
    <w:rsid w:val="00E6646A"/>
    <w:rsid w:val="00E66669"/>
    <w:rsid w:val="00E66B8E"/>
    <w:rsid w:val="00E67DCA"/>
    <w:rsid w:val="00E7029C"/>
    <w:rsid w:val="00E708C3"/>
    <w:rsid w:val="00E70D2E"/>
    <w:rsid w:val="00E70D8E"/>
    <w:rsid w:val="00E70E39"/>
    <w:rsid w:val="00E71162"/>
    <w:rsid w:val="00E71A92"/>
    <w:rsid w:val="00E721C1"/>
    <w:rsid w:val="00E72574"/>
    <w:rsid w:val="00E72EF7"/>
    <w:rsid w:val="00E739A5"/>
    <w:rsid w:val="00E74DBE"/>
    <w:rsid w:val="00E75185"/>
    <w:rsid w:val="00E754B6"/>
    <w:rsid w:val="00E756E7"/>
    <w:rsid w:val="00E768E9"/>
    <w:rsid w:val="00E77C27"/>
    <w:rsid w:val="00E77D7E"/>
    <w:rsid w:val="00E77E4D"/>
    <w:rsid w:val="00E8046B"/>
    <w:rsid w:val="00E80511"/>
    <w:rsid w:val="00E80A11"/>
    <w:rsid w:val="00E8130C"/>
    <w:rsid w:val="00E8137D"/>
    <w:rsid w:val="00E81735"/>
    <w:rsid w:val="00E81D1B"/>
    <w:rsid w:val="00E820D8"/>
    <w:rsid w:val="00E824BA"/>
    <w:rsid w:val="00E82C61"/>
    <w:rsid w:val="00E830AE"/>
    <w:rsid w:val="00E830C8"/>
    <w:rsid w:val="00E8393E"/>
    <w:rsid w:val="00E83B7A"/>
    <w:rsid w:val="00E83C8C"/>
    <w:rsid w:val="00E83F73"/>
    <w:rsid w:val="00E8422E"/>
    <w:rsid w:val="00E84931"/>
    <w:rsid w:val="00E84BEE"/>
    <w:rsid w:val="00E85252"/>
    <w:rsid w:val="00E85AC1"/>
    <w:rsid w:val="00E85E3E"/>
    <w:rsid w:val="00E863F2"/>
    <w:rsid w:val="00E8642E"/>
    <w:rsid w:val="00E868E6"/>
    <w:rsid w:val="00E8706F"/>
    <w:rsid w:val="00E9003F"/>
    <w:rsid w:val="00E9050F"/>
    <w:rsid w:val="00E90E34"/>
    <w:rsid w:val="00E91280"/>
    <w:rsid w:val="00E91624"/>
    <w:rsid w:val="00E9190C"/>
    <w:rsid w:val="00E9282F"/>
    <w:rsid w:val="00E92B87"/>
    <w:rsid w:val="00E934A6"/>
    <w:rsid w:val="00E937D4"/>
    <w:rsid w:val="00E93905"/>
    <w:rsid w:val="00E939F4"/>
    <w:rsid w:val="00E93B3A"/>
    <w:rsid w:val="00E94800"/>
    <w:rsid w:val="00E95179"/>
    <w:rsid w:val="00E959E0"/>
    <w:rsid w:val="00E96737"/>
    <w:rsid w:val="00E96B4C"/>
    <w:rsid w:val="00E96D42"/>
    <w:rsid w:val="00E97218"/>
    <w:rsid w:val="00E977F5"/>
    <w:rsid w:val="00E97DBB"/>
    <w:rsid w:val="00EA0204"/>
    <w:rsid w:val="00EA0441"/>
    <w:rsid w:val="00EA07AA"/>
    <w:rsid w:val="00EA09C6"/>
    <w:rsid w:val="00EA0D25"/>
    <w:rsid w:val="00EA0EA0"/>
    <w:rsid w:val="00EA12F7"/>
    <w:rsid w:val="00EA13F1"/>
    <w:rsid w:val="00EA1F4B"/>
    <w:rsid w:val="00EA21DA"/>
    <w:rsid w:val="00EA2A3F"/>
    <w:rsid w:val="00EA2CD2"/>
    <w:rsid w:val="00EA388D"/>
    <w:rsid w:val="00EA448E"/>
    <w:rsid w:val="00EA47B5"/>
    <w:rsid w:val="00EA4942"/>
    <w:rsid w:val="00EA4E47"/>
    <w:rsid w:val="00EA5ED2"/>
    <w:rsid w:val="00EA67D5"/>
    <w:rsid w:val="00EA6E00"/>
    <w:rsid w:val="00EA7820"/>
    <w:rsid w:val="00EB16AC"/>
    <w:rsid w:val="00EB1D9E"/>
    <w:rsid w:val="00EB335A"/>
    <w:rsid w:val="00EB37E9"/>
    <w:rsid w:val="00EB3C15"/>
    <w:rsid w:val="00EB3C16"/>
    <w:rsid w:val="00EB3E0C"/>
    <w:rsid w:val="00EB4BA5"/>
    <w:rsid w:val="00EB4FE8"/>
    <w:rsid w:val="00EB5547"/>
    <w:rsid w:val="00EB60D7"/>
    <w:rsid w:val="00EB6550"/>
    <w:rsid w:val="00EB70DC"/>
    <w:rsid w:val="00EB76A2"/>
    <w:rsid w:val="00EC02F5"/>
    <w:rsid w:val="00EC10A0"/>
    <w:rsid w:val="00EC13E7"/>
    <w:rsid w:val="00EC14A6"/>
    <w:rsid w:val="00EC231D"/>
    <w:rsid w:val="00EC2797"/>
    <w:rsid w:val="00EC2D88"/>
    <w:rsid w:val="00EC369A"/>
    <w:rsid w:val="00EC3704"/>
    <w:rsid w:val="00EC4E20"/>
    <w:rsid w:val="00EC5A3D"/>
    <w:rsid w:val="00EC714D"/>
    <w:rsid w:val="00EC7671"/>
    <w:rsid w:val="00EC79D3"/>
    <w:rsid w:val="00ED0390"/>
    <w:rsid w:val="00ED0E74"/>
    <w:rsid w:val="00ED1130"/>
    <w:rsid w:val="00ED118B"/>
    <w:rsid w:val="00ED197A"/>
    <w:rsid w:val="00ED1E12"/>
    <w:rsid w:val="00ED28FF"/>
    <w:rsid w:val="00ED30E0"/>
    <w:rsid w:val="00ED465E"/>
    <w:rsid w:val="00ED5922"/>
    <w:rsid w:val="00ED62D7"/>
    <w:rsid w:val="00ED6413"/>
    <w:rsid w:val="00ED679F"/>
    <w:rsid w:val="00ED691F"/>
    <w:rsid w:val="00ED6CE9"/>
    <w:rsid w:val="00ED7171"/>
    <w:rsid w:val="00ED7C4B"/>
    <w:rsid w:val="00EE0B88"/>
    <w:rsid w:val="00EE0DC4"/>
    <w:rsid w:val="00EE1DFD"/>
    <w:rsid w:val="00EE2F46"/>
    <w:rsid w:val="00EE307D"/>
    <w:rsid w:val="00EE379A"/>
    <w:rsid w:val="00EE3E21"/>
    <w:rsid w:val="00EE5C97"/>
    <w:rsid w:val="00EE6DFD"/>
    <w:rsid w:val="00EE72AB"/>
    <w:rsid w:val="00EE74FC"/>
    <w:rsid w:val="00EE782E"/>
    <w:rsid w:val="00EF0088"/>
    <w:rsid w:val="00EF08A1"/>
    <w:rsid w:val="00EF10C6"/>
    <w:rsid w:val="00EF1287"/>
    <w:rsid w:val="00EF1454"/>
    <w:rsid w:val="00EF1577"/>
    <w:rsid w:val="00EF1731"/>
    <w:rsid w:val="00EF17B6"/>
    <w:rsid w:val="00EF1B91"/>
    <w:rsid w:val="00EF213C"/>
    <w:rsid w:val="00EF2344"/>
    <w:rsid w:val="00EF3A3C"/>
    <w:rsid w:val="00EF3E96"/>
    <w:rsid w:val="00EF4019"/>
    <w:rsid w:val="00EF450B"/>
    <w:rsid w:val="00EF48B8"/>
    <w:rsid w:val="00EF4E43"/>
    <w:rsid w:val="00EF4FB0"/>
    <w:rsid w:val="00EF578B"/>
    <w:rsid w:val="00EF66C8"/>
    <w:rsid w:val="00EF66D1"/>
    <w:rsid w:val="00EF68A7"/>
    <w:rsid w:val="00F015AD"/>
    <w:rsid w:val="00F016C7"/>
    <w:rsid w:val="00F01A93"/>
    <w:rsid w:val="00F0244E"/>
    <w:rsid w:val="00F027FC"/>
    <w:rsid w:val="00F02886"/>
    <w:rsid w:val="00F02C54"/>
    <w:rsid w:val="00F02E19"/>
    <w:rsid w:val="00F03202"/>
    <w:rsid w:val="00F0337B"/>
    <w:rsid w:val="00F03947"/>
    <w:rsid w:val="00F03F03"/>
    <w:rsid w:val="00F0416E"/>
    <w:rsid w:val="00F04C82"/>
    <w:rsid w:val="00F055A1"/>
    <w:rsid w:val="00F0563A"/>
    <w:rsid w:val="00F06696"/>
    <w:rsid w:val="00F06940"/>
    <w:rsid w:val="00F0696C"/>
    <w:rsid w:val="00F07110"/>
    <w:rsid w:val="00F0736A"/>
    <w:rsid w:val="00F10278"/>
    <w:rsid w:val="00F11778"/>
    <w:rsid w:val="00F12025"/>
    <w:rsid w:val="00F12E07"/>
    <w:rsid w:val="00F13580"/>
    <w:rsid w:val="00F13747"/>
    <w:rsid w:val="00F14622"/>
    <w:rsid w:val="00F166DD"/>
    <w:rsid w:val="00F17AA9"/>
    <w:rsid w:val="00F17B20"/>
    <w:rsid w:val="00F20D01"/>
    <w:rsid w:val="00F21400"/>
    <w:rsid w:val="00F217ED"/>
    <w:rsid w:val="00F21A1A"/>
    <w:rsid w:val="00F21E15"/>
    <w:rsid w:val="00F22C88"/>
    <w:rsid w:val="00F239C6"/>
    <w:rsid w:val="00F23E3B"/>
    <w:rsid w:val="00F23F0C"/>
    <w:rsid w:val="00F23F7C"/>
    <w:rsid w:val="00F2437B"/>
    <w:rsid w:val="00F24B79"/>
    <w:rsid w:val="00F25410"/>
    <w:rsid w:val="00F255F1"/>
    <w:rsid w:val="00F259D5"/>
    <w:rsid w:val="00F25A55"/>
    <w:rsid w:val="00F26245"/>
    <w:rsid w:val="00F26FEC"/>
    <w:rsid w:val="00F27001"/>
    <w:rsid w:val="00F2746E"/>
    <w:rsid w:val="00F27CF5"/>
    <w:rsid w:val="00F30810"/>
    <w:rsid w:val="00F31393"/>
    <w:rsid w:val="00F3146F"/>
    <w:rsid w:val="00F317DF"/>
    <w:rsid w:val="00F318B1"/>
    <w:rsid w:val="00F31A1A"/>
    <w:rsid w:val="00F31DF3"/>
    <w:rsid w:val="00F31EDA"/>
    <w:rsid w:val="00F323FF"/>
    <w:rsid w:val="00F329B0"/>
    <w:rsid w:val="00F33267"/>
    <w:rsid w:val="00F33401"/>
    <w:rsid w:val="00F33527"/>
    <w:rsid w:val="00F3382C"/>
    <w:rsid w:val="00F3396C"/>
    <w:rsid w:val="00F33B4B"/>
    <w:rsid w:val="00F341A2"/>
    <w:rsid w:val="00F34280"/>
    <w:rsid w:val="00F361F3"/>
    <w:rsid w:val="00F36F6A"/>
    <w:rsid w:val="00F36F9D"/>
    <w:rsid w:val="00F379CD"/>
    <w:rsid w:val="00F40413"/>
    <w:rsid w:val="00F40AB6"/>
    <w:rsid w:val="00F41336"/>
    <w:rsid w:val="00F420E4"/>
    <w:rsid w:val="00F428B6"/>
    <w:rsid w:val="00F42CAA"/>
    <w:rsid w:val="00F42F03"/>
    <w:rsid w:val="00F430D6"/>
    <w:rsid w:val="00F4370D"/>
    <w:rsid w:val="00F43E76"/>
    <w:rsid w:val="00F44A82"/>
    <w:rsid w:val="00F44CE6"/>
    <w:rsid w:val="00F4513F"/>
    <w:rsid w:val="00F45743"/>
    <w:rsid w:val="00F464C6"/>
    <w:rsid w:val="00F46A12"/>
    <w:rsid w:val="00F506CD"/>
    <w:rsid w:val="00F5143E"/>
    <w:rsid w:val="00F51AB8"/>
    <w:rsid w:val="00F51C74"/>
    <w:rsid w:val="00F52AFE"/>
    <w:rsid w:val="00F54647"/>
    <w:rsid w:val="00F55687"/>
    <w:rsid w:val="00F55E6E"/>
    <w:rsid w:val="00F57BA9"/>
    <w:rsid w:val="00F57CA4"/>
    <w:rsid w:val="00F60507"/>
    <w:rsid w:val="00F6092D"/>
    <w:rsid w:val="00F61DCC"/>
    <w:rsid w:val="00F61F86"/>
    <w:rsid w:val="00F62104"/>
    <w:rsid w:val="00F62ACC"/>
    <w:rsid w:val="00F63367"/>
    <w:rsid w:val="00F63841"/>
    <w:rsid w:val="00F640C5"/>
    <w:rsid w:val="00F6442D"/>
    <w:rsid w:val="00F644C9"/>
    <w:rsid w:val="00F6568F"/>
    <w:rsid w:val="00F6605A"/>
    <w:rsid w:val="00F666FD"/>
    <w:rsid w:val="00F66EDD"/>
    <w:rsid w:val="00F7003C"/>
    <w:rsid w:val="00F7049F"/>
    <w:rsid w:val="00F70673"/>
    <w:rsid w:val="00F70723"/>
    <w:rsid w:val="00F7097D"/>
    <w:rsid w:val="00F71608"/>
    <w:rsid w:val="00F7171F"/>
    <w:rsid w:val="00F71948"/>
    <w:rsid w:val="00F7195A"/>
    <w:rsid w:val="00F725AA"/>
    <w:rsid w:val="00F72885"/>
    <w:rsid w:val="00F73515"/>
    <w:rsid w:val="00F7353A"/>
    <w:rsid w:val="00F741DD"/>
    <w:rsid w:val="00F74AD7"/>
    <w:rsid w:val="00F7514B"/>
    <w:rsid w:val="00F75986"/>
    <w:rsid w:val="00F759CA"/>
    <w:rsid w:val="00F763C9"/>
    <w:rsid w:val="00F764BA"/>
    <w:rsid w:val="00F76A66"/>
    <w:rsid w:val="00F76E2A"/>
    <w:rsid w:val="00F77200"/>
    <w:rsid w:val="00F77624"/>
    <w:rsid w:val="00F77D9C"/>
    <w:rsid w:val="00F77E86"/>
    <w:rsid w:val="00F8094E"/>
    <w:rsid w:val="00F80DED"/>
    <w:rsid w:val="00F81102"/>
    <w:rsid w:val="00F81340"/>
    <w:rsid w:val="00F81814"/>
    <w:rsid w:val="00F81BF3"/>
    <w:rsid w:val="00F81EBE"/>
    <w:rsid w:val="00F82338"/>
    <w:rsid w:val="00F824BD"/>
    <w:rsid w:val="00F82916"/>
    <w:rsid w:val="00F83107"/>
    <w:rsid w:val="00F8394A"/>
    <w:rsid w:val="00F83AFC"/>
    <w:rsid w:val="00F8416F"/>
    <w:rsid w:val="00F84741"/>
    <w:rsid w:val="00F855A4"/>
    <w:rsid w:val="00F86122"/>
    <w:rsid w:val="00F8676D"/>
    <w:rsid w:val="00F867A5"/>
    <w:rsid w:val="00F87CE8"/>
    <w:rsid w:val="00F925CD"/>
    <w:rsid w:val="00F929B9"/>
    <w:rsid w:val="00F938EE"/>
    <w:rsid w:val="00F940BB"/>
    <w:rsid w:val="00F94D12"/>
    <w:rsid w:val="00F96CAB"/>
    <w:rsid w:val="00F96E5C"/>
    <w:rsid w:val="00F96EA6"/>
    <w:rsid w:val="00F974F2"/>
    <w:rsid w:val="00F97819"/>
    <w:rsid w:val="00F97832"/>
    <w:rsid w:val="00FA045F"/>
    <w:rsid w:val="00FA0E8E"/>
    <w:rsid w:val="00FA17D9"/>
    <w:rsid w:val="00FA1F51"/>
    <w:rsid w:val="00FA23D4"/>
    <w:rsid w:val="00FA27AD"/>
    <w:rsid w:val="00FA2A40"/>
    <w:rsid w:val="00FA32DC"/>
    <w:rsid w:val="00FA3302"/>
    <w:rsid w:val="00FA365C"/>
    <w:rsid w:val="00FA3A75"/>
    <w:rsid w:val="00FA3AD8"/>
    <w:rsid w:val="00FA3F19"/>
    <w:rsid w:val="00FA4768"/>
    <w:rsid w:val="00FA476F"/>
    <w:rsid w:val="00FA48E5"/>
    <w:rsid w:val="00FA4B1E"/>
    <w:rsid w:val="00FA4B2C"/>
    <w:rsid w:val="00FA527F"/>
    <w:rsid w:val="00FA5A04"/>
    <w:rsid w:val="00FA62EC"/>
    <w:rsid w:val="00FA6979"/>
    <w:rsid w:val="00FA70AC"/>
    <w:rsid w:val="00FB0952"/>
    <w:rsid w:val="00FB0F4B"/>
    <w:rsid w:val="00FB1030"/>
    <w:rsid w:val="00FB141F"/>
    <w:rsid w:val="00FB1D12"/>
    <w:rsid w:val="00FB2072"/>
    <w:rsid w:val="00FB20AF"/>
    <w:rsid w:val="00FB2265"/>
    <w:rsid w:val="00FB23CD"/>
    <w:rsid w:val="00FB27BC"/>
    <w:rsid w:val="00FB31AD"/>
    <w:rsid w:val="00FB3F02"/>
    <w:rsid w:val="00FB3F0A"/>
    <w:rsid w:val="00FB592A"/>
    <w:rsid w:val="00FB6506"/>
    <w:rsid w:val="00FB6DDD"/>
    <w:rsid w:val="00FB6F46"/>
    <w:rsid w:val="00FB7E40"/>
    <w:rsid w:val="00FB7ECD"/>
    <w:rsid w:val="00FC1631"/>
    <w:rsid w:val="00FC25DD"/>
    <w:rsid w:val="00FC2FBA"/>
    <w:rsid w:val="00FC307E"/>
    <w:rsid w:val="00FC3D5D"/>
    <w:rsid w:val="00FC3FE5"/>
    <w:rsid w:val="00FC4B85"/>
    <w:rsid w:val="00FC4DAE"/>
    <w:rsid w:val="00FC4EEC"/>
    <w:rsid w:val="00FC53DA"/>
    <w:rsid w:val="00FC56E6"/>
    <w:rsid w:val="00FC5A74"/>
    <w:rsid w:val="00FC5AAE"/>
    <w:rsid w:val="00FC695A"/>
    <w:rsid w:val="00FC69AB"/>
    <w:rsid w:val="00FC6EC1"/>
    <w:rsid w:val="00FC75A8"/>
    <w:rsid w:val="00FC7BEF"/>
    <w:rsid w:val="00FD016F"/>
    <w:rsid w:val="00FD0257"/>
    <w:rsid w:val="00FD0364"/>
    <w:rsid w:val="00FD14E0"/>
    <w:rsid w:val="00FD1F61"/>
    <w:rsid w:val="00FD304F"/>
    <w:rsid w:val="00FD3F3D"/>
    <w:rsid w:val="00FD4416"/>
    <w:rsid w:val="00FD4B57"/>
    <w:rsid w:val="00FD502B"/>
    <w:rsid w:val="00FD565E"/>
    <w:rsid w:val="00FD56B8"/>
    <w:rsid w:val="00FD6BFB"/>
    <w:rsid w:val="00FD78A6"/>
    <w:rsid w:val="00FD78C3"/>
    <w:rsid w:val="00FE02AE"/>
    <w:rsid w:val="00FE02ED"/>
    <w:rsid w:val="00FE0871"/>
    <w:rsid w:val="00FE0EE5"/>
    <w:rsid w:val="00FE1478"/>
    <w:rsid w:val="00FE1620"/>
    <w:rsid w:val="00FE1F0E"/>
    <w:rsid w:val="00FE1F9D"/>
    <w:rsid w:val="00FE2B11"/>
    <w:rsid w:val="00FE2C43"/>
    <w:rsid w:val="00FE2C59"/>
    <w:rsid w:val="00FE3386"/>
    <w:rsid w:val="00FE360A"/>
    <w:rsid w:val="00FE3A82"/>
    <w:rsid w:val="00FE3CC8"/>
    <w:rsid w:val="00FE4E22"/>
    <w:rsid w:val="00FE55E7"/>
    <w:rsid w:val="00FE574E"/>
    <w:rsid w:val="00FE57E1"/>
    <w:rsid w:val="00FE5861"/>
    <w:rsid w:val="00FE6DCA"/>
    <w:rsid w:val="00FE78E7"/>
    <w:rsid w:val="00FE7B7E"/>
    <w:rsid w:val="00FE7D0F"/>
    <w:rsid w:val="00FF01E6"/>
    <w:rsid w:val="00FF139D"/>
    <w:rsid w:val="00FF1A5A"/>
    <w:rsid w:val="00FF3191"/>
    <w:rsid w:val="00FF32D1"/>
    <w:rsid w:val="00FF4AF2"/>
    <w:rsid w:val="00FF505F"/>
    <w:rsid w:val="00FF51D6"/>
    <w:rsid w:val="00FF5E52"/>
    <w:rsid w:val="00FF5F87"/>
    <w:rsid w:val="00FF5FE4"/>
    <w:rsid w:val="00FF667E"/>
    <w:rsid w:val="00FF70E6"/>
    <w:rsid w:val="00FF7966"/>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21E5"/>
  <w15:docId w15:val="{B71A63D5-F910-4E6A-8D78-EAB3E8A8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402B"/>
    <w:pPr>
      <w:spacing w:after="160" w:line="264" w:lineRule="auto"/>
      <w:jc w:val="both"/>
    </w:pPr>
    <w:rPr>
      <w:rFonts w:ascii="Calibri" w:eastAsiaTheme="minorEastAsia" w:hAnsi="Calibri"/>
      <w:sz w:val="23"/>
      <w:lang w:eastAsia="el-GR"/>
    </w:rPr>
  </w:style>
  <w:style w:type="paragraph" w:styleId="1">
    <w:name w:val="heading 1"/>
    <w:basedOn w:val="a"/>
    <w:next w:val="a"/>
    <w:link w:val="1Char"/>
    <w:uiPriority w:val="9"/>
    <w:qFormat/>
    <w:rsid w:val="00E210D2"/>
    <w:pPr>
      <w:keepNext/>
      <w:keepLines/>
      <w:pBdr>
        <w:bottom w:val="single" w:sz="18" w:space="1" w:color="E36C0A" w:themeColor="accent6" w:themeShade="BF"/>
      </w:pBdr>
      <w:spacing w:after="840" w:line="520" w:lineRule="exact"/>
      <w:jc w:val="left"/>
      <w:outlineLvl w:val="0"/>
    </w:pPr>
    <w:rPr>
      <w:rFonts w:ascii="Calibri Light" w:eastAsiaTheme="majorEastAsia" w:hAnsi="Calibri Light" w:cstheme="majorBidi"/>
      <w:b/>
      <w:bCs/>
      <w:color w:val="4F81BD" w:themeColor="accent1"/>
      <w:w w:val="90"/>
      <w:sz w:val="48"/>
      <w:szCs w:val="28"/>
    </w:rPr>
  </w:style>
  <w:style w:type="paragraph" w:styleId="2">
    <w:name w:val="heading 2"/>
    <w:basedOn w:val="a"/>
    <w:next w:val="a"/>
    <w:link w:val="2Char"/>
    <w:uiPriority w:val="9"/>
    <w:unhideWhenUsed/>
    <w:qFormat/>
    <w:rsid w:val="00006E35"/>
    <w:pPr>
      <w:keepNext/>
      <w:keepLines/>
      <w:spacing w:before="480"/>
      <w:jc w:val="left"/>
      <w:outlineLvl w:val="1"/>
    </w:pPr>
    <w:rPr>
      <w:rFonts w:ascii="Calibri Light" w:eastAsiaTheme="majorEastAsia" w:hAnsi="Calibri Light" w:cstheme="majorBidi"/>
      <w:b/>
      <w:color w:val="4F81BD" w:themeColor="accent1"/>
      <w:sz w:val="28"/>
      <w:szCs w:val="26"/>
    </w:rPr>
  </w:style>
  <w:style w:type="paragraph" w:styleId="3">
    <w:name w:val="heading 3"/>
    <w:basedOn w:val="a"/>
    <w:next w:val="a"/>
    <w:link w:val="3Char"/>
    <w:uiPriority w:val="9"/>
    <w:unhideWhenUsed/>
    <w:qFormat/>
    <w:rsid w:val="00583C70"/>
    <w:pPr>
      <w:keepNext/>
      <w:keepLines/>
      <w:spacing w:before="600"/>
      <w:jc w:val="left"/>
      <w:outlineLvl w:val="2"/>
    </w:pPr>
    <w:rPr>
      <w:rFonts w:ascii="Calibri Light" w:eastAsiaTheme="majorEastAsia" w:hAnsi="Calibri Light" w:cstheme="majorBidi"/>
      <w:color w:val="4F81BD" w:themeColor="accent1"/>
      <w:sz w:val="32"/>
      <w:szCs w:val="24"/>
    </w:rPr>
  </w:style>
  <w:style w:type="paragraph" w:styleId="4">
    <w:name w:val="heading 4"/>
    <w:basedOn w:val="a"/>
    <w:next w:val="a"/>
    <w:link w:val="4Char"/>
    <w:uiPriority w:val="9"/>
    <w:unhideWhenUsed/>
    <w:qFormat/>
    <w:rsid w:val="00E9162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987A40"/>
    <w:pPr>
      <w:keepNext/>
      <w:keepLines/>
      <w:spacing w:before="240" w:after="80" w:line="276" w:lineRule="auto"/>
      <w:jc w:val="left"/>
      <w:outlineLvl w:val="4"/>
    </w:pPr>
    <w:rPr>
      <w:rFonts w:ascii="Arial" w:eastAsia="Arial" w:hAnsi="Arial" w:cs="Arial"/>
      <w:color w:val="666666"/>
      <w:sz w:val="22"/>
    </w:rPr>
  </w:style>
  <w:style w:type="paragraph" w:styleId="6">
    <w:name w:val="heading 6"/>
    <w:basedOn w:val="a"/>
    <w:next w:val="a"/>
    <w:link w:val="6Char"/>
    <w:uiPriority w:val="9"/>
    <w:semiHidden/>
    <w:unhideWhenUsed/>
    <w:qFormat/>
    <w:rsid w:val="00987A40"/>
    <w:pPr>
      <w:keepNext/>
      <w:keepLines/>
      <w:spacing w:before="240" w:after="80" w:line="276" w:lineRule="auto"/>
      <w:jc w:val="left"/>
      <w:outlineLvl w:val="5"/>
    </w:pPr>
    <w:rPr>
      <w:rFonts w:ascii="Arial" w:eastAsia="Arial" w:hAnsi="Arial" w:cs="Arial"/>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1E9C"/>
    <w:pPr>
      <w:autoSpaceDE w:val="0"/>
      <w:autoSpaceDN w:val="0"/>
      <w:adjustRightInd w:val="0"/>
      <w:spacing w:after="0" w:line="240" w:lineRule="auto"/>
    </w:pPr>
    <w:rPr>
      <w:rFonts w:ascii="Lato Black" w:hAnsi="Lato Black" w:cs="Lato Black"/>
      <w:color w:val="000000"/>
      <w:sz w:val="24"/>
      <w:szCs w:val="24"/>
    </w:rPr>
  </w:style>
  <w:style w:type="paragraph" w:styleId="a3">
    <w:name w:val="Balloon Text"/>
    <w:basedOn w:val="a"/>
    <w:link w:val="Char"/>
    <w:uiPriority w:val="99"/>
    <w:semiHidden/>
    <w:unhideWhenUsed/>
    <w:rsid w:val="00537EF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37EF0"/>
    <w:rPr>
      <w:rFonts w:ascii="Tahoma" w:eastAsiaTheme="minorEastAsia" w:hAnsi="Tahoma" w:cs="Tahoma"/>
      <w:sz w:val="16"/>
      <w:szCs w:val="16"/>
      <w:lang w:eastAsia="el-GR"/>
    </w:rPr>
  </w:style>
  <w:style w:type="paragraph" w:styleId="a4">
    <w:name w:val="List Paragraph"/>
    <w:aliases w:val="1st level - Bullet List Paragraph,Bullet EY,Bullet list,Lettre d'introduction,List L1,List Paragraph compact,List Paragraph1,List Paragraph11,Normal bullet 2,Normal bullet 21,Numbered List,Paragraph,Paragraphe de liste 2,Reference list"/>
    <w:basedOn w:val="a"/>
    <w:link w:val="Char0"/>
    <w:uiPriority w:val="34"/>
    <w:qFormat/>
    <w:rsid w:val="003B1F6E"/>
    <w:pPr>
      <w:ind w:left="720"/>
      <w:contextualSpacing/>
    </w:pPr>
    <w:rPr>
      <w:rFonts w:eastAsiaTheme="minorHAnsi"/>
      <w:lang w:eastAsia="en-US"/>
    </w:rPr>
  </w:style>
  <w:style w:type="paragraph" w:styleId="a5">
    <w:name w:val="header"/>
    <w:basedOn w:val="a"/>
    <w:link w:val="Char1"/>
    <w:uiPriority w:val="99"/>
    <w:unhideWhenUsed/>
    <w:rsid w:val="00404883"/>
    <w:pPr>
      <w:tabs>
        <w:tab w:val="center" w:pos="4153"/>
        <w:tab w:val="right" w:pos="8306"/>
      </w:tabs>
      <w:spacing w:after="0" w:line="240" w:lineRule="auto"/>
    </w:pPr>
  </w:style>
  <w:style w:type="character" w:customStyle="1" w:styleId="Char1">
    <w:name w:val="Κεφαλίδα Char"/>
    <w:basedOn w:val="a0"/>
    <w:link w:val="a5"/>
    <w:uiPriority w:val="99"/>
    <w:rsid w:val="00404883"/>
    <w:rPr>
      <w:rFonts w:eastAsiaTheme="minorEastAsia"/>
      <w:lang w:eastAsia="el-GR"/>
    </w:rPr>
  </w:style>
  <w:style w:type="paragraph" w:styleId="a6">
    <w:name w:val="footer"/>
    <w:basedOn w:val="a"/>
    <w:link w:val="Char2"/>
    <w:uiPriority w:val="99"/>
    <w:unhideWhenUsed/>
    <w:rsid w:val="00404883"/>
    <w:pPr>
      <w:tabs>
        <w:tab w:val="center" w:pos="4153"/>
        <w:tab w:val="right" w:pos="8306"/>
      </w:tabs>
      <w:spacing w:after="0" w:line="240" w:lineRule="auto"/>
    </w:pPr>
  </w:style>
  <w:style w:type="character" w:customStyle="1" w:styleId="Char2">
    <w:name w:val="Υποσέλιδο Char"/>
    <w:basedOn w:val="a0"/>
    <w:link w:val="a6"/>
    <w:uiPriority w:val="99"/>
    <w:rsid w:val="00404883"/>
    <w:rPr>
      <w:rFonts w:eastAsiaTheme="minorEastAsia"/>
      <w:lang w:eastAsia="el-GR"/>
    </w:rPr>
  </w:style>
  <w:style w:type="paragraph" w:customStyle="1" w:styleId="10">
    <w:name w:val="Παράγραφος λίστας1"/>
    <w:rsid w:val="005A31FF"/>
    <w:pPr>
      <w:suppressAutoHyphens/>
      <w:ind w:left="720"/>
    </w:pPr>
    <w:rPr>
      <w:rFonts w:ascii="Calibri" w:eastAsia="Arial" w:hAnsi="Calibri" w:cs="font266"/>
      <w:kern w:val="1"/>
      <w:lang w:val="en-GB" w:eastAsia="ar-SA"/>
    </w:rPr>
  </w:style>
  <w:style w:type="table" w:styleId="a7">
    <w:name w:val="Table Grid"/>
    <w:basedOn w:val="a1"/>
    <w:uiPriority w:val="59"/>
    <w:rsid w:val="005A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E210D2"/>
    <w:rPr>
      <w:rFonts w:ascii="Calibri Light" w:eastAsiaTheme="majorEastAsia" w:hAnsi="Calibri Light" w:cstheme="majorBidi"/>
      <w:b/>
      <w:bCs/>
      <w:color w:val="4F81BD" w:themeColor="accent1"/>
      <w:w w:val="90"/>
      <w:sz w:val="48"/>
      <w:szCs w:val="28"/>
      <w:lang w:eastAsia="el-GR"/>
    </w:rPr>
  </w:style>
  <w:style w:type="paragraph" w:styleId="a8">
    <w:name w:val="TOC Heading"/>
    <w:basedOn w:val="1"/>
    <w:next w:val="a"/>
    <w:uiPriority w:val="39"/>
    <w:unhideWhenUsed/>
    <w:qFormat/>
    <w:rsid w:val="00654672"/>
    <w:pPr>
      <w:outlineLvl w:val="9"/>
    </w:pPr>
    <w:rPr>
      <w:lang w:eastAsia="en-US"/>
    </w:rPr>
  </w:style>
  <w:style w:type="paragraph" w:styleId="a9">
    <w:name w:val="Subtitle"/>
    <w:basedOn w:val="a"/>
    <w:next w:val="a"/>
    <w:link w:val="Char3"/>
    <w:uiPriority w:val="11"/>
    <w:qFormat/>
    <w:rsid w:val="006546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3">
    <w:name w:val="Υπότιτλος Char"/>
    <w:basedOn w:val="a0"/>
    <w:link w:val="a9"/>
    <w:uiPriority w:val="11"/>
    <w:rsid w:val="00654672"/>
    <w:rPr>
      <w:rFonts w:asciiTheme="majorHAnsi" w:eastAsiaTheme="majorEastAsia" w:hAnsiTheme="majorHAnsi" w:cstheme="majorBidi"/>
      <w:i/>
      <w:iCs/>
      <w:color w:val="4F81BD" w:themeColor="accent1"/>
      <w:spacing w:val="15"/>
      <w:sz w:val="24"/>
      <w:szCs w:val="24"/>
      <w:lang w:eastAsia="el-GR"/>
    </w:rPr>
  </w:style>
  <w:style w:type="paragraph" w:styleId="11">
    <w:name w:val="toc 1"/>
    <w:basedOn w:val="a"/>
    <w:next w:val="a"/>
    <w:autoRedefine/>
    <w:uiPriority w:val="39"/>
    <w:unhideWhenUsed/>
    <w:rsid w:val="00233204"/>
    <w:pPr>
      <w:tabs>
        <w:tab w:val="left" w:pos="284"/>
        <w:tab w:val="right" w:leader="dot" w:pos="9923"/>
      </w:tabs>
      <w:spacing w:after="100" w:line="280" w:lineRule="atLeast"/>
      <w:jc w:val="left"/>
    </w:pPr>
    <w:rPr>
      <w:b/>
      <w:noProof/>
      <w:sz w:val="24"/>
      <w:lang w:val="en-US"/>
    </w:rPr>
  </w:style>
  <w:style w:type="character" w:styleId="-">
    <w:name w:val="Hyperlink"/>
    <w:basedOn w:val="a0"/>
    <w:uiPriority w:val="99"/>
    <w:unhideWhenUsed/>
    <w:rsid w:val="00654672"/>
    <w:rPr>
      <w:color w:val="0000FF" w:themeColor="hyperlink"/>
      <w:u w:val="single"/>
    </w:rPr>
  </w:style>
  <w:style w:type="character" w:styleId="aa">
    <w:name w:val="annotation reference"/>
    <w:basedOn w:val="a0"/>
    <w:uiPriority w:val="99"/>
    <w:semiHidden/>
    <w:unhideWhenUsed/>
    <w:rsid w:val="004631E6"/>
    <w:rPr>
      <w:sz w:val="16"/>
      <w:szCs w:val="16"/>
    </w:rPr>
  </w:style>
  <w:style w:type="paragraph" w:styleId="ab">
    <w:name w:val="annotation text"/>
    <w:basedOn w:val="a"/>
    <w:link w:val="Char4"/>
    <w:uiPriority w:val="99"/>
    <w:unhideWhenUsed/>
    <w:rsid w:val="004631E6"/>
    <w:pPr>
      <w:spacing w:line="240" w:lineRule="auto"/>
    </w:pPr>
    <w:rPr>
      <w:sz w:val="20"/>
      <w:szCs w:val="20"/>
    </w:rPr>
  </w:style>
  <w:style w:type="character" w:customStyle="1" w:styleId="Char4">
    <w:name w:val="Κείμενο σχολίου Char"/>
    <w:basedOn w:val="a0"/>
    <w:link w:val="ab"/>
    <w:uiPriority w:val="99"/>
    <w:rsid w:val="004631E6"/>
    <w:rPr>
      <w:rFonts w:eastAsiaTheme="minorEastAsia"/>
      <w:sz w:val="20"/>
      <w:szCs w:val="20"/>
      <w:lang w:eastAsia="el-GR"/>
    </w:rPr>
  </w:style>
  <w:style w:type="paragraph" w:styleId="ac">
    <w:name w:val="annotation subject"/>
    <w:basedOn w:val="ab"/>
    <w:next w:val="ab"/>
    <w:link w:val="Char5"/>
    <w:uiPriority w:val="99"/>
    <w:semiHidden/>
    <w:unhideWhenUsed/>
    <w:rsid w:val="004631E6"/>
    <w:rPr>
      <w:b/>
      <w:bCs/>
    </w:rPr>
  </w:style>
  <w:style w:type="character" w:customStyle="1" w:styleId="Char5">
    <w:name w:val="Θέμα σχολίου Char"/>
    <w:basedOn w:val="Char4"/>
    <w:link w:val="ac"/>
    <w:uiPriority w:val="99"/>
    <w:semiHidden/>
    <w:rsid w:val="004631E6"/>
    <w:rPr>
      <w:rFonts w:eastAsiaTheme="minorEastAsia"/>
      <w:b/>
      <w:bCs/>
      <w:sz w:val="20"/>
      <w:szCs w:val="20"/>
      <w:lang w:eastAsia="el-GR"/>
    </w:rPr>
  </w:style>
  <w:style w:type="paragraph" w:customStyle="1" w:styleId="ParagraphNumbering">
    <w:name w:val="Paragraph Numbering"/>
    <w:basedOn w:val="a"/>
    <w:uiPriority w:val="1"/>
    <w:qFormat/>
    <w:rsid w:val="004356B9"/>
    <w:pPr>
      <w:numPr>
        <w:numId w:val="1"/>
      </w:numPr>
    </w:pPr>
    <w:rPr>
      <w:rFonts w:ascii="Times New Roman" w:eastAsia="Calibri" w:hAnsi="Times New Roman" w:cs="Times New Roman"/>
      <w:sz w:val="24"/>
      <w:szCs w:val="24"/>
      <w:lang w:val="en-US" w:eastAsia="en-US"/>
    </w:rPr>
  </w:style>
  <w:style w:type="paragraph" w:styleId="20">
    <w:name w:val="Body Text Indent 2"/>
    <w:basedOn w:val="a"/>
    <w:link w:val="2Char0"/>
    <w:semiHidden/>
    <w:rsid w:val="004356B9"/>
    <w:pPr>
      <w:spacing w:after="0" w:line="240" w:lineRule="auto"/>
      <w:ind w:left="1560" w:hanging="1560"/>
    </w:pPr>
    <w:rPr>
      <w:rFonts w:ascii="Times New Roman" w:eastAsia="Times New Roman" w:hAnsi="Times New Roman" w:cs="Times New Roman"/>
      <w:b/>
      <w:sz w:val="28"/>
      <w:szCs w:val="20"/>
    </w:rPr>
  </w:style>
  <w:style w:type="character" w:customStyle="1" w:styleId="2Char0">
    <w:name w:val="Σώμα κείμενου με εσοχή 2 Char"/>
    <w:basedOn w:val="a0"/>
    <w:link w:val="20"/>
    <w:semiHidden/>
    <w:rsid w:val="004356B9"/>
    <w:rPr>
      <w:rFonts w:ascii="Times New Roman" w:eastAsia="Times New Roman" w:hAnsi="Times New Roman" w:cs="Times New Roman"/>
      <w:b/>
      <w:sz w:val="28"/>
      <w:szCs w:val="20"/>
      <w:lang w:eastAsia="el-GR"/>
    </w:rPr>
  </w:style>
  <w:style w:type="paragraph" w:styleId="30">
    <w:name w:val="Body Text 3"/>
    <w:basedOn w:val="a"/>
    <w:link w:val="3Char0"/>
    <w:uiPriority w:val="99"/>
    <w:unhideWhenUsed/>
    <w:rsid w:val="004356B9"/>
    <w:rPr>
      <w:rFonts w:eastAsiaTheme="minorHAnsi"/>
      <w:sz w:val="16"/>
      <w:szCs w:val="16"/>
      <w:lang w:val="en-US" w:eastAsia="en-US"/>
    </w:rPr>
  </w:style>
  <w:style w:type="character" w:customStyle="1" w:styleId="3Char0">
    <w:name w:val="Σώμα κείμενου 3 Char"/>
    <w:basedOn w:val="a0"/>
    <w:link w:val="30"/>
    <w:uiPriority w:val="99"/>
    <w:rsid w:val="004356B9"/>
    <w:rPr>
      <w:sz w:val="16"/>
      <w:szCs w:val="16"/>
      <w:lang w:val="en-US"/>
    </w:rPr>
  </w:style>
  <w:style w:type="paragraph" w:styleId="ad">
    <w:name w:val="Revision"/>
    <w:hidden/>
    <w:uiPriority w:val="99"/>
    <w:semiHidden/>
    <w:rsid w:val="00E708C3"/>
    <w:pPr>
      <w:spacing w:after="0" w:line="240" w:lineRule="auto"/>
    </w:pPr>
    <w:rPr>
      <w:rFonts w:eastAsiaTheme="minorEastAsia"/>
      <w:lang w:eastAsia="el-GR"/>
    </w:rPr>
  </w:style>
  <w:style w:type="paragraph" w:styleId="ae">
    <w:name w:val="caption"/>
    <w:basedOn w:val="a"/>
    <w:next w:val="a"/>
    <w:link w:val="Char6"/>
    <w:unhideWhenUsed/>
    <w:qFormat/>
    <w:rsid w:val="006E29A9"/>
    <w:pPr>
      <w:shd w:val="clear" w:color="auto" w:fill="4F81BD" w:themeFill="accent1"/>
      <w:spacing w:after="60" w:line="240" w:lineRule="auto"/>
    </w:pPr>
    <w:rPr>
      <w:rFonts w:eastAsiaTheme="minorHAnsi"/>
      <w:b/>
      <w:iCs/>
      <w:color w:val="FFFFFF" w:themeColor="background1"/>
      <w:sz w:val="24"/>
      <w:szCs w:val="18"/>
      <w:lang w:val="en-US" w:eastAsia="en-US"/>
    </w:rPr>
  </w:style>
  <w:style w:type="character" w:customStyle="1" w:styleId="2Char">
    <w:name w:val="Επικεφαλίδα 2 Char"/>
    <w:basedOn w:val="a0"/>
    <w:link w:val="2"/>
    <w:uiPriority w:val="9"/>
    <w:rsid w:val="00006E35"/>
    <w:rPr>
      <w:rFonts w:ascii="Calibri Light" w:eastAsiaTheme="majorEastAsia" w:hAnsi="Calibri Light" w:cstheme="majorBidi"/>
      <w:b/>
      <w:color w:val="4F81BD" w:themeColor="accent1"/>
      <w:sz w:val="28"/>
      <w:szCs w:val="26"/>
      <w:lang w:eastAsia="el-GR"/>
    </w:rPr>
  </w:style>
  <w:style w:type="paragraph" w:styleId="21">
    <w:name w:val="toc 2"/>
    <w:basedOn w:val="a"/>
    <w:next w:val="a"/>
    <w:autoRedefine/>
    <w:uiPriority w:val="39"/>
    <w:unhideWhenUsed/>
    <w:rsid w:val="002D6D82"/>
    <w:pPr>
      <w:tabs>
        <w:tab w:val="left" w:pos="1276"/>
        <w:tab w:val="right" w:leader="dot" w:pos="9923"/>
      </w:tabs>
      <w:spacing w:after="100" w:line="240" w:lineRule="exact"/>
      <w:ind w:left="1276" w:hanging="992"/>
      <w:jc w:val="left"/>
    </w:pPr>
  </w:style>
  <w:style w:type="paragraph" w:styleId="af">
    <w:name w:val="table of figures"/>
    <w:basedOn w:val="a"/>
    <w:next w:val="a"/>
    <w:uiPriority w:val="99"/>
    <w:unhideWhenUsed/>
    <w:rsid w:val="007D5C51"/>
    <w:pPr>
      <w:spacing w:after="0"/>
    </w:pPr>
  </w:style>
  <w:style w:type="paragraph" w:styleId="af0">
    <w:name w:val="footnote text"/>
    <w:aliases w:val="Footnote Text Char2,Footnote Text Char1 Char,Footnote Text Char2 Char Char,Footnote Text Char1 Char Char Char,Footnote Text Char2 Char Char Char Char,Footnote Text Char Char1 Char Char Char Char,Footnote Text Char2 Cha,Footnote"/>
    <w:basedOn w:val="a"/>
    <w:link w:val="Char7"/>
    <w:uiPriority w:val="99"/>
    <w:unhideWhenUsed/>
    <w:qFormat/>
    <w:rsid w:val="00DB556D"/>
    <w:pPr>
      <w:spacing w:after="0" w:line="240" w:lineRule="auto"/>
    </w:pPr>
    <w:rPr>
      <w:sz w:val="20"/>
      <w:szCs w:val="20"/>
    </w:rPr>
  </w:style>
  <w:style w:type="character" w:customStyle="1" w:styleId="Char7">
    <w:name w:val="Κείμενο υποσημείωσης Char"/>
    <w:aliases w:val="Footnote Text Char2 Char,Footnote Text Char1 Char Char,Footnote Text Char2 Char Char Char,Footnote Text Char1 Char Char Char Char,Footnote Text Char2 Char Char Char Char Char,Footnote Text Char Char1 Char Char Char Char Char"/>
    <w:basedOn w:val="a0"/>
    <w:link w:val="af0"/>
    <w:uiPriority w:val="99"/>
    <w:rsid w:val="00DB556D"/>
    <w:rPr>
      <w:rFonts w:eastAsiaTheme="minorEastAsia"/>
      <w:sz w:val="20"/>
      <w:szCs w:val="20"/>
      <w:lang w:eastAsia="el-GR"/>
    </w:rPr>
  </w:style>
  <w:style w:type="character" w:styleId="af1">
    <w:name w:val="footnote reference"/>
    <w:aliases w:val="Footnote Reference Number,Footnote Reference_LVL6,Footnote Reference_LVL61,Footnote Reference_LVL62,Footnote Reference_LVL63,Footnote Reference_LVL64,C26 Footnote Number,Footnote Reference_LVL65,Footnote symbol,Footnote Reference1"/>
    <w:basedOn w:val="a0"/>
    <w:uiPriority w:val="99"/>
    <w:unhideWhenUsed/>
    <w:qFormat/>
    <w:rsid w:val="00DB556D"/>
    <w:rPr>
      <w:vertAlign w:val="superscript"/>
    </w:rPr>
  </w:style>
  <w:style w:type="paragraph" w:styleId="af2">
    <w:name w:val="No Spacing"/>
    <w:link w:val="Char8"/>
    <w:uiPriority w:val="1"/>
    <w:qFormat/>
    <w:rsid w:val="00271936"/>
    <w:pPr>
      <w:spacing w:after="0" w:line="240" w:lineRule="auto"/>
    </w:pPr>
    <w:rPr>
      <w:rFonts w:eastAsiaTheme="minorEastAsia"/>
    </w:rPr>
  </w:style>
  <w:style w:type="character" w:customStyle="1" w:styleId="Char8">
    <w:name w:val="Χωρίς διάστιχο Char"/>
    <w:basedOn w:val="a0"/>
    <w:link w:val="af2"/>
    <w:uiPriority w:val="1"/>
    <w:rsid w:val="00271936"/>
    <w:rPr>
      <w:rFonts w:eastAsiaTheme="minorEastAsia"/>
    </w:rPr>
  </w:style>
  <w:style w:type="character" w:customStyle="1" w:styleId="Char0">
    <w:name w:val="Παράγραφος λίστας Char"/>
    <w:aliases w:val="1st level - Bullet List Paragraph Char,Bullet EY Char,Bullet list Char,Lettre d'introduction Char,List L1 Char,List Paragraph compact Char,List Paragraph1 Char,List Paragraph11 Char,Normal bullet 2 Char,Normal bullet 21 Char"/>
    <w:link w:val="a4"/>
    <w:uiPriority w:val="34"/>
    <w:qFormat/>
    <w:locked/>
    <w:rsid w:val="007E6722"/>
  </w:style>
  <w:style w:type="paragraph" w:customStyle="1" w:styleId="af3">
    <w:name w:val="Υποσημείωση"/>
    <w:rsid w:val="000A6E7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rPr>
  </w:style>
  <w:style w:type="paragraph" w:customStyle="1" w:styleId="Figure">
    <w:name w:val="Figure"/>
    <w:basedOn w:val="ae"/>
    <w:link w:val="FigureChar"/>
    <w:qFormat/>
    <w:rsid w:val="00EF68A7"/>
    <w:pPr>
      <w:jc w:val="left"/>
    </w:pPr>
  </w:style>
  <w:style w:type="character" w:customStyle="1" w:styleId="Char6">
    <w:name w:val="Λεζάντα Char"/>
    <w:basedOn w:val="a0"/>
    <w:link w:val="ae"/>
    <w:rsid w:val="006E29A9"/>
    <w:rPr>
      <w:b/>
      <w:iCs/>
      <w:color w:val="FFFFFF" w:themeColor="background1"/>
      <w:sz w:val="24"/>
      <w:szCs w:val="18"/>
      <w:shd w:val="clear" w:color="auto" w:fill="4F81BD" w:themeFill="accent1"/>
      <w:lang w:val="en-US"/>
    </w:rPr>
  </w:style>
  <w:style w:type="character" w:customStyle="1" w:styleId="FigureChar">
    <w:name w:val="Figure Char"/>
    <w:basedOn w:val="Char6"/>
    <w:link w:val="Figure"/>
    <w:rsid w:val="00EF68A7"/>
    <w:rPr>
      <w:b/>
      <w:iCs/>
      <w:color w:val="FFFFFF" w:themeColor="background1"/>
      <w:sz w:val="24"/>
      <w:szCs w:val="18"/>
      <w:shd w:val="clear" w:color="auto" w:fill="4F81BD" w:themeFill="accent1"/>
      <w:lang w:val="en-US"/>
    </w:rPr>
  </w:style>
  <w:style w:type="paragraph" w:styleId="-HTML">
    <w:name w:val="HTML Preformatted"/>
    <w:basedOn w:val="a"/>
    <w:link w:val="-HTMLChar"/>
    <w:uiPriority w:val="99"/>
    <w:semiHidden/>
    <w:unhideWhenUsed/>
    <w:rsid w:val="00A93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A93E51"/>
    <w:rPr>
      <w:rFonts w:ascii="Courier New" w:eastAsia="Times New Roman" w:hAnsi="Courier New" w:cs="Courier New"/>
      <w:sz w:val="20"/>
      <w:szCs w:val="20"/>
      <w:lang w:eastAsia="el-GR"/>
    </w:rPr>
  </w:style>
  <w:style w:type="character" w:customStyle="1" w:styleId="y2iqfc">
    <w:name w:val="y2iqfc"/>
    <w:basedOn w:val="a0"/>
    <w:rsid w:val="00A93E51"/>
  </w:style>
  <w:style w:type="paragraph" w:styleId="Web">
    <w:name w:val="Normal (Web)"/>
    <w:basedOn w:val="a"/>
    <w:uiPriority w:val="99"/>
    <w:rsid w:val="00A93E51"/>
    <w:pPr>
      <w:suppressAutoHyphens/>
      <w:autoSpaceDN w:val="0"/>
      <w:spacing w:before="280" w:after="280" w:line="240" w:lineRule="auto"/>
      <w:jc w:val="left"/>
      <w:textAlignment w:val="baseline"/>
    </w:pPr>
    <w:rPr>
      <w:rFonts w:ascii="Times New Roman" w:eastAsia="Times New Roman" w:hAnsi="Times New Roman" w:cs="Calibri"/>
      <w:kern w:val="3"/>
      <w:sz w:val="24"/>
      <w:szCs w:val="24"/>
      <w:lang w:eastAsia="ar-SA"/>
    </w:rPr>
  </w:style>
  <w:style w:type="paragraph" w:customStyle="1" w:styleId="Table">
    <w:name w:val="Table"/>
    <w:basedOn w:val="ae"/>
    <w:link w:val="TableChar"/>
    <w:qFormat/>
    <w:rsid w:val="00C03AA2"/>
    <w:pPr>
      <w:jc w:val="left"/>
    </w:pPr>
  </w:style>
  <w:style w:type="paragraph" w:customStyle="1" w:styleId="Source">
    <w:name w:val="Source"/>
    <w:basedOn w:val="a"/>
    <w:link w:val="SourceChar"/>
    <w:qFormat/>
    <w:rsid w:val="00A80B43"/>
    <w:pPr>
      <w:spacing w:line="240" w:lineRule="auto"/>
      <w:jc w:val="left"/>
    </w:pPr>
    <w:rPr>
      <w:rFonts w:ascii="Calibri Light" w:hAnsi="Calibri Light"/>
      <w:i/>
      <w:sz w:val="18"/>
      <w:lang w:val="en-US"/>
    </w:rPr>
  </w:style>
  <w:style w:type="character" w:customStyle="1" w:styleId="TableChar">
    <w:name w:val="Table Char"/>
    <w:basedOn w:val="Char6"/>
    <w:link w:val="Table"/>
    <w:rsid w:val="00C03AA2"/>
    <w:rPr>
      <w:b/>
      <w:iCs/>
      <w:color w:val="FFFFFF" w:themeColor="background1"/>
      <w:sz w:val="24"/>
      <w:szCs w:val="18"/>
      <w:shd w:val="clear" w:color="auto" w:fill="4F81BD" w:themeFill="accent1"/>
      <w:lang w:val="en-US"/>
    </w:rPr>
  </w:style>
  <w:style w:type="character" w:customStyle="1" w:styleId="SourceChar">
    <w:name w:val="Source Char"/>
    <w:basedOn w:val="a0"/>
    <w:link w:val="Source"/>
    <w:rsid w:val="00A80B43"/>
    <w:rPr>
      <w:rFonts w:ascii="Calibri Light" w:eastAsiaTheme="minorEastAsia" w:hAnsi="Calibri Light"/>
      <w:i/>
      <w:sz w:val="18"/>
      <w:lang w:val="en-US" w:eastAsia="el-GR"/>
    </w:rPr>
  </w:style>
  <w:style w:type="character" w:customStyle="1" w:styleId="3Char">
    <w:name w:val="Επικεφαλίδα 3 Char"/>
    <w:basedOn w:val="a0"/>
    <w:link w:val="3"/>
    <w:uiPriority w:val="9"/>
    <w:rsid w:val="00583C70"/>
    <w:rPr>
      <w:rFonts w:ascii="Calibri Light" w:eastAsiaTheme="majorEastAsia" w:hAnsi="Calibri Light" w:cstheme="majorBidi"/>
      <w:color w:val="4F81BD" w:themeColor="accent1"/>
      <w:sz w:val="32"/>
      <w:szCs w:val="24"/>
      <w:lang w:eastAsia="el-GR"/>
    </w:rPr>
  </w:style>
  <w:style w:type="paragraph" w:styleId="31">
    <w:name w:val="toc 3"/>
    <w:basedOn w:val="a"/>
    <w:next w:val="a"/>
    <w:autoRedefine/>
    <w:uiPriority w:val="39"/>
    <w:unhideWhenUsed/>
    <w:rsid w:val="000A4CEB"/>
    <w:pPr>
      <w:tabs>
        <w:tab w:val="left" w:pos="1320"/>
        <w:tab w:val="right" w:leader="dot" w:pos="9911"/>
      </w:tabs>
      <w:spacing w:after="60"/>
      <w:ind w:left="1276" w:hanging="850"/>
      <w:jc w:val="left"/>
    </w:pPr>
  </w:style>
  <w:style w:type="character" w:styleId="af4">
    <w:name w:val="Strong"/>
    <w:basedOn w:val="a0"/>
    <w:uiPriority w:val="22"/>
    <w:qFormat/>
    <w:rsid w:val="00AC728F"/>
    <w:rPr>
      <w:b/>
      <w:bCs/>
    </w:rPr>
  </w:style>
  <w:style w:type="paragraph" w:customStyle="1" w:styleId="Text1">
    <w:name w:val="Text 1"/>
    <w:basedOn w:val="a"/>
    <w:rsid w:val="006824F1"/>
    <w:pPr>
      <w:spacing w:line="240" w:lineRule="auto"/>
      <w:ind w:left="482"/>
    </w:pPr>
    <w:rPr>
      <w:rFonts w:ascii="Times New Roman" w:eastAsia="Times New Roman" w:hAnsi="Times New Roman" w:cs="Times New Roman"/>
      <w:sz w:val="24"/>
      <w:szCs w:val="20"/>
      <w:lang w:val="en-GB" w:eastAsia="en-US"/>
    </w:rPr>
  </w:style>
  <w:style w:type="paragraph" w:customStyle="1" w:styleId="P68B1DB1-afc3">
    <w:name w:val="P68B1DB1-afc3"/>
    <w:basedOn w:val="ae"/>
    <w:rsid w:val="00FB1D12"/>
    <w:pPr>
      <w:shd w:val="clear" w:color="auto" w:fill="auto"/>
      <w:spacing w:after="120" w:line="300" w:lineRule="auto"/>
    </w:pPr>
    <w:rPr>
      <w:rFonts w:ascii="Arial" w:eastAsia="Times New Roman" w:hAnsi="Arial" w:cs="Arial"/>
      <w:iCs w:val="0"/>
      <w:color w:val="auto"/>
      <w:sz w:val="18"/>
      <w:szCs w:val="20"/>
      <w:lang w:val="el-GR" w:eastAsia="el-GR"/>
    </w:rPr>
  </w:style>
  <w:style w:type="character" w:customStyle="1" w:styleId="4Char">
    <w:name w:val="Επικεφαλίδα 4 Char"/>
    <w:basedOn w:val="a0"/>
    <w:link w:val="4"/>
    <w:uiPriority w:val="9"/>
    <w:rsid w:val="00E91624"/>
    <w:rPr>
      <w:rFonts w:asciiTheme="majorHAnsi" w:eastAsiaTheme="majorEastAsia" w:hAnsiTheme="majorHAnsi" w:cstheme="majorBidi"/>
      <w:i/>
      <w:iCs/>
      <w:color w:val="365F91" w:themeColor="accent1" w:themeShade="BF"/>
      <w:sz w:val="23"/>
      <w:lang w:eastAsia="el-GR"/>
    </w:rPr>
  </w:style>
  <w:style w:type="paragraph" w:customStyle="1" w:styleId="figureright-handed">
    <w:name w:val="figure right-handed"/>
    <w:basedOn w:val="Figure"/>
    <w:link w:val="figureright-handedChar"/>
    <w:qFormat/>
    <w:rsid w:val="002D7C5D"/>
    <w:pPr>
      <w:jc w:val="right"/>
    </w:pPr>
    <w:rPr>
      <w:b w:val="0"/>
    </w:rPr>
  </w:style>
  <w:style w:type="character" w:customStyle="1" w:styleId="figureright-handedChar">
    <w:name w:val="figure right-handed Char"/>
    <w:basedOn w:val="FigureChar"/>
    <w:link w:val="figureright-handed"/>
    <w:rsid w:val="002D7C5D"/>
    <w:rPr>
      <w:b w:val="0"/>
      <w:iCs/>
      <w:color w:val="FFFFFF" w:themeColor="background1"/>
      <w:sz w:val="24"/>
      <w:szCs w:val="18"/>
      <w:shd w:val="clear" w:color="auto" w:fill="4F81BD" w:themeFill="accent1"/>
      <w:lang w:val="en-US"/>
    </w:rPr>
  </w:style>
  <w:style w:type="paragraph" w:customStyle="1" w:styleId="Body">
    <w:name w:val="Body"/>
    <w:rsid w:val="002928DD"/>
    <w:pPr>
      <w:pBdr>
        <w:top w:val="nil"/>
        <w:left w:val="nil"/>
        <w:bottom w:val="nil"/>
        <w:right w:val="nil"/>
        <w:between w:val="nil"/>
        <w:bar w:val="nil"/>
      </w:pBdr>
    </w:pPr>
    <w:rPr>
      <w:rFonts w:ascii="Calibri" w:eastAsia="Arial Unicode MS" w:hAnsi="Calibri" w:cs="Arial Unicode MS"/>
      <w:color w:val="000000"/>
      <w:u w:color="000000"/>
      <w:bdr w:val="nil"/>
      <w:lang w:eastAsia="el-GR"/>
    </w:rPr>
  </w:style>
  <w:style w:type="table" w:customStyle="1" w:styleId="GridTable1Light1">
    <w:name w:val="Grid Table 1 Light1"/>
    <w:basedOn w:val="a1"/>
    <w:uiPriority w:val="46"/>
    <w:rsid w:val="002928DD"/>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5">
    <w:name w:val="Subtle Emphasis"/>
    <w:basedOn w:val="a0"/>
    <w:uiPriority w:val="19"/>
    <w:qFormat/>
    <w:rsid w:val="002928DD"/>
    <w:rPr>
      <w:i/>
      <w:iCs/>
      <w:color w:val="404040" w:themeColor="text1" w:themeTint="BF"/>
    </w:rPr>
  </w:style>
  <w:style w:type="paragraph" w:customStyle="1" w:styleId="Tabletext">
    <w:name w:val="Table text"/>
    <w:basedOn w:val="a"/>
    <w:link w:val="TabletextChar"/>
    <w:qFormat/>
    <w:rsid w:val="00F73515"/>
    <w:pPr>
      <w:spacing w:after="0" w:line="240" w:lineRule="exact"/>
      <w:jc w:val="left"/>
    </w:pPr>
    <w:rPr>
      <w:rFonts w:eastAsia="Times New Roman"/>
      <w:sz w:val="22"/>
      <w:lang w:val="en-US"/>
    </w:rPr>
  </w:style>
  <w:style w:type="character" w:customStyle="1" w:styleId="TabletextChar">
    <w:name w:val="Table text Char"/>
    <w:basedOn w:val="a0"/>
    <w:link w:val="Tabletext"/>
    <w:rsid w:val="00F73515"/>
    <w:rPr>
      <w:rFonts w:ascii="Calibri" w:eastAsia="Times New Roman" w:hAnsi="Calibri"/>
      <w:lang w:val="en-US" w:eastAsia="el-GR"/>
    </w:rPr>
  </w:style>
  <w:style w:type="character" w:customStyle="1" w:styleId="5Char">
    <w:name w:val="Επικεφαλίδα 5 Char"/>
    <w:basedOn w:val="a0"/>
    <w:link w:val="5"/>
    <w:uiPriority w:val="9"/>
    <w:semiHidden/>
    <w:rsid w:val="00987A40"/>
    <w:rPr>
      <w:rFonts w:ascii="Arial" w:eastAsia="Arial" w:hAnsi="Arial" w:cs="Arial"/>
      <w:color w:val="666666"/>
      <w:lang w:eastAsia="el-GR"/>
    </w:rPr>
  </w:style>
  <w:style w:type="character" w:customStyle="1" w:styleId="6Char">
    <w:name w:val="Επικεφαλίδα 6 Char"/>
    <w:basedOn w:val="a0"/>
    <w:link w:val="6"/>
    <w:uiPriority w:val="9"/>
    <w:semiHidden/>
    <w:rsid w:val="00987A40"/>
    <w:rPr>
      <w:rFonts w:ascii="Arial" w:eastAsia="Arial" w:hAnsi="Arial" w:cs="Arial"/>
      <w:i/>
      <w:color w:val="666666"/>
      <w:lang w:eastAsia="el-GR"/>
    </w:rPr>
  </w:style>
  <w:style w:type="table" w:customStyle="1" w:styleId="TableNormal1">
    <w:name w:val="Table Normal1"/>
    <w:rsid w:val="00987A40"/>
    <w:pPr>
      <w:spacing w:after="0"/>
    </w:pPr>
    <w:rPr>
      <w:rFonts w:ascii="Arial" w:eastAsia="Arial" w:hAnsi="Arial" w:cs="Arial"/>
      <w:lang w:eastAsia="el-GR"/>
    </w:rPr>
    <w:tblPr>
      <w:tblCellMar>
        <w:top w:w="0" w:type="dxa"/>
        <w:left w:w="0" w:type="dxa"/>
        <w:bottom w:w="0" w:type="dxa"/>
        <w:right w:w="0" w:type="dxa"/>
      </w:tblCellMar>
    </w:tblPr>
  </w:style>
  <w:style w:type="paragraph" w:styleId="af6">
    <w:name w:val="Title"/>
    <w:basedOn w:val="a"/>
    <w:next w:val="a"/>
    <w:link w:val="Char9"/>
    <w:uiPriority w:val="10"/>
    <w:qFormat/>
    <w:rsid w:val="00987A40"/>
    <w:pPr>
      <w:keepNext/>
      <w:keepLines/>
      <w:spacing w:after="60" w:line="276" w:lineRule="auto"/>
      <w:jc w:val="left"/>
    </w:pPr>
    <w:rPr>
      <w:rFonts w:ascii="Arial" w:eastAsia="Arial" w:hAnsi="Arial" w:cs="Arial"/>
      <w:sz w:val="52"/>
      <w:szCs w:val="52"/>
    </w:rPr>
  </w:style>
  <w:style w:type="character" w:customStyle="1" w:styleId="Char9">
    <w:name w:val="Τίτλος Char"/>
    <w:basedOn w:val="a0"/>
    <w:link w:val="af6"/>
    <w:uiPriority w:val="10"/>
    <w:rsid w:val="00987A40"/>
    <w:rPr>
      <w:rFonts w:ascii="Arial" w:eastAsia="Arial" w:hAnsi="Arial" w:cs="Arial"/>
      <w:sz w:val="52"/>
      <w:szCs w:val="52"/>
      <w:lang w:eastAsia="el-GR"/>
    </w:rPr>
  </w:style>
  <w:style w:type="character" w:customStyle="1" w:styleId="FootnoteCharacters">
    <w:name w:val="Footnote Characters"/>
    <w:rsid w:val="00930D50"/>
    <w:rPr>
      <w:vertAlign w:val="superscript"/>
    </w:rPr>
  </w:style>
  <w:style w:type="table" w:customStyle="1" w:styleId="TableNormal2">
    <w:name w:val="Table Normal2"/>
    <w:rsid w:val="00480A0F"/>
    <w:pPr>
      <w:spacing w:after="0"/>
    </w:pPr>
    <w:rPr>
      <w:rFonts w:ascii="Arial" w:eastAsia="Arial" w:hAnsi="Arial" w:cs="Arial"/>
    </w:rPr>
    <w:tblPr>
      <w:tblCellMar>
        <w:top w:w="0" w:type="dxa"/>
        <w:left w:w="0" w:type="dxa"/>
        <w:bottom w:w="0" w:type="dxa"/>
        <w:right w:w="0" w:type="dxa"/>
      </w:tblCellMar>
    </w:tblPr>
  </w:style>
  <w:style w:type="character" w:styleId="-0">
    <w:name w:val="FollowedHyperlink"/>
    <w:basedOn w:val="a0"/>
    <w:uiPriority w:val="99"/>
    <w:semiHidden/>
    <w:unhideWhenUsed/>
    <w:rsid w:val="00480A0F"/>
    <w:rPr>
      <w:color w:val="800080" w:themeColor="followedHyperlink"/>
      <w:u w:val="single"/>
    </w:rPr>
  </w:style>
  <w:style w:type="paragraph" w:styleId="40">
    <w:name w:val="toc 4"/>
    <w:basedOn w:val="a"/>
    <w:next w:val="a"/>
    <w:autoRedefine/>
    <w:uiPriority w:val="39"/>
    <w:unhideWhenUsed/>
    <w:rsid w:val="00A63D56"/>
    <w:pPr>
      <w:spacing w:after="100" w:line="259" w:lineRule="auto"/>
      <w:ind w:left="660"/>
      <w:jc w:val="left"/>
    </w:pPr>
    <w:rPr>
      <w:sz w:val="22"/>
    </w:rPr>
  </w:style>
  <w:style w:type="paragraph" w:styleId="50">
    <w:name w:val="toc 5"/>
    <w:basedOn w:val="a"/>
    <w:next w:val="a"/>
    <w:autoRedefine/>
    <w:uiPriority w:val="39"/>
    <w:unhideWhenUsed/>
    <w:rsid w:val="00A63D56"/>
    <w:pPr>
      <w:spacing w:after="100" w:line="259" w:lineRule="auto"/>
      <w:ind w:left="880"/>
      <w:jc w:val="left"/>
    </w:pPr>
    <w:rPr>
      <w:sz w:val="22"/>
    </w:rPr>
  </w:style>
  <w:style w:type="paragraph" w:styleId="60">
    <w:name w:val="toc 6"/>
    <w:basedOn w:val="a"/>
    <w:next w:val="a"/>
    <w:autoRedefine/>
    <w:uiPriority w:val="39"/>
    <w:unhideWhenUsed/>
    <w:rsid w:val="00A63D56"/>
    <w:pPr>
      <w:spacing w:after="100" w:line="259" w:lineRule="auto"/>
      <w:ind w:left="1100"/>
      <w:jc w:val="left"/>
    </w:pPr>
    <w:rPr>
      <w:sz w:val="22"/>
    </w:rPr>
  </w:style>
  <w:style w:type="paragraph" w:styleId="7">
    <w:name w:val="toc 7"/>
    <w:basedOn w:val="a"/>
    <w:next w:val="a"/>
    <w:autoRedefine/>
    <w:uiPriority w:val="39"/>
    <w:unhideWhenUsed/>
    <w:rsid w:val="00A63D56"/>
    <w:pPr>
      <w:spacing w:after="100" w:line="259" w:lineRule="auto"/>
      <w:ind w:left="1320"/>
      <w:jc w:val="left"/>
    </w:pPr>
    <w:rPr>
      <w:sz w:val="22"/>
    </w:rPr>
  </w:style>
  <w:style w:type="paragraph" w:styleId="8">
    <w:name w:val="toc 8"/>
    <w:basedOn w:val="a"/>
    <w:next w:val="a"/>
    <w:autoRedefine/>
    <w:uiPriority w:val="39"/>
    <w:unhideWhenUsed/>
    <w:rsid w:val="00A63D56"/>
    <w:pPr>
      <w:spacing w:after="100" w:line="259" w:lineRule="auto"/>
      <w:ind w:left="1540"/>
      <w:jc w:val="left"/>
    </w:pPr>
    <w:rPr>
      <w:sz w:val="22"/>
    </w:rPr>
  </w:style>
  <w:style w:type="paragraph" w:styleId="9">
    <w:name w:val="toc 9"/>
    <w:basedOn w:val="a"/>
    <w:next w:val="a"/>
    <w:autoRedefine/>
    <w:uiPriority w:val="39"/>
    <w:unhideWhenUsed/>
    <w:rsid w:val="00A63D56"/>
    <w:pPr>
      <w:spacing w:after="100" w:line="259" w:lineRule="auto"/>
      <w:ind w:left="1760"/>
      <w:jc w:val="left"/>
    </w:pPr>
    <w:rPr>
      <w:sz w:val="22"/>
    </w:rPr>
  </w:style>
  <w:style w:type="character" w:customStyle="1" w:styleId="12">
    <w:name w:val="Ανεπίλυτη αναφορά1"/>
    <w:basedOn w:val="a0"/>
    <w:uiPriority w:val="99"/>
    <w:semiHidden/>
    <w:unhideWhenUsed/>
    <w:rsid w:val="00A63D56"/>
    <w:rPr>
      <w:color w:val="605E5C"/>
      <w:shd w:val="clear" w:color="auto" w:fill="E1DFDD"/>
    </w:rPr>
  </w:style>
  <w:style w:type="paragraph" w:customStyle="1" w:styleId="footnotedescription">
    <w:name w:val="footnote description"/>
    <w:next w:val="a"/>
    <w:link w:val="footnotedescriptionChar"/>
    <w:hidden/>
    <w:rsid w:val="00E03C4A"/>
    <w:pPr>
      <w:spacing w:after="0" w:line="244" w:lineRule="auto"/>
    </w:pPr>
    <w:rPr>
      <w:rFonts w:ascii="Cambria" w:eastAsia="Cambria" w:hAnsi="Cambria" w:cs="Cambria"/>
      <w:color w:val="000000"/>
      <w:sz w:val="18"/>
      <w:lang w:eastAsia="el-GR"/>
    </w:rPr>
  </w:style>
  <w:style w:type="character" w:customStyle="1" w:styleId="footnotedescriptionChar">
    <w:name w:val="footnote description Char"/>
    <w:link w:val="footnotedescription"/>
    <w:rsid w:val="00E03C4A"/>
    <w:rPr>
      <w:rFonts w:ascii="Cambria" w:eastAsia="Cambria" w:hAnsi="Cambria" w:cs="Cambria"/>
      <w:color w:val="000000"/>
      <w:sz w:val="18"/>
      <w:lang w:eastAsia="el-GR"/>
    </w:rPr>
  </w:style>
  <w:style w:type="character" w:customStyle="1" w:styleId="footnotemark">
    <w:name w:val="footnote mark"/>
    <w:hidden/>
    <w:rsid w:val="00E03C4A"/>
    <w:rPr>
      <w:rFonts w:ascii="Cambria" w:eastAsia="Cambria" w:hAnsi="Cambria" w:cs="Cambria"/>
      <w:color w:val="000000"/>
      <w:sz w:val="18"/>
      <w:vertAlign w:val="superscript"/>
    </w:rPr>
  </w:style>
  <w:style w:type="character" w:customStyle="1" w:styleId="rynqvb">
    <w:name w:val="rynqvb"/>
    <w:basedOn w:val="a0"/>
    <w:rsid w:val="004E48C2"/>
  </w:style>
  <w:style w:type="paragraph" w:customStyle="1" w:styleId="mesotitlos">
    <w:name w:val="mesotitlos"/>
    <w:basedOn w:val="a"/>
    <w:link w:val="mesotitlosChar"/>
    <w:qFormat/>
    <w:rsid w:val="00C82697"/>
    <w:pPr>
      <w:spacing w:before="240" w:after="120"/>
    </w:pPr>
    <w:rPr>
      <w:b/>
      <w:sz w:val="24"/>
      <w:lang w:val="en-US"/>
    </w:rPr>
  </w:style>
  <w:style w:type="character" w:customStyle="1" w:styleId="mesotitlosChar">
    <w:name w:val="mesotitlos Char"/>
    <w:basedOn w:val="a0"/>
    <w:link w:val="mesotitlos"/>
    <w:rsid w:val="00C82697"/>
    <w:rPr>
      <w:rFonts w:ascii="Calibri" w:eastAsiaTheme="minorEastAsia" w:hAnsi="Calibri"/>
      <w:b/>
      <w:sz w:val="24"/>
      <w:lang w:val="en-US" w:eastAsia="el-GR"/>
    </w:rPr>
  </w:style>
  <w:style w:type="table" w:styleId="13">
    <w:name w:val="Grid Table 1 Light"/>
    <w:basedOn w:val="a1"/>
    <w:uiPriority w:val="46"/>
    <w:rsid w:val="00CA6BC9"/>
    <w:pPr>
      <w:spacing w:after="0" w:line="240" w:lineRule="auto"/>
    </w:pPr>
    <w:rPr>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A35233"/>
    <w:pPr>
      <w:spacing w:after="0" w:line="240" w:lineRule="auto"/>
    </w:pPr>
    <w:rPr>
      <w:rFonts w:eastAsiaTheme="minorEastAsia"/>
      <w:lang w:eastAsia="el-GR"/>
    </w:rPr>
    <w:tblPr>
      <w:tblCellMar>
        <w:top w:w="0" w:type="dxa"/>
        <w:left w:w="0" w:type="dxa"/>
        <w:bottom w:w="0" w:type="dxa"/>
        <w:right w:w="0" w:type="dxa"/>
      </w:tblCellMar>
    </w:tblPr>
  </w:style>
  <w:style w:type="character" w:styleId="af7">
    <w:name w:val="Unresolved Mention"/>
    <w:basedOn w:val="a0"/>
    <w:uiPriority w:val="99"/>
    <w:semiHidden/>
    <w:unhideWhenUsed/>
    <w:rsid w:val="00F81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404">
      <w:bodyDiv w:val="1"/>
      <w:marLeft w:val="0"/>
      <w:marRight w:val="0"/>
      <w:marTop w:val="0"/>
      <w:marBottom w:val="0"/>
      <w:divBdr>
        <w:top w:val="none" w:sz="0" w:space="0" w:color="auto"/>
        <w:left w:val="none" w:sz="0" w:space="0" w:color="auto"/>
        <w:bottom w:val="none" w:sz="0" w:space="0" w:color="auto"/>
        <w:right w:val="none" w:sz="0" w:space="0" w:color="auto"/>
      </w:divBdr>
    </w:div>
    <w:div w:id="3015354">
      <w:bodyDiv w:val="1"/>
      <w:marLeft w:val="0"/>
      <w:marRight w:val="0"/>
      <w:marTop w:val="0"/>
      <w:marBottom w:val="0"/>
      <w:divBdr>
        <w:top w:val="none" w:sz="0" w:space="0" w:color="auto"/>
        <w:left w:val="none" w:sz="0" w:space="0" w:color="auto"/>
        <w:bottom w:val="none" w:sz="0" w:space="0" w:color="auto"/>
        <w:right w:val="none" w:sz="0" w:space="0" w:color="auto"/>
      </w:divBdr>
    </w:div>
    <w:div w:id="14618813">
      <w:bodyDiv w:val="1"/>
      <w:marLeft w:val="0"/>
      <w:marRight w:val="0"/>
      <w:marTop w:val="0"/>
      <w:marBottom w:val="0"/>
      <w:divBdr>
        <w:top w:val="none" w:sz="0" w:space="0" w:color="auto"/>
        <w:left w:val="none" w:sz="0" w:space="0" w:color="auto"/>
        <w:bottom w:val="none" w:sz="0" w:space="0" w:color="auto"/>
        <w:right w:val="none" w:sz="0" w:space="0" w:color="auto"/>
      </w:divBdr>
    </w:div>
    <w:div w:id="15926820">
      <w:bodyDiv w:val="1"/>
      <w:marLeft w:val="0"/>
      <w:marRight w:val="0"/>
      <w:marTop w:val="0"/>
      <w:marBottom w:val="0"/>
      <w:divBdr>
        <w:top w:val="none" w:sz="0" w:space="0" w:color="auto"/>
        <w:left w:val="none" w:sz="0" w:space="0" w:color="auto"/>
        <w:bottom w:val="none" w:sz="0" w:space="0" w:color="auto"/>
        <w:right w:val="none" w:sz="0" w:space="0" w:color="auto"/>
      </w:divBdr>
    </w:div>
    <w:div w:id="18090164">
      <w:bodyDiv w:val="1"/>
      <w:marLeft w:val="0"/>
      <w:marRight w:val="0"/>
      <w:marTop w:val="0"/>
      <w:marBottom w:val="0"/>
      <w:divBdr>
        <w:top w:val="none" w:sz="0" w:space="0" w:color="auto"/>
        <w:left w:val="none" w:sz="0" w:space="0" w:color="auto"/>
        <w:bottom w:val="none" w:sz="0" w:space="0" w:color="auto"/>
        <w:right w:val="none" w:sz="0" w:space="0" w:color="auto"/>
      </w:divBdr>
    </w:div>
    <w:div w:id="18550058">
      <w:bodyDiv w:val="1"/>
      <w:marLeft w:val="0"/>
      <w:marRight w:val="0"/>
      <w:marTop w:val="0"/>
      <w:marBottom w:val="0"/>
      <w:divBdr>
        <w:top w:val="none" w:sz="0" w:space="0" w:color="auto"/>
        <w:left w:val="none" w:sz="0" w:space="0" w:color="auto"/>
        <w:bottom w:val="none" w:sz="0" w:space="0" w:color="auto"/>
        <w:right w:val="none" w:sz="0" w:space="0" w:color="auto"/>
      </w:divBdr>
    </w:div>
    <w:div w:id="25328918">
      <w:bodyDiv w:val="1"/>
      <w:marLeft w:val="0"/>
      <w:marRight w:val="0"/>
      <w:marTop w:val="0"/>
      <w:marBottom w:val="0"/>
      <w:divBdr>
        <w:top w:val="none" w:sz="0" w:space="0" w:color="auto"/>
        <w:left w:val="none" w:sz="0" w:space="0" w:color="auto"/>
        <w:bottom w:val="none" w:sz="0" w:space="0" w:color="auto"/>
        <w:right w:val="none" w:sz="0" w:space="0" w:color="auto"/>
      </w:divBdr>
    </w:div>
    <w:div w:id="29453596">
      <w:bodyDiv w:val="1"/>
      <w:marLeft w:val="0"/>
      <w:marRight w:val="0"/>
      <w:marTop w:val="0"/>
      <w:marBottom w:val="0"/>
      <w:divBdr>
        <w:top w:val="none" w:sz="0" w:space="0" w:color="auto"/>
        <w:left w:val="none" w:sz="0" w:space="0" w:color="auto"/>
        <w:bottom w:val="none" w:sz="0" w:space="0" w:color="auto"/>
        <w:right w:val="none" w:sz="0" w:space="0" w:color="auto"/>
      </w:divBdr>
    </w:div>
    <w:div w:id="31195811">
      <w:bodyDiv w:val="1"/>
      <w:marLeft w:val="0"/>
      <w:marRight w:val="0"/>
      <w:marTop w:val="0"/>
      <w:marBottom w:val="0"/>
      <w:divBdr>
        <w:top w:val="none" w:sz="0" w:space="0" w:color="auto"/>
        <w:left w:val="none" w:sz="0" w:space="0" w:color="auto"/>
        <w:bottom w:val="none" w:sz="0" w:space="0" w:color="auto"/>
        <w:right w:val="none" w:sz="0" w:space="0" w:color="auto"/>
      </w:divBdr>
    </w:div>
    <w:div w:id="32774571">
      <w:bodyDiv w:val="1"/>
      <w:marLeft w:val="0"/>
      <w:marRight w:val="0"/>
      <w:marTop w:val="0"/>
      <w:marBottom w:val="0"/>
      <w:divBdr>
        <w:top w:val="none" w:sz="0" w:space="0" w:color="auto"/>
        <w:left w:val="none" w:sz="0" w:space="0" w:color="auto"/>
        <w:bottom w:val="none" w:sz="0" w:space="0" w:color="auto"/>
        <w:right w:val="none" w:sz="0" w:space="0" w:color="auto"/>
      </w:divBdr>
    </w:div>
    <w:div w:id="37050871">
      <w:bodyDiv w:val="1"/>
      <w:marLeft w:val="0"/>
      <w:marRight w:val="0"/>
      <w:marTop w:val="0"/>
      <w:marBottom w:val="0"/>
      <w:divBdr>
        <w:top w:val="none" w:sz="0" w:space="0" w:color="auto"/>
        <w:left w:val="none" w:sz="0" w:space="0" w:color="auto"/>
        <w:bottom w:val="none" w:sz="0" w:space="0" w:color="auto"/>
        <w:right w:val="none" w:sz="0" w:space="0" w:color="auto"/>
      </w:divBdr>
    </w:div>
    <w:div w:id="39013621">
      <w:bodyDiv w:val="1"/>
      <w:marLeft w:val="0"/>
      <w:marRight w:val="0"/>
      <w:marTop w:val="0"/>
      <w:marBottom w:val="0"/>
      <w:divBdr>
        <w:top w:val="none" w:sz="0" w:space="0" w:color="auto"/>
        <w:left w:val="none" w:sz="0" w:space="0" w:color="auto"/>
        <w:bottom w:val="none" w:sz="0" w:space="0" w:color="auto"/>
        <w:right w:val="none" w:sz="0" w:space="0" w:color="auto"/>
      </w:divBdr>
    </w:div>
    <w:div w:id="49109998">
      <w:bodyDiv w:val="1"/>
      <w:marLeft w:val="0"/>
      <w:marRight w:val="0"/>
      <w:marTop w:val="0"/>
      <w:marBottom w:val="0"/>
      <w:divBdr>
        <w:top w:val="none" w:sz="0" w:space="0" w:color="auto"/>
        <w:left w:val="none" w:sz="0" w:space="0" w:color="auto"/>
        <w:bottom w:val="none" w:sz="0" w:space="0" w:color="auto"/>
        <w:right w:val="none" w:sz="0" w:space="0" w:color="auto"/>
      </w:divBdr>
    </w:div>
    <w:div w:id="53503147">
      <w:bodyDiv w:val="1"/>
      <w:marLeft w:val="0"/>
      <w:marRight w:val="0"/>
      <w:marTop w:val="0"/>
      <w:marBottom w:val="0"/>
      <w:divBdr>
        <w:top w:val="none" w:sz="0" w:space="0" w:color="auto"/>
        <w:left w:val="none" w:sz="0" w:space="0" w:color="auto"/>
        <w:bottom w:val="none" w:sz="0" w:space="0" w:color="auto"/>
        <w:right w:val="none" w:sz="0" w:space="0" w:color="auto"/>
      </w:divBdr>
    </w:div>
    <w:div w:id="54934441">
      <w:bodyDiv w:val="1"/>
      <w:marLeft w:val="0"/>
      <w:marRight w:val="0"/>
      <w:marTop w:val="0"/>
      <w:marBottom w:val="0"/>
      <w:divBdr>
        <w:top w:val="none" w:sz="0" w:space="0" w:color="auto"/>
        <w:left w:val="none" w:sz="0" w:space="0" w:color="auto"/>
        <w:bottom w:val="none" w:sz="0" w:space="0" w:color="auto"/>
        <w:right w:val="none" w:sz="0" w:space="0" w:color="auto"/>
      </w:divBdr>
    </w:div>
    <w:div w:id="55518166">
      <w:bodyDiv w:val="1"/>
      <w:marLeft w:val="0"/>
      <w:marRight w:val="0"/>
      <w:marTop w:val="0"/>
      <w:marBottom w:val="0"/>
      <w:divBdr>
        <w:top w:val="none" w:sz="0" w:space="0" w:color="auto"/>
        <w:left w:val="none" w:sz="0" w:space="0" w:color="auto"/>
        <w:bottom w:val="none" w:sz="0" w:space="0" w:color="auto"/>
        <w:right w:val="none" w:sz="0" w:space="0" w:color="auto"/>
      </w:divBdr>
    </w:div>
    <w:div w:id="56051090">
      <w:bodyDiv w:val="1"/>
      <w:marLeft w:val="0"/>
      <w:marRight w:val="0"/>
      <w:marTop w:val="0"/>
      <w:marBottom w:val="0"/>
      <w:divBdr>
        <w:top w:val="none" w:sz="0" w:space="0" w:color="auto"/>
        <w:left w:val="none" w:sz="0" w:space="0" w:color="auto"/>
        <w:bottom w:val="none" w:sz="0" w:space="0" w:color="auto"/>
        <w:right w:val="none" w:sz="0" w:space="0" w:color="auto"/>
      </w:divBdr>
    </w:div>
    <w:div w:id="64451682">
      <w:bodyDiv w:val="1"/>
      <w:marLeft w:val="0"/>
      <w:marRight w:val="0"/>
      <w:marTop w:val="0"/>
      <w:marBottom w:val="0"/>
      <w:divBdr>
        <w:top w:val="none" w:sz="0" w:space="0" w:color="auto"/>
        <w:left w:val="none" w:sz="0" w:space="0" w:color="auto"/>
        <w:bottom w:val="none" w:sz="0" w:space="0" w:color="auto"/>
        <w:right w:val="none" w:sz="0" w:space="0" w:color="auto"/>
      </w:divBdr>
    </w:div>
    <w:div w:id="72356392">
      <w:bodyDiv w:val="1"/>
      <w:marLeft w:val="0"/>
      <w:marRight w:val="0"/>
      <w:marTop w:val="0"/>
      <w:marBottom w:val="0"/>
      <w:divBdr>
        <w:top w:val="none" w:sz="0" w:space="0" w:color="auto"/>
        <w:left w:val="none" w:sz="0" w:space="0" w:color="auto"/>
        <w:bottom w:val="none" w:sz="0" w:space="0" w:color="auto"/>
        <w:right w:val="none" w:sz="0" w:space="0" w:color="auto"/>
      </w:divBdr>
    </w:div>
    <w:div w:id="77529119">
      <w:bodyDiv w:val="1"/>
      <w:marLeft w:val="0"/>
      <w:marRight w:val="0"/>
      <w:marTop w:val="0"/>
      <w:marBottom w:val="0"/>
      <w:divBdr>
        <w:top w:val="none" w:sz="0" w:space="0" w:color="auto"/>
        <w:left w:val="none" w:sz="0" w:space="0" w:color="auto"/>
        <w:bottom w:val="none" w:sz="0" w:space="0" w:color="auto"/>
        <w:right w:val="none" w:sz="0" w:space="0" w:color="auto"/>
      </w:divBdr>
    </w:div>
    <w:div w:id="83381099">
      <w:bodyDiv w:val="1"/>
      <w:marLeft w:val="0"/>
      <w:marRight w:val="0"/>
      <w:marTop w:val="0"/>
      <w:marBottom w:val="0"/>
      <w:divBdr>
        <w:top w:val="none" w:sz="0" w:space="0" w:color="auto"/>
        <w:left w:val="none" w:sz="0" w:space="0" w:color="auto"/>
        <w:bottom w:val="none" w:sz="0" w:space="0" w:color="auto"/>
        <w:right w:val="none" w:sz="0" w:space="0" w:color="auto"/>
      </w:divBdr>
    </w:div>
    <w:div w:id="83845446">
      <w:bodyDiv w:val="1"/>
      <w:marLeft w:val="0"/>
      <w:marRight w:val="0"/>
      <w:marTop w:val="0"/>
      <w:marBottom w:val="0"/>
      <w:divBdr>
        <w:top w:val="none" w:sz="0" w:space="0" w:color="auto"/>
        <w:left w:val="none" w:sz="0" w:space="0" w:color="auto"/>
        <w:bottom w:val="none" w:sz="0" w:space="0" w:color="auto"/>
        <w:right w:val="none" w:sz="0" w:space="0" w:color="auto"/>
      </w:divBdr>
    </w:div>
    <w:div w:id="84620966">
      <w:bodyDiv w:val="1"/>
      <w:marLeft w:val="0"/>
      <w:marRight w:val="0"/>
      <w:marTop w:val="0"/>
      <w:marBottom w:val="0"/>
      <w:divBdr>
        <w:top w:val="none" w:sz="0" w:space="0" w:color="auto"/>
        <w:left w:val="none" w:sz="0" w:space="0" w:color="auto"/>
        <w:bottom w:val="none" w:sz="0" w:space="0" w:color="auto"/>
        <w:right w:val="none" w:sz="0" w:space="0" w:color="auto"/>
      </w:divBdr>
    </w:div>
    <w:div w:id="85199912">
      <w:bodyDiv w:val="1"/>
      <w:marLeft w:val="0"/>
      <w:marRight w:val="0"/>
      <w:marTop w:val="0"/>
      <w:marBottom w:val="0"/>
      <w:divBdr>
        <w:top w:val="none" w:sz="0" w:space="0" w:color="auto"/>
        <w:left w:val="none" w:sz="0" w:space="0" w:color="auto"/>
        <w:bottom w:val="none" w:sz="0" w:space="0" w:color="auto"/>
        <w:right w:val="none" w:sz="0" w:space="0" w:color="auto"/>
      </w:divBdr>
    </w:div>
    <w:div w:id="87119206">
      <w:bodyDiv w:val="1"/>
      <w:marLeft w:val="0"/>
      <w:marRight w:val="0"/>
      <w:marTop w:val="0"/>
      <w:marBottom w:val="0"/>
      <w:divBdr>
        <w:top w:val="none" w:sz="0" w:space="0" w:color="auto"/>
        <w:left w:val="none" w:sz="0" w:space="0" w:color="auto"/>
        <w:bottom w:val="none" w:sz="0" w:space="0" w:color="auto"/>
        <w:right w:val="none" w:sz="0" w:space="0" w:color="auto"/>
      </w:divBdr>
    </w:div>
    <w:div w:id="87310040">
      <w:bodyDiv w:val="1"/>
      <w:marLeft w:val="0"/>
      <w:marRight w:val="0"/>
      <w:marTop w:val="0"/>
      <w:marBottom w:val="0"/>
      <w:divBdr>
        <w:top w:val="none" w:sz="0" w:space="0" w:color="auto"/>
        <w:left w:val="none" w:sz="0" w:space="0" w:color="auto"/>
        <w:bottom w:val="none" w:sz="0" w:space="0" w:color="auto"/>
        <w:right w:val="none" w:sz="0" w:space="0" w:color="auto"/>
      </w:divBdr>
    </w:div>
    <w:div w:id="88156996">
      <w:bodyDiv w:val="1"/>
      <w:marLeft w:val="0"/>
      <w:marRight w:val="0"/>
      <w:marTop w:val="0"/>
      <w:marBottom w:val="0"/>
      <w:divBdr>
        <w:top w:val="none" w:sz="0" w:space="0" w:color="auto"/>
        <w:left w:val="none" w:sz="0" w:space="0" w:color="auto"/>
        <w:bottom w:val="none" w:sz="0" w:space="0" w:color="auto"/>
        <w:right w:val="none" w:sz="0" w:space="0" w:color="auto"/>
      </w:divBdr>
    </w:div>
    <w:div w:id="91323630">
      <w:bodyDiv w:val="1"/>
      <w:marLeft w:val="0"/>
      <w:marRight w:val="0"/>
      <w:marTop w:val="0"/>
      <w:marBottom w:val="0"/>
      <w:divBdr>
        <w:top w:val="none" w:sz="0" w:space="0" w:color="auto"/>
        <w:left w:val="none" w:sz="0" w:space="0" w:color="auto"/>
        <w:bottom w:val="none" w:sz="0" w:space="0" w:color="auto"/>
        <w:right w:val="none" w:sz="0" w:space="0" w:color="auto"/>
      </w:divBdr>
    </w:div>
    <w:div w:id="93865877">
      <w:bodyDiv w:val="1"/>
      <w:marLeft w:val="0"/>
      <w:marRight w:val="0"/>
      <w:marTop w:val="0"/>
      <w:marBottom w:val="0"/>
      <w:divBdr>
        <w:top w:val="none" w:sz="0" w:space="0" w:color="auto"/>
        <w:left w:val="none" w:sz="0" w:space="0" w:color="auto"/>
        <w:bottom w:val="none" w:sz="0" w:space="0" w:color="auto"/>
        <w:right w:val="none" w:sz="0" w:space="0" w:color="auto"/>
      </w:divBdr>
    </w:div>
    <w:div w:id="95449326">
      <w:bodyDiv w:val="1"/>
      <w:marLeft w:val="0"/>
      <w:marRight w:val="0"/>
      <w:marTop w:val="0"/>
      <w:marBottom w:val="0"/>
      <w:divBdr>
        <w:top w:val="none" w:sz="0" w:space="0" w:color="auto"/>
        <w:left w:val="none" w:sz="0" w:space="0" w:color="auto"/>
        <w:bottom w:val="none" w:sz="0" w:space="0" w:color="auto"/>
        <w:right w:val="none" w:sz="0" w:space="0" w:color="auto"/>
      </w:divBdr>
    </w:div>
    <w:div w:id="103883825">
      <w:bodyDiv w:val="1"/>
      <w:marLeft w:val="0"/>
      <w:marRight w:val="0"/>
      <w:marTop w:val="0"/>
      <w:marBottom w:val="0"/>
      <w:divBdr>
        <w:top w:val="none" w:sz="0" w:space="0" w:color="auto"/>
        <w:left w:val="none" w:sz="0" w:space="0" w:color="auto"/>
        <w:bottom w:val="none" w:sz="0" w:space="0" w:color="auto"/>
        <w:right w:val="none" w:sz="0" w:space="0" w:color="auto"/>
      </w:divBdr>
    </w:div>
    <w:div w:id="107894536">
      <w:bodyDiv w:val="1"/>
      <w:marLeft w:val="0"/>
      <w:marRight w:val="0"/>
      <w:marTop w:val="0"/>
      <w:marBottom w:val="0"/>
      <w:divBdr>
        <w:top w:val="none" w:sz="0" w:space="0" w:color="auto"/>
        <w:left w:val="none" w:sz="0" w:space="0" w:color="auto"/>
        <w:bottom w:val="none" w:sz="0" w:space="0" w:color="auto"/>
        <w:right w:val="none" w:sz="0" w:space="0" w:color="auto"/>
      </w:divBdr>
    </w:div>
    <w:div w:id="119882927">
      <w:bodyDiv w:val="1"/>
      <w:marLeft w:val="0"/>
      <w:marRight w:val="0"/>
      <w:marTop w:val="0"/>
      <w:marBottom w:val="0"/>
      <w:divBdr>
        <w:top w:val="none" w:sz="0" w:space="0" w:color="auto"/>
        <w:left w:val="none" w:sz="0" w:space="0" w:color="auto"/>
        <w:bottom w:val="none" w:sz="0" w:space="0" w:color="auto"/>
        <w:right w:val="none" w:sz="0" w:space="0" w:color="auto"/>
      </w:divBdr>
    </w:div>
    <w:div w:id="120460467">
      <w:bodyDiv w:val="1"/>
      <w:marLeft w:val="0"/>
      <w:marRight w:val="0"/>
      <w:marTop w:val="0"/>
      <w:marBottom w:val="0"/>
      <w:divBdr>
        <w:top w:val="none" w:sz="0" w:space="0" w:color="auto"/>
        <w:left w:val="none" w:sz="0" w:space="0" w:color="auto"/>
        <w:bottom w:val="none" w:sz="0" w:space="0" w:color="auto"/>
        <w:right w:val="none" w:sz="0" w:space="0" w:color="auto"/>
      </w:divBdr>
    </w:div>
    <w:div w:id="125784871">
      <w:bodyDiv w:val="1"/>
      <w:marLeft w:val="0"/>
      <w:marRight w:val="0"/>
      <w:marTop w:val="0"/>
      <w:marBottom w:val="0"/>
      <w:divBdr>
        <w:top w:val="none" w:sz="0" w:space="0" w:color="auto"/>
        <w:left w:val="none" w:sz="0" w:space="0" w:color="auto"/>
        <w:bottom w:val="none" w:sz="0" w:space="0" w:color="auto"/>
        <w:right w:val="none" w:sz="0" w:space="0" w:color="auto"/>
      </w:divBdr>
    </w:div>
    <w:div w:id="126511566">
      <w:bodyDiv w:val="1"/>
      <w:marLeft w:val="0"/>
      <w:marRight w:val="0"/>
      <w:marTop w:val="0"/>
      <w:marBottom w:val="0"/>
      <w:divBdr>
        <w:top w:val="none" w:sz="0" w:space="0" w:color="auto"/>
        <w:left w:val="none" w:sz="0" w:space="0" w:color="auto"/>
        <w:bottom w:val="none" w:sz="0" w:space="0" w:color="auto"/>
        <w:right w:val="none" w:sz="0" w:space="0" w:color="auto"/>
      </w:divBdr>
    </w:div>
    <w:div w:id="135614505">
      <w:bodyDiv w:val="1"/>
      <w:marLeft w:val="0"/>
      <w:marRight w:val="0"/>
      <w:marTop w:val="0"/>
      <w:marBottom w:val="0"/>
      <w:divBdr>
        <w:top w:val="none" w:sz="0" w:space="0" w:color="auto"/>
        <w:left w:val="none" w:sz="0" w:space="0" w:color="auto"/>
        <w:bottom w:val="none" w:sz="0" w:space="0" w:color="auto"/>
        <w:right w:val="none" w:sz="0" w:space="0" w:color="auto"/>
      </w:divBdr>
    </w:div>
    <w:div w:id="137916699">
      <w:bodyDiv w:val="1"/>
      <w:marLeft w:val="0"/>
      <w:marRight w:val="0"/>
      <w:marTop w:val="0"/>
      <w:marBottom w:val="0"/>
      <w:divBdr>
        <w:top w:val="none" w:sz="0" w:space="0" w:color="auto"/>
        <w:left w:val="none" w:sz="0" w:space="0" w:color="auto"/>
        <w:bottom w:val="none" w:sz="0" w:space="0" w:color="auto"/>
        <w:right w:val="none" w:sz="0" w:space="0" w:color="auto"/>
      </w:divBdr>
    </w:div>
    <w:div w:id="148327948">
      <w:bodyDiv w:val="1"/>
      <w:marLeft w:val="0"/>
      <w:marRight w:val="0"/>
      <w:marTop w:val="0"/>
      <w:marBottom w:val="0"/>
      <w:divBdr>
        <w:top w:val="none" w:sz="0" w:space="0" w:color="auto"/>
        <w:left w:val="none" w:sz="0" w:space="0" w:color="auto"/>
        <w:bottom w:val="none" w:sz="0" w:space="0" w:color="auto"/>
        <w:right w:val="none" w:sz="0" w:space="0" w:color="auto"/>
      </w:divBdr>
    </w:div>
    <w:div w:id="148401988">
      <w:bodyDiv w:val="1"/>
      <w:marLeft w:val="0"/>
      <w:marRight w:val="0"/>
      <w:marTop w:val="0"/>
      <w:marBottom w:val="0"/>
      <w:divBdr>
        <w:top w:val="none" w:sz="0" w:space="0" w:color="auto"/>
        <w:left w:val="none" w:sz="0" w:space="0" w:color="auto"/>
        <w:bottom w:val="none" w:sz="0" w:space="0" w:color="auto"/>
        <w:right w:val="none" w:sz="0" w:space="0" w:color="auto"/>
      </w:divBdr>
    </w:div>
    <w:div w:id="160590263">
      <w:bodyDiv w:val="1"/>
      <w:marLeft w:val="0"/>
      <w:marRight w:val="0"/>
      <w:marTop w:val="0"/>
      <w:marBottom w:val="0"/>
      <w:divBdr>
        <w:top w:val="none" w:sz="0" w:space="0" w:color="auto"/>
        <w:left w:val="none" w:sz="0" w:space="0" w:color="auto"/>
        <w:bottom w:val="none" w:sz="0" w:space="0" w:color="auto"/>
        <w:right w:val="none" w:sz="0" w:space="0" w:color="auto"/>
      </w:divBdr>
    </w:div>
    <w:div w:id="170604479">
      <w:bodyDiv w:val="1"/>
      <w:marLeft w:val="0"/>
      <w:marRight w:val="0"/>
      <w:marTop w:val="0"/>
      <w:marBottom w:val="0"/>
      <w:divBdr>
        <w:top w:val="none" w:sz="0" w:space="0" w:color="auto"/>
        <w:left w:val="none" w:sz="0" w:space="0" w:color="auto"/>
        <w:bottom w:val="none" w:sz="0" w:space="0" w:color="auto"/>
        <w:right w:val="none" w:sz="0" w:space="0" w:color="auto"/>
      </w:divBdr>
    </w:div>
    <w:div w:id="171071451">
      <w:bodyDiv w:val="1"/>
      <w:marLeft w:val="0"/>
      <w:marRight w:val="0"/>
      <w:marTop w:val="0"/>
      <w:marBottom w:val="0"/>
      <w:divBdr>
        <w:top w:val="none" w:sz="0" w:space="0" w:color="auto"/>
        <w:left w:val="none" w:sz="0" w:space="0" w:color="auto"/>
        <w:bottom w:val="none" w:sz="0" w:space="0" w:color="auto"/>
        <w:right w:val="none" w:sz="0" w:space="0" w:color="auto"/>
      </w:divBdr>
    </w:div>
    <w:div w:id="171650400">
      <w:bodyDiv w:val="1"/>
      <w:marLeft w:val="0"/>
      <w:marRight w:val="0"/>
      <w:marTop w:val="0"/>
      <w:marBottom w:val="0"/>
      <w:divBdr>
        <w:top w:val="none" w:sz="0" w:space="0" w:color="auto"/>
        <w:left w:val="none" w:sz="0" w:space="0" w:color="auto"/>
        <w:bottom w:val="none" w:sz="0" w:space="0" w:color="auto"/>
        <w:right w:val="none" w:sz="0" w:space="0" w:color="auto"/>
      </w:divBdr>
    </w:div>
    <w:div w:id="175851102">
      <w:bodyDiv w:val="1"/>
      <w:marLeft w:val="0"/>
      <w:marRight w:val="0"/>
      <w:marTop w:val="0"/>
      <w:marBottom w:val="0"/>
      <w:divBdr>
        <w:top w:val="none" w:sz="0" w:space="0" w:color="auto"/>
        <w:left w:val="none" w:sz="0" w:space="0" w:color="auto"/>
        <w:bottom w:val="none" w:sz="0" w:space="0" w:color="auto"/>
        <w:right w:val="none" w:sz="0" w:space="0" w:color="auto"/>
      </w:divBdr>
    </w:div>
    <w:div w:id="176117768">
      <w:bodyDiv w:val="1"/>
      <w:marLeft w:val="0"/>
      <w:marRight w:val="0"/>
      <w:marTop w:val="0"/>
      <w:marBottom w:val="0"/>
      <w:divBdr>
        <w:top w:val="none" w:sz="0" w:space="0" w:color="auto"/>
        <w:left w:val="none" w:sz="0" w:space="0" w:color="auto"/>
        <w:bottom w:val="none" w:sz="0" w:space="0" w:color="auto"/>
        <w:right w:val="none" w:sz="0" w:space="0" w:color="auto"/>
      </w:divBdr>
    </w:div>
    <w:div w:id="181170835">
      <w:bodyDiv w:val="1"/>
      <w:marLeft w:val="0"/>
      <w:marRight w:val="0"/>
      <w:marTop w:val="0"/>
      <w:marBottom w:val="0"/>
      <w:divBdr>
        <w:top w:val="none" w:sz="0" w:space="0" w:color="auto"/>
        <w:left w:val="none" w:sz="0" w:space="0" w:color="auto"/>
        <w:bottom w:val="none" w:sz="0" w:space="0" w:color="auto"/>
        <w:right w:val="none" w:sz="0" w:space="0" w:color="auto"/>
      </w:divBdr>
    </w:div>
    <w:div w:id="182935641">
      <w:bodyDiv w:val="1"/>
      <w:marLeft w:val="0"/>
      <w:marRight w:val="0"/>
      <w:marTop w:val="0"/>
      <w:marBottom w:val="0"/>
      <w:divBdr>
        <w:top w:val="none" w:sz="0" w:space="0" w:color="auto"/>
        <w:left w:val="none" w:sz="0" w:space="0" w:color="auto"/>
        <w:bottom w:val="none" w:sz="0" w:space="0" w:color="auto"/>
        <w:right w:val="none" w:sz="0" w:space="0" w:color="auto"/>
      </w:divBdr>
    </w:div>
    <w:div w:id="189076580">
      <w:bodyDiv w:val="1"/>
      <w:marLeft w:val="0"/>
      <w:marRight w:val="0"/>
      <w:marTop w:val="0"/>
      <w:marBottom w:val="0"/>
      <w:divBdr>
        <w:top w:val="none" w:sz="0" w:space="0" w:color="auto"/>
        <w:left w:val="none" w:sz="0" w:space="0" w:color="auto"/>
        <w:bottom w:val="none" w:sz="0" w:space="0" w:color="auto"/>
        <w:right w:val="none" w:sz="0" w:space="0" w:color="auto"/>
      </w:divBdr>
    </w:div>
    <w:div w:id="189299371">
      <w:bodyDiv w:val="1"/>
      <w:marLeft w:val="0"/>
      <w:marRight w:val="0"/>
      <w:marTop w:val="0"/>
      <w:marBottom w:val="0"/>
      <w:divBdr>
        <w:top w:val="none" w:sz="0" w:space="0" w:color="auto"/>
        <w:left w:val="none" w:sz="0" w:space="0" w:color="auto"/>
        <w:bottom w:val="none" w:sz="0" w:space="0" w:color="auto"/>
        <w:right w:val="none" w:sz="0" w:space="0" w:color="auto"/>
      </w:divBdr>
    </w:div>
    <w:div w:id="189342341">
      <w:bodyDiv w:val="1"/>
      <w:marLeft w:val="0"/>
      <w:marRight w:val="0"/>
      <w:marTop w:val="0"/>
      <w:marBottom w:val="0"/>
      <w:divBdr>
        <w:top w:val="none" w:sz="0" w:space="0" w:color="auto"/>
        <w:left w:val="none" w:sz="0" w:space="0" w:color="auto"/>
        <w:bottom w:val="none" w:sz="0" w:space="0" w:color="auto"/>
        <w:right w:val="none" w:sz="0" w:space="0" w:color="auto"/>
      </w:divBdr>
    </w:div>
    <w:div w:id="190539240">
      <w:bodyDiv w:val="1"/>
      <w:marLeft w:val="0"/>
      <w:marRight w:val="0"/>
      <w:marTop w:val="0"/>
      <w:marBottom w:val="0"/>
      <w:divBdr>
        <w:top w:val="none" w:sz="0" w:space="0" w:color="auto"/>
        <w:left w:val="none" w:sz="0" w:space="0" w:color="auto"/>
        <w:bottom w:val="none" w:sz="0" w:space="0" w:color="auto"/>
        <w:right w:val="none" w:sz="0" w:space="0" w:color="auto"/>
      </w:divBdr>
    </w:div>
    <w:div w:id="192808338">
      <w:bodyDiv w:val="1"/>
      <w:marLeft w:val="0"/>
      <w:marRight w:val="0"/>
      <w:marTop w:val="0"/>
      <w:marBottom w:val="0"/>
      <w:divBdr>
        <w:top w:val="none" w:sz="0" w:space="0" w:color="auto"/>
        <w:left w:val="none" w:sz="0" w:space="0" w:color="auto"/>
        <w:bottom w:val="none" w:sz="0" w:space="0" w:color="auto"/>
        <w:right w:val="none" w:sz="0" w:space="0" w:color="auto"/>
      </w:divBdr>
    </w:div>
    <w:div w:id="204951120">
      <w:bodyDiv w:val="1"/>
      <w:marLeft w:val="0"/>
      <w:marRight w:val="0"/>
      <w:marTop w:val="0"/>
      <w:marBottom w:val="0"/>
      <w:divBdr>
        <w:top w:val="none" w:sz="0" w:space="0" w:color="auto"/>
        <w:left w:val="none" w:sz="0" w:space="0" w:color="auto"/>
        <w:bottom w:val="none" w:sz="0" w:space="0" w:color="auto"/>
        <w:right w:val="none" w:sz="0" w:space="0" w:color="auto"/>
      </w:divBdr>
    </w:div>
    <w:div w:id="210918619">
      <w:bodyDiv w:val="1"/>
      <w:marLeft w:val="0"/>
      <w:marRight w:val="0"/>
      <w:marTop w:val="0"/>
      <w:marBottom w:val="0"/>
      <w:divBdr>
        <w:top w:val="none" w:sz="0" w:space="0" w:color="auto"/>
        <w:left w:val="none" w:sz="0" w:space="0" w:color="auto"/>
        <w:bottom w:val="none" w:sz="0" w:space="0" w:color="auto"/>
        <w:right w:val="none" w:sz="0" w:space="0" w:color="auto"/>
      </w:divBdr>
    </w:div>
    <w:div w:id="213347204">
      <w:bodyDiv w:val="1"/>
      <w:marLeft w:val="0"/>
      <w:marRight w:val="0"/>
      <w:marTop w:val="0"/>
      <w:marBottom w:val="0"/>
      <w:divBdr>
        <w:top w:val="none" w:sz="0" w:space="0" w:color="auto"/>
        <w:left w:val="none" w:sz="0" w:space="0" w:color="auto"/>
        <w:bottom w:val="none" w:sz="0" w:space="0" w:color="auto"/>
        <w:right w:val="none" w:sz="0" w:space="0" w:color="auto"/>
      </w:divBdr>
    </w:div>
    <w:div w:id="215049512">
      <w:bodyDiv w:val="1"/>
      <w:marLeft w:val="0"/>
      <w:marRight w:val="0"/>
      <w:marTop w:val="0"/>
      <w:marBottom w:val="0"/>
      <w:divBdr>
        <w:top w:val="none" w:sz="0" w:space="0" w:color="auto"/>
        <w:left w:val="none" w:sz="0" w:space="0" w:color="auto"/>
        <w:bottom w:val="none" w:sz="0" w:space="0" w:color="auto"/>
        <w:right w:val="none" w:sz="0" w:space="0" w:color="auto"/>
      </w:divBdr>
    </w:div>
    <w:div w:id="221527142">
      <w:bodyDiv w:val="1"/>
      <w:marLeft w:val="0"/>
      <w:marRight w:val="0"/>
      <w:marTop w:val="0"/>
      <w:marBottom w:val="0"/>
      <w:divBdr>
        <w:top w:val="none" w:sz="0" w:space="0" w:color="auto"/>
        <w:left w:val="none" w:sz="0" w:space="0" w:color="auto"/>
        <w:bottom w:val="none" w:sz="0" w:space="0" w:color="auto"/>
        <w:right w:val="none" w:sz="0" w:space="0" w:color="auto"/>
      </w:divBdr>
    </w:div>
    <w:div w:id="229275552">
      <w:bodyDiv w:val="1"/>
      <w:marLeft w:val="0"/>
      <w:marRight w:val="0"/>
      <w:marTop w:val="0"/>
      <w:marBottom w:val="0"/>
      <w:divBdr>
        <w:top w:val="none" w:sz="0" w:space="0" w:color="auto"/>
        <w:left w:val="none" w:sz="0" w:space="0" w:color="auto"/>
        <w:bottom w:val="none" w:sz="0" w:space="0" w:color="auto"/>
        <w:right w:val="none" w:sz="0" w:space="0" w:color="auto"/>
      </w:divBdr>
    </w:div>
    <w:div w:id="230778850">
      <w:bodyDiv w:val="1"/>
      <w:marLeft w:val="0"/>
      <w:marRight w:val="0"/>
      <w:marTop w:val="0"/>
      <w:marBottom w:val="0"/>
      <w:divBdr>
        <w:top w:val="none" w:sz="0" w:space="0" w:color="auto"/>
        <w:left w:val="none" w:sz="0" w:space="0" w:color="auto"/>
        <w:bottom w:val="none" w:sz="0" w:space="0" w:color="auto"/>
        <w:right w:val="none" w:sz="0" w:space="0" w:color="auto"/>
      </w:divBdr>
    </w:div>
    <w:div w:id="231161273">
      <w:bodyDiv w:val="1"/>
      <w:marLeft w:val="0"/>
      <w:marRight w:val="0"/>
      <w:marTop w:val="0"/>
      <w:marBottom w:val="0"/>
      <w:divBdr>
        <w:top w:val="none" w:sz="0" w:space="0" w:color="auto"/>
        <w:left w:val="none" w:sz="0" w:space="0" w:color="auto"/>
        <w:bottom w:val="none" w:sz="0" w:space="0" w:color="auto"/>
        <w:right w:val="none" w:sz="0" w:space="0" w:color="auto"/>
      </w:divBdr>
    </w:div>
    <w:div w:id="233904537">
      <w:bodyDiv w:val="1"/>
      <w:marLeft w:val="0"/>
      <w:marRight w:val="0"/>
      <w:marTop w:val="0"/>
      <w:marBottom w:val="0"/>
      <w:divBdr>
        <w:top w:val="none" w:sz="0" w:space="0" w:color="auto"/>
        <w:left w:val="none" w:sz="0" w:space="0" w:color="auto"/>
        <w:bottom w:val="none" w:sz="0" w:space="0" w:color="auto"/>
        <w:right w:val="none" w:sz="0" w:space="0" w:color="auto"/>
      </w:divBdr>
    </w:div>
    <w:div w:id="238370811">
      <w:bodyDiv w:val="1"/>
      <w:marLeft w:val="0"/>
      <w:marRight w:val="0"/>
      <w:marTop w:val="0"/>
      <w:marBottom w:val="0"/>
      <w:divBdr>
        <w:top w:val="none" w:sz="0" w:space="0" w:color="auto"/>
        <w:left w:val="none" w:sz="0" w:space="0" w:color="auto"/>
        <w:bottom w:val="none" w:sz="0" w:space="0" w:color="auto"/>
        <w:right w:val="none" w:sz="0" w:space="0" w:color="auto"/>
      </w:divBdr>
    </w:div>
    <w:div w:id="241961168">
      <w:bodyDiv w:val="1"/>
      <w:marLeft w:val="0"/>
      <w:marRight w:val="0"/>
      <w:marTop w:val="0"/>
      <w:marBottom w:val="0"/>
      <w:divBdr>
        <w:top w:val="none" w:sz="0" w:space="0" w:color="auto"/>
        <w:left w:val="none" w:sz="0" w:space="0" w:color="auto"/>
        <w:bottom w:val="none" w:sz="0" w:space="0" w:color="auto"/>
        <w:right w:val="none" w:sz="0" w:space="0" w:color="auto"/>
      </w:divBdr>
    </w:div>
    <w:div w:id="244925072">
      <w:bodyDiv w:val="1"/>
      <w:marLeft w:val="0"/>
      <w:marRight w:val="0"/>
      <w:marTop w:val="0"/>
      <w:marBottom w:val="0"/>
      <w:divBdr>
        <w:top w:val="none" w:sz="0" w:space="0" w:color="auto"/>
        <w:left w:val="none" w:sz="0" w:space="0" w:color="auto"/>
        <w:bottom w:val="none" w:sz="0" w:space="0" w:color="auto"/>
        <w:right w:val="none" w:sz="0" w:space="0" w:color="auto"/>
      </w:divBdr>
    </w:div>
    <w:div w:id="244925570">
      <w:bodyDiv w:val="1"/>
      <w:marLeft w:val="0"/>
      <w:marRight w:val="0"/>
      <w:marTop w:val="0"/>
      <w:marBottom w:val="0"/>
      <w:divBdr>
        <w:top w:val="none" w:sz="0" w:space="0" w:color="auto"/>
        <w:left w:val="none" w:sz="0" w:space="0" w:color="auto"/>
        <w:bottom w:val="none" w:sz="0" w:space="0" w:color="auto"/>
        <w:right w:val="none" w:sz="0" w:space="0" w:color="auto"/>
      </w:divBdr>
    </w:div>
    <w:div w:id="245575462">
      <w:bodyDiv w:val="1"/>
      <w:marLeft w:val="0"/>
      <w:marRight w:val="0"/>
      <w:marTop w:val="0"/>
      <w:marBottom w:val="0"/>
      <w:divBdr>
        <w:top w:val="none" w:sz="0" w:space="0" w:color="auto"/>
        <w:left w:val="none" w:sz="0" w:space="0" w:color="auto"/>
        <w:bottom w:val="none" w:sz="0" w:space="0" w:color="auto"/>
        <w:right w:val="none" w:sz="0" w:space="0" w:color="auto"/>
      </w:divBdr>
    </w:div>
    <w:div w:id="255745539">
      <w:bodyDiv w:val="1"/>
      <w:marLeft w:val="0"/>
      <w:marRight w:val="0"/>
      <w:marTop w:val="0"/>
      <w:marBottom w:val="0"/>
      <w:divBdr>
        <w:top w:val="none" w:sz="0" w:space="0" w:color="auto"/>
        <w:left w:val="none" w:sz="0" w:space="0" w:color="auto"/>
        <w:bottom w:val="none" w:sz="0" w:space="0" w:color="auto"/>
        <w:right w:val="none" w:sz="0" w:space="0" w:color="auto"/>
      </w:divBdr>
    </w:div>
    <w:div w:id="256912815">
      <w:bodyDiv w:val="1"/>
      <w:marLeft w:val="0"/>
      <w:marRight w:val="0"/>
      <w:marTop w:val="0"/>
      <w:marBottom w:val="0"/>
      <w:divBdr>
        <w:top w:val="none" w:sz="0" w:space="0" w:color="auto"/>
        <w:left w:val="none" w:sz="0" w:space="0" w:color="auto"/>
        <w:bottom w:val="none" w:sz="0" w:space="0" w:color="auto"/>
        <w:right w:val="none" w:sz="0" w:space="0" w:color="auto"/>
      </w:divBdr>
    </w:div>
    <w:div w:id="257911078">
      <w:bodyDiv w:val="1"/>
      <w:marLeft w:val="0"/>
      <w:marRight w:val="0"/>
      <w:marTop w:val="0"/>
      <w:marBottom w:val="0"/>
      <w:divBdr>
        <w:top w:val="none" w:sz="0" w:space="0" w:color="auto"/>
        <w:left w:val="none" w:sz="0" w:space="0" w:color="auto"/>
        <w:bottom w:val="none" w:sz="0" w:space="0" w:color="auto"/>
        <w:right w:val="none" w:sz="0" w:space="0" w:color="auto"/>
      </w:divBdr>
    </w:div>
    <w:div w:id="265231376">
      <w:bodyDiv w:val="1"/>
      <w:marLeft w:val="0"/>
      <w:marRight w:val="0"/>
      <w:marTop w:val="0"/>
      <w:marBottom w:val="0"/>
      <w:divBdr>
        <w:top w:val="none" w:sz="0" w:space="0" w:color="auto"/>
        <w:left w:val="none" w:sz="0" w:space="0" w:color="auto"/>
        <w:bottom w:val="none" w:sz="0" w:space="0" w:color="auto"/>
        <w:right w:val="none" w:sz="0" w:space="0" w:color="auto"/>
      </w:divBdr>
    </w:div>
    <w:div w:id="270868542">
      <w:bodyDiv w:val="1"/>
      <w:marLeft w:val="0"/>
      <w:marRight w:val="0"/>
      <w:marTop w:val="0"/>
      <w:marBottom w:val="0"/>
      <w:divBdr>
        <w:top w:val="none" w:sz="0" w:space="0" w:color="auto"/>
        <w:left w:val="none" w:sz="0" w:space="0" w:color="auto"/>
        <w:bottom w:val="none" w:sz="0" w:space="0" w:color="auto"/>
        <w:right w:val="none" w:sz="0" w:space="0" w:color="auto"/>
      </w:divBdr>
    </w:div>
    <w:div w:id="272789837">
      <w:bodyDiv w:val="1"/>
      <w:marLeft w:val="0"/>
      <w:marRight w:val="0"/>
      <w:marTop w:val="0"/>
      <w:marBottom w:val="0"/>
      <w:divBdr>
        <w:top w:val="none" w:sz="0" w:space="0" w:color="auto"/>
        <w:left w:val="none" w:sz="0" w:space="0" w:color="auto"/>
        <w:bottom w:val="none" w:sz="0" w:space="0" w:color="auto"/>
        <w:right w:val="none" w:sz="0" w:space="0" w:color="auto"/>
      </w:divBdr>
    </w:div>
    <w:div w:id="276956157">
      <w:bodyDiv w:val="1"/>
      <w:marLeft w:val="0"/>
      <w:marRight w:val="0"/>
      <w:marTop w:val="0"/>
      <w:marBottom w:val="0"/>
      <w:divBdr>
        <w:top w:val="none" w:sz="0" w:space="0" w:color="auto"/>
        <w:left w:val="none" w:sz="0" w:space="0" w:color="auto"/>
        <w:bottom w:val="none" w:sz="0" w:space="0" w:color="auto"/>
        <w:right w:val="none" w:sz="0" w:space="0" w:color="auto"/>
      </w:divBdr>
    </w:div>
    <w:div w:id="277880836">
      <w:bodyDiv w:val="1"/>
      <w:marLeft w:val="0"/>
      <w:marRight w:val="0"/>
      <w:marTop w:val="0"/>
      <w:marBottom w:val="0"/>
      <w:divBdr>
        <w:top w:val="none" w:sz="0" w:space="0" w:color="auto"/>
        <w:left w:val="none" w:sz="0" w:space="0" w:color="auto"/>
        <w:bottom w:val="none" w:sz="0" w:space="0" w:color="auto"/>
        <w:right w:val="none" w:sz="0" w:space="0" w:color="auto"/>
      </w:divBdr>
    </w:div>
    <w:div w:id="281958645">
      <w:bodyDiv w:val="1"/>
      <w:marLeft w:val="0"/>
      <w:marRight w:val="0"/>
      <w:marTop w:val="0"/>
      <w:marBottom w:val="0"/>
      <w:divBdr>
        <w:top w:val="none" w:sz="0" w:space="0" w:color="auto"/>
        <w:left w:val="none" w:sz="0" w:space="0" w:color="auto"/>
        <w:bottom w:val="none" w:sz="0" w:space="0" w:color="auto"/>
        <w:right w:val="none" w:sz="0" w:space="0" w:color="auto"/>
      </w:divBdr>
    </w:div>
    <w:div w:id="285307956">
      <w:bodyDiv w:val="1"/>
      <w:marLeft w:val="0"/>
      <w:marRight w:val="0"/>
      <w:marTop w:val="0"/>
      <w:marBottom w:val="0"/>
      <w:divBdr>
        <w:top w:val="none" w:sz="0" w:space="0" w:color="auto"/>
        <w:left w:val="none" w:sz="0" w:space="0" w:color="auto"/>
        <w:bottom w:val="none" w:sz="0" w:space="0" w:color="auto"/>
        <w:right w:val="none" w:sz="0" w:space="0" w:color="auto"/>
      </w:divBdr>
    </w:div>
    <w:div w:id="287205032">
      <w:bodyDiv w:val="1"/>
      <w:marLeft w:val="0"/>
      <w:marRight w:val="0"/>
      <w:marTop w:val="0"/>
      <w:marBottom w:val="0"/>
      <w:divBdr>
        <w:top w:val="none" w:sz="0" w:space="0" w:color="auto"/>
        <w:left w:val="none" w:sz="0" w:space="0" w:color="auto"/>
        <w:bottom w:val="none" w:sz="0" w:space="0" w:color="auto"/>
        <w:right w:val="none" w:sz="0" w:space="0" w:color="auto"/>
      </w:divBdr>
    </w:div>
    <w:div w:id="287245096">
      <w:bodyDiv w:val="1"/>
      <w:marLeft w:val="0"/>
      <w:marRight w:val="0"/>
      <w:marTop w:val="0"/>
      <w:marBottom w:val="0"/>
      <w:divBdr>
        <w:top w:val="none" w:sz="0" w:space="0" w:color="auto"/>
        <w:left w:val="none" w:sz="0" w:space="0" w:color="auto"/>
        <w:bottom w:val="none" w:sz="0" w:space="0" w:color="auto"/>
        <w:right w:val="none" w:sz="0" w:space="0" w:color="auto"/>
      </w:divBdr>
    </w:div>
    <w:div w:id="292491187">
      <w:bodyDiv w:val="1"/>
      <w:marLeft w:val="0"/>
      <w:marRight w:val="0"/>
      <w:marTop w:val="0"/>
      <w:marBottom w:val="0"/>
      <w:divBdr>
        <w:top w:val="none" w:sz="0" w:space="0" w:color="auto"/>
        <w:left w:val="none" w:sz="0" w:space="0" w:color="auto"/>
        <w:bottom w:val="none" w:sz="0" w:space="0" w:color="auto"/>
        <w:right w:val="none" w:sz="0" w:space="0" w:color="auto"/>
      </w:divBdr>
    </w:div>
    <w:div w:id="294264220">
      <w:bodyDiv w:val="1"/>
      <w:marLeft w:val="0"/>
      <w:marRight w:val="0"/>
      <w:marTop w:val="0"/>
      <w:marBottom w:val="0"/>
      <w:divBdr>
        <w:top w:val="none" w:sz="0" w:space="0" w:color="auto"/>
        <w:left w:val="none" w:sz="0" w:space="0" w:color="auto"/>
        <w:bottom w:val="none" w:sz="0" w:space="0" w:color="auto"/>
        <w:right w:val="none" w:sz="0" w:space="0" w:color="auto"/>
      </w:divBdr>
    </w:div>
    <w:div w:id="304048978">
      <w:bodyDiv w:val="1"/>
      <w:marLeft w:val="0"/>
      <w:marRight w:val="0"/>
      <w:marTop w:val="0"/>
      <w:marBottom w:val="0"/>
      <w:divBdr>
        <w:top w:val="none" w:sz="0" w:space="0" w:color="auto"/>
        <w:left w:val="none" w:sz="0" w:space="0" w:color="auto"/>
        <w:bottom w:val="none" w:sz="0" w:space="0" w:color="auto"/>
        <w:right w:val="none" w:sz="0" w:space="0" w:color="auto"/>
      </w:divBdr>
    </w:div>
    <w:div w:id="310332786">
      <w:bodyDiv w:val="1"/>
      <w:marLeft w:val="0"/>
      <w:marRight w:val="0"/>
      <w:marTop w:val="0"/>
      <w:marBottom w:val="0"/>
      <w:divBdr>
        <w:top w:val="none" w:sz="0" w:space="0" w:color="auto"/>
        <w:left w:val="none" w:sz="0" w:space="0" w:color="auto"/>
        <w:bottom w:val="none" w:sz="0" w:space="0" w:color="auto"/>
        <w:right w:val="none" w:sz="0" w:space="0" w:color="auto"/>
      </w:divBdr>
    </w:div>
    <w:div w:id="312953984">
      <w:bodyDiv w:val="1"/>
      <w:marLeft w:val="0"/>
      <w:marRight w:val="0"/>
      <w:marTop w:val="0"/>
      <w:marBottom w:val="0"/>
      <w:divBdr>
        <w:top w:val="none" w:sz="0" w:space="0" w:color="auto"/>
        <w:left w:val="none" w:sz="0" w:space="0" w:color="auto"/>
        <w:bottom w:val="none" w:sz="0" w:space="0" w:color="auto"/>
        <w:right w:val="none" w:sz="0" w:space="0" w:color="auto"/>
      </w:divBdr>
    </w:div>
    <w:div w:id="313876913">
      <w:bodyDiv w:val="1"/>
      <w:marLeft w:val="0"/>
      <w:marRight w:val="0"/>
      <w:marTop w:val="0"/>
      <w:marBottom w:val="0"/>
      <w:divBdr>
        <w:top w:val="none" w:sz="0" w:space="0" w:color="auto"/>
        <w:left w:val="none" w:sz="0" w:space="0" w:color="auto"/>
        <w:bottom w:val="none" w:sz="0" w:space="0" w:color="auto"/>
        <w:right w:val="none" w:sz="0" w:space="0" w:color="auto"/>
      </w:divBdr>
    </w:div>
    <w:div w:id="319846198">
      <w:bodyDiv w:val="1"/>
      <w:marLeft w:val="0"/>
      <w:marRight w:val="0"/>
      <w:marTop w:val="0"/>
      <w:marBottom w:val="0"/>
      <w:divBdr>
        <w:top w:val="none" w:sz="0" w:space="0" w:color="auto"/>
        <w:left w:val="none" w:sz="0" w:space="0" w:color="auto"/>
        <w:bottom w:val="none" w:sz="0" w:space="0" w:color="auto"/>
        <w:right w:val="none" w:sz="0" w:space="0" w:color="auto"/>
      </w:divBdr>
    </w:div>
    <w:div w:id="322634301">
      <w:bodyDiv w:val="1"/>
      <w:marLeft w:val="0"/>
      <w:marRight w:val="0"/>
      <w:marTop w:val="0"/>
      <w:marBottom w:val="0"/>
      <w:divBdr>
        <w:top w:val="none" w:sz="0" w:space="0" w:color="auto"/>
        <w:left w:val="none" w:sz="0" w:space="0" w:color="auto"/>
        <w:bottom w:val="none" w:sz="0" w:space="0" w:color="auto"/>
        <w:right w:val="none" w:sz="0" w:space="0" w:color="auto"/>
      </w:divBdr>
    </w:div>
    <w:div w:id="327483580">
      <w:bodyDiv w:val="1"/>
      <w:marLeft w:val="0"/>
      <w:marRight w:val="0"/>
      <w:marTop w:val="0"/>
      <w:marBottom w:val="0"/>
      <w:divBdr>
        <w:top w:val="none" w:sz="0" w:space="0" w:color="auto"/>
        <w:left w:val="none" w:sz="0" w:space="0" w:color="auto"/>
        <w:bottom w:val="none" w:sz="0" w:space="0" w:color="auto"/>
        <w:right w:val="none" w:sz="0" w:space="0" w:color="auto"/>
      </w:divBdr>
    </w:div>
    <w:div w:id="332031101">
      <w:bodyDiv w:val="1"/>
      <w:marLeft w:val="0"/>
      <w:marRight w:val="0"/>
      <w:marTop w:val="0"/>
      <w:marBottom w:val="0"/>
      <w:divBdr>
        <w:top w:val="none" w:sz="0" w:space="0" w:color="auto"/>
        <w:left w:val="none" w:sz="0" w:space="0" w:color="auto"/>
        <w:bottom w:val="none" w:sz="0" w:space="0" w:color="auto"/>
        <w:right w:val="none" w:sz="0" w:space="0" w:color="auto"/>
      </w:divBdr>
    </w:div>
    <w:div w:id="337001555">
      <w:bodyDiv w:val="1"/>
      <w:marLeft w:val="0"/>
      <w:marRight w:val="0"/>
      <w:marTop w:val="0"/>
      <w:marBottom w:val="0"/>
      <w:divBdr>
        <w:top w:val="none" w:sz="0" w:space="0" w:color="auto"/>
        <w:left w:val="none" w:sz="0" w:space="0" w:color="auto"/>
        <w:bottom w:val="none" w:sz="0" w:space="0" w:color="auto"/>
        <w:right w:val="none" w:sz="0" w:space="0" w:color="auto"/>
      </w:divBdr>
    </w:div>
    <w:div w:id="340162365">
      <w:bodyDiv w:val="1"/>
      <w:marLeft w:val="0"/>
      <w:marRight w:val="0"/>
      <w:marTop w:val="0"/>
      <w:marBottom w:val="0"/>
      <w:divBdr>
        <w:top w:val="none" w:sz="0" w:space="0" w:color="auto"/>
        <w:left w:val="none" w:sz="0" w:space="0" w:color="auto"/>
        <w:bottom w:val="none" w:sz="0" w:space="0" w:color="auto"/>
        <w:right w:val="none" w:sz="0" w:space="0" w:color="auto"/>
      </w:divBdr>
    </w:div>
    <w:div w:id="344404869">
      <w:bodyDiv w:val="1"/>
      <w:marLeft w:val="0"/>
      <w:marRight w:val="0"/>
      <w:marTop w:val="0"/>
      <w:marBottom w:val="0"/>
      <w:divBdr>
        <w:top w:val="none" w:sz="0" w:space="0" w:color="auto"/>
        <w:left w:val="none" w:sz="0" w:space="0" w:color="auto"/>
        <w:bottom w:val="none" w:sz="0" w:space="0" w:color="auto"/>
        <w:right w:val="none" w:sz="0" w:space="0" w:color="auto"/>
      </w:divBdr>
    </w:div>
    <w:div w:id="349720138">
      <w:bodyDiv w:val="1"/>
      <w:marLeft w:val="0"/>
      <w:marRight w:val="0"/>
      <w:marTop w:val="0"/>
      <w:marBottom w:val="0"/>
      <w:divBdr>
        <w:top w:val="none" w:sz="0" w:space="0" w:color="auto"/>
        <w:left w:val="none" w:sz="0" w:space="0" w:color="auto"/>
        <w:bottom w:val="none" w:sz="0" w:space="0" w:color="auto"/>
        <w:right w:val="none" w:sz="0" w:space="0" w:color="auto"/>
      </w:divBdr>
    </w:div>
    <w:div w:id="350108915">
      <w:bodyDiv w:val="1"/>
      <w:marLeft w:val="0"/>
      <w:marRight w:val="0"/>
      <w:marTop w:val="0"/>
      <w:marBottom w:val="0"/>
      <w:divBdr>
        <w:top w:val="none" w:sz="0" w:space="0" w:color="auto"/>
        <w:left w:val="none" w:sz="0" w:space="0" w:color="auto"/>
        <w:bottom w:val="none" w:sz="0" w:space="0" w:color="auto"/>
        <w:right w:val="none" w:sz="0" w:space="0" w:color="auto"/>
      </w:divBdr>
    </w:div>
    <w:div w:id="354843782">
      <w:bodyDiv w:val="1"/>
      <w:marLeft w:val="0"/>
      <w:marRight w:val="0"/>
      <w:marTop w:val="0"/>
      <w:marBottom w:val="0"/>
      <w:divBdr>
        <w:top w:val="none" w:sz="0" w:space="0" w:color="auto"/>
        <w:left w:val="none" w:sz="0" w:space="0" w:color="auto"/>
        <w:bottom w:val="none" w:sz="0" w:space="0" w:color="auto"/>
        <w:right w:val="none" w:sz="0" w:space="0" w:color="auto"/>
      </w:divBdr>
    </w:div>
    <w:div w:id="355278044">
      <w:bodyDiv w:val="1"/>
      <w:marLeft w:val="0"/>
      <w:marRight w:val="0"/>
      <w:marTop w:val="0"/>
      <w:marBottom w:val="0"/>
      <w:divBdr>
        <w:top w:val="none" w:sz="0" w:space="0" w:color="auto"/>
        <w:left w:val="none" w:sz="0" w:space="0" w:color="auto"/>
        <w:bottom w:val="none" w:sz="0" w:space="0" w:color="auto"/>
        <w:right w:val="none" w:sz="0" w:space="0" w:color="auto"/>
      </w:divBdr>
    </w:div>
    <w:div w:id="355352278">
      <w:bodyDiv w:val="1"/>
      <w:marLeft w:val="0"/>
      <w:marRight w:val="0"/>
      <w:marTop w:val="0"/>
      <w:marBottom w:val="0"/>
      <w:divBdr>
        <w:top w:val="none" w:sz="0" w:space="0" w:color="auto"/>
        <w:left w:val="none" w:sz="0" w:space="0" w:color="auto"/>
        <w:bottom w:val="none" w:sz="0" w:space="0" w:color="auto"/>
        <w:right w:val="none" w:sz="0" w:space="0" w:color="auto"/>
      </w:divBdr>
    </w:div>
    <w:div w:id="360127510">
      <w:bodyDiv w:val="1"/>
      <w:marLeft w:val="0"/>
      <w:marRight w:val="0"/>
      <w:marTop w:val="0"/>
      <w:marBottom w:val="0"/>
      <w:divBdr>
        <w:top w:val="none" w:sz="0" w:space="0" w:color="auto"/>
        <w:left w:val="none" w:sz="0" w:space="0" w:color="auto"/>
        <w:bottom w:val="none" w:sz="0" w:space="0" w:color="auto"/>
        <w:right w:val="none" w:sz="0" w:space="0" w:color="auto"/>
      </w:divBdr>
    </w:div>
    <w:div w:id="362287794">
      <w:bodyDiv w:val="1"/>
      <w:marLeft w:val="0"/>
      <w:marRight w:val="0"/>
      <w:marTop w:val="0"/>
      <w:marBottom w:val="0"/>
      <w:divBdr>
        <w:top w:val="none" w:sz="0" w:space="0" w:color="auto"/>
        <w:left w:val="none" w:sz="0" w:space="0" w:color="auto"/>
        <w:bottom w:val="none" w:sz="0" w:space="0" w:color="auto"/>
        <w:right w:val="none" w:sz="0" w:space="0" w:color="auto"/>
      </w:divBdr>
    </w:div>
    <w:div w:id="362677854">
      <w:bodyDiv w:val="1"/>
      <w:marLeft w:val="0"/>
      <w:marRight w:val="0"/>
      <w:marTop w:val="0"/>
      <w:marBottom w:val="0"/>
      <w:divBdr>
        <w:top w:val="none" w:sz="0" w:space="0" w:color="auto"/>
        <w:left w:val="none" w:sz="0" w:space="0" w:color="auto"/>
        <w:bottom w:val="none" w:sz="0" w:space="0" w:color="auto"/>
        <w:right w:val="none" w:sz="0" w:space="0" w:color="auto"/>
      </w:divBdr>
    </w:div>
    <w:div w:id="363017163">
      <w:bodyDiv w:val="1"/>
      <w:marLeft w:val="0"/>
      <w:marRight w:val="0"/>
      <w:marTop w:val="0"/>
      <w:marBottom w:val="0"/>
      <w:divBdr>
        <w:top w:val="none" w:sz="0" w:space="0" w:color="auto"/>
        <w:left w:val="none" w:sz="0" w:space="0" w:color="auto"/>
        <w:bottom w:val="none" w:sz="0" w:space="0" w:color="auto"/>
        <w:right w:val="none" w:sz="0" w:space="0" w:color="auto"/>
      </w:divBdr>
    </w:div>
    <w:div w:id="369646749">
      <w:bodyDiv w:val="1"/>
      <w:marLeft w:val="0"/>
      <w:marRight w:val="0"/>
      <w:marTop w:val="0"/>
      <w:marBottom w:val="0"/>
      <w:divBdr>
        <w:top w:val="none" w:sz="0" w:space="0" w:color="auto"/>
        <w:left w:val="none" w:sz="0" w:space="0" w:color="auto"/>
        <w:bottom w:val="none" w:sz="0" w:space="0" w:color="auto"/>
        <w:right w:val="none" w:sz="0" w:space="0" w:color="auto"/>
      </w:divBdr>
    </w:div>
    <w:div w:id="375931492">
      <w:bodyDiv w:val="1"/>
      <w:marLeft w:val="0"/>
      <w:marRight w:val="0"/>
      <w:marTop w:val="0"/>
      <w:marBottom w:val="0"/>
      <w:divBdr>
        <w:top w:val="none" w:sz="0" w:space="0" w:color="auto"/>
        <w:left w:val="none" w:sz="0" w:space="0" w:color="auto"/>
        <w:bottom w:val="none" w:sz="0" w:space="0" w:color="auto"/>
        <w:right w:val="none" w:sz="0" w:space="0" w:color="auto"/>
      </w:divBdr>
    </w:div>
    <w:div w:id="381708270">
      <w:bodyDiv w:val="1"/>
      <w:marLeft w:val="0"/>
      <w:marRight w:val="0"/>
      <w:marTop w:val="0"/>
      <w:marBottom w:val="0"/>
      <w:divBdr>
        <w:top w:val="none" w:sz="0" w:space="0" w:color="auto"/>
        <w:left w:val="none" w:sz="0" w:space="0" w:color="auto"/>
        <w:bottom w:val="none" w:sz="0" w:space="0" w:color="auto"/>
        <w:right w:val="none" w:sz="0" w:space="0" w:color="auto"/>
      </w:divBdr>
    </w:div>
    <w:div w:id="384568620">
      <w:bodyDiv w:val="1"/>
      <w:marLeft w:val="0"/>
      <w:marRight w:val="0"/>
      <w:marTop w:val="0"/>
      <w:marBottom w:val="0"/>
      <w:divBdr>
        <w:top w:val="none" w:sz="0" w:space="0" w:color="auto"/>
        <w:left w:val="none" w:sz="0" w:space="0" w:color="auto"/>
        <w:bottom w:val="none" w:sz="0" w:space="0" w:color="auto"/>
        <w:right w:val="none" w:sz="0" w:space="0" w:color="auto"/>
      </w:divBdr>
    </w:div>
    <w:div w:id="388070498">
      <w:bodyDiv w:val="1"/>
      <w:marLeft w:val="0"/>
      <w:marRight w:val="0"/>
      <w:marTop w:val="0"/>
      <w:marBottom w:val="0"/>
      <w:divBdr>
        <w:top w:val="none" w:sz="0" w:space="0" w:color="auto"/>
        <w:left w:val="none" w:sz="0" w:space="0" w:color="auto"/>
        <w:bottom w:val="none" w:sz="0" w:space="0" w:color="auto"/>
        <w:right w:val="none" w:sz="0" w:space="0" w:color="auto"/>
      </w:divBdr>
    </w:div>
    <w:div w:id="388459156">
      <w:bodyDiv w:val="1"/>
      <w:marLeft w:val="0"/>
      <w:marRight w:val="0"/>
      <w:marTop w:val="0"/>
      <w:marBottom w:val="0"/>
      <w:divBdr>
        <w:top w:val="none" w:sz="0" w:space="0" w:color="auto"/>
        <w:left w:val="none" w:sz="0" w:space="0" w:color="auto"/>
        <w:bottom w:val="none" w:sz="0" w:space="0" w:color="auto"/>
        <w:right w:val="none" w:sz="0" w:space="0" w:color="auto"/>
      </w:divBdr>
    </w:div>
    <w:div w:id="388499017">
      <w:bodyDiv w:val="1"/>
      <w:marLeft w:val="0"/>
      <w:marRight w:val="0"/>
      <w:marTop w:val="0"/>
      <w:marBottom w:val="0"/>
      <w:divBdr>
        <w:top w:val="none" w:sz="0" w:space="0" w:color="auto"/>
        <w:left w:val="none" w:sz="0" w:space="0" w:color="auto"/>
        <w:bottom w:val="none" w:sz="0" w:space="0" w:color="auto"/>
        <w:right w:val="none" w:sz="0" w:space="0" w:color="auto"/>
      </w:divBdr>
    </w:div>
    <w:div w:id="389963719">
      <w:bodyDiv w:val="1"/>
      <w:marLeft w:val="0"/>
      <w:marRight w:val="0"/>
      <w:marTop w:val="0"/>
      <w:marBottom w:val="0"/>
      <w:divBdr>
        <w:top w:val="none" w:sz="0" w:space="0" w:color="auto"/>
        <w:left w:val="none" w:sz="0" w:space="0" w:color="auto"/>
        <w:bottom w:val="none" w:sz="0" w:space="0" w:color="auto"/>
        <w:right w:val="none" w:sz="0" w:space="0" w:color="auto"/>
      </w:divBdr>
    </w:div>
    <w:div w:id="392000656">
      <w:bodyDiv w:val="1"/>
      <w:marLeft w:val="0"/>
      <w:marRight w:val="0"/>
      <w:marTop w:val="0"/>
      <w:marBottom w:val="0"/>
      <w:divBdr>
        <w:top w:val="none" w:sz="0" w:space="0" w:color="auto"/>
        <w:left w:val="none" w:sz="0" w:space="0" w:color="auto"/>
        <w:bottom w:val="none" w:sz="0" w:space="0" w:color="auto"/>
        <w:right w:val="none" w:sz="0" w:space="0" w:color="auto"/>
      </w:divBdr>
    </w:div>
    <w:div w:id="392779558">
      <w:bodyDiv w:val="1"/>
      <w:marLeft w:val="0"/>
      <w:marRight w:val="0"/>
      <w:marTop w:val="0"/>
      <w:marBottom w:val="0"/>
      <w:divBdr>
        <w:top w:val="none" w:sz="0" w:space="0" w:color="auto"/>
        <w:left w:val="none" w:sz="0" w:space="0" w:color="auto"/>
        <w:bottom w:val="none" w:sz="0" w:space="0" w:color="auto"/>
        <w:right w:val="none" w:sz="0" w:space="0" w:color="auto"/>
      </w:divBdr>
    </w:div>
    <w:div w:id="394936164">
      <w:bodyDiv w:val="1"/>
      <w:marLeft w:val="0"/>
      <w:marRight w:val="0"/>
      <w:marTop w:val="0"/>
      <w:marBottom w:val="0"/>
      <w:divBdr>
        <w:top w:val="none" w:sz="0" w:space="0" w:color="auto"/>
        <w:left w:val="none" w:sz="0" w:space="0" w:color="auto"/>
        <w:bottom w:val="none" w:sz="0" w:space="0" w:color="auto"/>
        <w:right w:val="none" w:sz="0" w:space="0" w:color="auto"/>
      </w:divBdr>
    </w:div>
    <w:div w:id="395475282">
      <w:bodyDiv w:val="1"/>
      <w:marLeft w:val="0"/>
      <w:marRight w:val="0"/>
      <w:marTop w:val="0"/>
      <w:marBottom w:val="0"/>
      <w:divBdr>
        <w:top w:val="none" w:sz="0" w:space="0" w:color="auto"/>
        <w:left w:val="none" w:sz="0" w:space="0" w:color="auto"/>
        <w:bottom w:val="none" w:sz="0" w:space="0" w:color="auto"/>
        <w:right w:val="none" w:sz="0" w:space="0" w:color="auto"/>
      </w:divBdr>
    </w:div>
    <w:div w:id="396050080">
      <w:bodyDiv w:val="1"/>
      <w:marLeft w:val="0"/>
      <w:marRight w:val="0"/>
      <w:marTop w:val="0"/>
      <w:marBottom w:val="0"/>
      <w:divBdr>
        <w:top w:val="none" w:sz="0" w:space="0" w:color="auto"/>
        <w:left w:val="none" w:sz="0" w:space="0" w:color="auto"/>
        <w:bottom w:val="none" w:sz="0" w:space="0" w:color="auto"/>
        <w:right w:val="none" w:sz="0" w:space="0" w:color="auto"/>
      </w:divBdr>
    </w:div>
    <w:div w:id="396712525">
      <w:bodyDiv w:val="1"/>
      <w:marLeft w:val="0"/>
      <w:marRight w:val="0"/>
      <w:marTop w:val="0"/>
      <w:marBottom w:val="0"/>
      <w:divBdr>
        <w:top w:val="none" w:sz="0" w:space="0" w:color="auto"/>
        <w:left w:val="none" w:sz="0" w:space="0" w:color="auto"/>
        <w:bottom w:val="none" w:sz="0" w:space="0" w:color="auto"/>
        <w:right w:val="none" w:sz="0" w:space="0" w:color="auto"/>
      </w:divBdr>
    </w:div>
    <w:div w:id="400104844">
      <w:bodyDiv w:val="1"/>
      <w:marLeft w:val="0"/>
      <w:marRight w:val="0"/>
      <w:marTop w:val="0"/>
      <w:marBottom w:val="0"/>
      <w:divBdr>
        <w:top w:val="none" w:sz="0" w:space="0" w:color="auto"/>
        <w:left w:val="none" w:sz="0" w:space="0" w:color="auto"/>
        <w:bottom w:val="none" w:sz="0" w:space="0" w:color="auto"/>
        <w:right w:val="none" w:sz="0" w:space="0" w:color="auto"/>
      </w:divBdr>
    </w:div>
    <w:div w:id="400637513">
      <w:bodyDiv w:val="1"/>
      <w:marLeft w:val="0"/>
      <w:marRight w:val="0"/>
      <w:marTop w:val="0"/>
      <w:marBottom w:val="0"/>
      <w:divBdr>
        <w:top w:val="none" w:sz="0" w:space="0" w:color="auto"/>
        <w:left w:val="none" w:sz="0" w:space="0" w:color="auto"/>
        <w:bottom w:val="none" w:sz="0" w:space="0" w:color="auto"/>
        <w:right w:val="none" w:sz="0" w:space="0" w:color="auto"/>
      </w:divBdr>
    </w:div>
    <w:div w:id="409160681">
      <w:bodyDiv w:val="1"/>
      <w:marLeft w:val="0"/>
      <w:marRight w:val="0"/>
      <w:marTop w:val="0"/>
      <w:marBottom w:val="0"/>
      <w:divBdr>
        <w:top w:val="none" w:sz="0" w:space="0" w:color="auto"/>
        <w:left w:val="none" w:sz="0" w:space="0" w:color="auto"/>
        <w:bottom w:val="none" w:sz="0" w:space="0" w:color="auto"/>
        <w:right w:val="none" w:sz="0" w:space="0" w:color="auto"/>
      </w:divBdr>
    </w:div>
    <w:div w:id="412625589">
      <w:bodyDiv w:val="1"/>
      <w:marLeft w:val="0"/>
      <w:marRight w:val="0"/>
      <w:marTop w:val="0"/>
      <w:marBottom w:val="0"/>
      <w:divBdr>
        <w:top w:val="none" w:sz="0" w:space="0" w:color="auto"/>
        <w:left w:val="none" w:sz="0" w:space="0" w:color="auto"/>
        <w:bottom w:val="none" w:sz="0" w:space="0" w:color="auto"/>
        <w:right w:val="none" w:sz="0" w:space="0" w:color="auto"/>
      </w:divBdr>
    </w:div>
    <w:div w:id="413012860">
      <w:bodyDiv w:val="1"/>
      <w:marLeft w:val="0"/>
      <w:marRight w:val="0"/>
      <w:marTop w:val="0"/>
      <w:marBottom w:val="0"/>
      <w:divBdr>
        <w:top w:val="none" w:sz="0" w:space="0" w:color="auto"/>
        <w:left w:val="none" w:sz="0" w:space="0" w:color="auto"/>
        <w:bottom w:val="none" w:sz="0" w:space="0" w:color="auto"/>
        <w:right w:val="none" w:sz="0" w:space="0" w:color="auto"/>
      </w:divBdr>
    </w:div>
    <w:div w:id="413819581">
      <w:bodyDiv w:val="1"/>
      <w:marLeft w:val="0"/>
      <w:marRight w:val="0"/>
      <w:marTop w:val="0"/>
      <w:marBottom w:val="0"/>
      <w:divBdr>
        <w:top w:val="none" w:sz="0" w:space="0" w:color="auto"/>
        <w:left w:val="none" w:sz="0" w:space="0" w:color="auto"/>
        <w:bottom w:val="none" w:sz="0" w:space="0" w:color="auto"/>
        <w:right w:val="none" w:sz="0" w:space="0" w:color="auto"/>
      </w:divBdr>
    </w:div>
    <w:div w:id="417602779">
      <w:bodyDiv w:val="1"/>
      <w:marLeft w:val="0"/>
      <w:marRight w:val="0"/>
      <w:marTop w:val="0"/>
      <w:marBottom w:val="0"/>
      <w:divBdr>
        <w:top w:val="none" w:sz="0" w:space="0" w:color="auto"/>
        <w:left w:val="none" w:sz="0" w:space="0" w:color="auto"/>
        <w:bottom w:val="none" w:sz="0" w:space="0" w:color="auto"/>
        <w:right w:val="none" w:sz="0" w:space="0" w:color="auto"/>
      </w:divBdr>
    </w:div>
    <w:div w:id="418599982">
      <w:bodyDiv w:val="1"/>
      <w:marLeft w:val="0"/>
      <w:marRight w:val="0"/>
      <w:marTop w:val="0"/>
      <w:marBottom w:val="0"/>
      <w:divBdr>
        <w:top w:val="none" w:sz="0" w:space="0" w:color="auto"/>
        <w:left w:val="none" w:sz="0" w:space="0" w:color="auto"/>
        <w:bottom w:val="none" w:sz="0" w:space="0" w:color="auto"/>
        <w:right w:val="none" w:sz="0" w:space="0" w:color="auto"/>
      </w:divBdr>
    </w:div>
    <w:div w:id="420030055">
      <w:bodyDiv w:val="1"/>
      <w:marLeft w:val="0"/>
      <w:marRight w:val="0"/>
      <w:marTop w:val="0"/>
      <w:marBottom w:val="0"/>
      <w:divBdr>
        <w:top w:val="none" w:sz="0" w:space="0" w:color="auto"/>
        <w:left w:val="none" w:sz="0" w:space="0" w:color="auto"/>
        <w:bottom w:val="none" w:sz="0" w:space="0" w:color="auto"/>
        <w:right w:val="none" w:sz="0" w:space="0" w:color="auto"/>
      </w:divBdr>
    </w:div>
    <w:div w:id="423691131">
      <w:bodyDiv w:val="1"/>
      <w:marLeft w:val="0"/>
      <w:marRight w:val="0"/>
      <w:marTop w:val="0"/>
      <w:marBottom w:val="0"/>
      <w:divBdr>
        <w:top w:val="none" w:sz="0" w:space="0" w:color="auto"/>
        <w:left w:val="none" w:sz="0" w:space="0" w:color="auto"/>
        <w:bottom w:val="none" w:sz="0" w:space="0" w:color="auto"/>
        <w:right w:val="none" w:sz="0" w:space="0" w:color="auto"/>
      </w:divBdr>
    </w:div>
    <w:div w:id="425275005">
      <w:bodyDiv w:val="1"/>
      <w:marLeft w:val="0"/>
      <w:marRight w:val="0"/>
      <w:marTop w:val="0"/>
      <w:marBottom w:val="0"/>
      <w:divBdr>
        <w:top w:val="none" w:sz="0" w:space="0" w:color="auto"/>
        <w:left w:val="none" w:sz="0" w:space="0" w:color="auto"/>
        <w:bottom w:val="none" w:sz="0" w:space="0" w:color="auto"/>
        <w:right w:val="none" w:sz="0" w:space="0" w:color="auto"/>
      </w:divBdr>
    </w:div>
    <w:div w:id="429357057">
      <w:bodyDiv w:val="1"/>
      <w:marLeft w:val="0"/>
      <w:marRight w:val="0"/>
      <w:marTop w:val="0"/>
      <w:marBottom w:val="0"/>
      <w:divBdr>
        <w:top w:val="none" w:sz="0" w:space="0" w:color="auto"/>
        <w:left w:val="none" w:sz="0" w:space="0" w:color="auto"/>
        <w:bottom w:val="none" w:sz="0" w:space="0" w:color="auto"/>
        <w:right w:val="none" w:sz="0" w:space="0" w:color="auto"/>
      </w:divBdr>
    </w:div>
    <w:div w:id="430706875">
      <w:bodyDiv w:val="1"/>
      <w:marLeft w:val="0"/>
      <w:marRight w:val="0"/>
      <w:marTop w:val="0"/>
      <w:marBottom w:val="0"/>
      <w:divBdr>
        <w:top w:val="none" w:sz="0" w:space="0" w:color="auto"/>
        <w:left w:val="none" w:sz="0" w:space="0" w:color="auto"/>
        <w:bottom w:val="none" w:sz="0" w:space="0" w:color="auto"/>
        <w:right w:val="none" w:sz="0" w:space="0" w:color="auto"/>
      </w:divBdr>
    </w:div>
    <w:div w:id="438263366">
      <w:bodyDiv w:val="1"/>
      <w:marLeft w:val="0"/>
      <w:marRight w:val="0"/>
      <w:marTop w:val="0"/>
      <w:marBottom w:val="0"/>
      <w:divBdr>
        <w:top w:val="none" w:sz="0" w:space="0" w:color="auto"/>
        <w:left w:val="none" w:sz="0" w:space="0" w:color="auto"/>
        <w:bottom w:val="none" w:sz="0" w:space="0" w:color="auto"/>
        <w:right w:val="none" w:sz="0" w:space="0" w:color="auto"/>
      </w:divBdr>
    </w:div>
    <w:div w:id="440422667">
      <w:bodyDiv w:val="1"/>
      <w:marLeft w:val="0"/>
      <w:marRight w:val="0"/>
      <w:marTop w:val="0"/>
      <w:marBottom w:val="0"/>
      <w:divBdr>
        <w:top w:val="none" w:sz="0" w:space="0" w:color="auto"/>
        <w:left w:val="none" w:sz="0" w:space="0" w:color="auto"/>
        <w:bottom w:val="none" w:sz="0" w:space="0" w:color="auto"/>
        <w:right w:val="none" w:sz="0" w:space="0" w:color="auto"/>
      </w:divBdr>
    </w:div>
    <w:div w:id="440613936">
      <w:bodyDiv w:val="1"/>
      <w:marLeft w:val="0"/>
      <w:marRight w:val="0"/>
      <w:marTop w:val="0"/>
      <w:marBottom w:val="0"/>
      <w:divBdr>
        <w:top w:val="none" w:sz="0" w:space="0" w:color="auto"/>
        <w:left w:val="none" w:sz="0" w:space="0" w:color="auto"/>
        <w:bottom w:val="none" w:sz="0" w:space="0" w:color="auto"/>
        <w:right w:val="none" w:sz="0" w:space="0" w:color="auto"/>
      </w:divBdr>
    </w:div>
    <w:div w:id="443497662">
      <w:bodyDiv w:val="1"/>
      <w:marLeft w:val="0"/>
      <w:marRight w:val="0"/>
      <w:marTop w:val="0"/>
      <w:marBottom w:val="0"/>
      <w:divBdr>
        <w:top w:val="none" w:sz="0" w:space="0" w:color="auto"/>
        <w:left w:val="none" w:sz="0" w:space="0" w:color="auto"/>
        <w:bottom w:val="none" w:sz="0" w:space="0" w:color="auto"/>
        <w:right w:val="none" w:sz="0" w:space="0" w:color="auto"/>
      </w:divBdr>
    </w:div>
    <w:div w:id="447041665">
      <w:bodyDiv w:val="1"/>
      <w:marLeft w:val="0"/>
      <w:marRight w:val="0"/>
      <w:marTop w:val="0"/>
      <w:marBottom w:val="0"/>
      <w:divBdr>
        <w:top w:val="none" w:sz="0" w:space="0" w:color="auto"/>
        <w:left w:val="none" w:sz="0" w:space="0" w:color="auto"/>
        <w:bottom w:val="none" w:sz="0" w:space="0" w:color="auto"/>
        <w:right w:val="none" w:sz="0" w:space="0" w:color="auto"/>
      </w:divBdr>
    </w:div>
    <w:div w:id="449209144">
      <w:bodyDiv w:val="1"/>
      <w:marLeft w:val="0"/>
      <w:marRight w:val="0"/>
      <w:marTop w:val="0"/>
      <w:marBottom w:val="0"/>
      <w:divBdr>
        <w:top w:val="none" w:sz="0" w:space="0" w:color="auto"/>
        <w:left w:val="none" w:sz="0" w:space="0" w:color="auto"/>
        <w:bottom w:val="none" w:sz="0" w:space="0" w:color="auto"/>
        <w:right w:val="none" w:sz="0" w:space="0" w:color="auto"/>
      </w:divBdr>
    </w:div>
    <w:div w:id="464279796">
      <w:bodyDiv w:val="1"/>
      <w:marLeft w:val="0"/>
      <w:marRight w:val="0"/>
      <w:marTop w:val="0"/>
      <w:marBottom w:val="0"/>
      <w:divBdr>
        <w:top w:val="none" w:sz="0" w:space="0" w:color="auto"/>
        <w:left w:val="none" w:sz="0" w:space="0" w:color="auto"/>
        <w:bottom w:val="none" w:sz="0" w:space="0" w:color="auto"/>
        <w:right w:val="none" w:sz="0" w:space="0" w:color="auto"/>
      </w:divBdr>
    </w:div>
    <w:div w:id="467282898">
      <w:bodyDiv w:val="1"/>
      <w:marLeft w:val="0"/>
      <w:marRight w:val="0"/>
      <w:marTop w:val="0"/>
      <w:marBottom w:val="0"/>
      <w:divBdr>
        <w:top w:val="none" w:sz="0" w:space="0" w:color="auto"/>
        <w:left w:val="none" w:sz="0" w:space="0" w:color="auto"/>
        <w:bottom w:val="none" w:sz="0" w:space="0" w:color="auto"/>
        <w:right w:val="none" w:sz="0" w:space="0" w:color="auto"/>
      </w:divBdr>
    </w:div>
    <w:div w:id="468977259">
      <w:bodyDiv w:val="1"/>
      <w:marLeft w:val="0"/>
      <w:marRight w:val="0"/>
      <w:marTop w:val="0"/>
      <w:marBottom w:val="0"/>
      <w:divBdr>
        <w:top w:val="none" w:sz="0" w:space="0" w:color="auto"/>
        <w:left w:val="none" w:sz="0" w:space="0" w:color="auto"/>
        <w:bottom w:val="none" w:sz="0" w:space="0" w:color="auto"/>
        <w:right w:val="none" w:sz="0" w:space="0" w:color="auto"/>
      </w:divBdr>
    </w:div>
    <w:div w:id="471606547">
      <w:bodyDiv w:val="1"/>
      <w:marLeft w:val="0"/>
      <w:marRight w:val="0"/>
      <w:marTop w:val="0"/>
      <w:marBottom w:val="0"/>
      <w:divBdr>
        <w:top w:val="none" w:sz="0" w:space="0" w:color="auto"/>
        <w:left w:val="none" w:sz="0" w:space="0" w:color="auto"/>
        <w:bottom w:val="none" w:sz="0" w:space="0" w:color="auto"/>
        <w:right w:val="none" w:sz="0" w:space="0" w:color="auto"/>
      </w:divBdr>
    </w:div>
    <w:div w:id="482236681">
      <w:bodyDiv w:val="1"/>
      <w:marLeft w:val="0"/>
      <w:marRight w:val="0"/>
      <w:marTop w:val="0"/>
      <w:marBottom w:val="0"/>
      <w:divBdr>
        <w:top w:val="none" w:sz="0" w:space="0" w:color="auto"/>
        <w:left w:val="none" w:sz="0" w:space="0" w:color="auto"/>
        <w:bottom w:val="none" w:sz="0" w:space="0" w:color="auto"/>
        <w:right w:val="none" w:sz="0" w:space="0" w:color="auto"/>
      </w:divBdr>
    </w:div>
    <w:div w:id="484593982">
      <w:bodyDiv w:val="1"/>
      <w:marLeft w:val="0"/>
      <w:marRight w:val="0"/>
      <w:marTop w:val="0"/>
      <w:marBottom w:val="0"/>
      <w:divBdr>
        <w:top w:val="none" w:sz="0" w:space="0" w:color="auto"/>
        <w:left w:val="none" w:sz="0" w:space="0" w:color="auto"/>
        <w:bottom w:val="none" w:sz="0" w:space="0" w:color="auto"/>
        <w:right w:val="none" w:sz="0" w:space="0" w:color="auto"/>
      </w:divBdr>
    </w:div>
    <w:div w:id="488252929">
      <w:bodyDiv w:val="1"/>
      <w:marLeft w:val="0"/>
      <w:marRight w:val="0"/>
      <w:marTop w:val="0"/>
      <w:marBottom w:val="0"/>
      <w:divBdr>
        <w:top w:val="none" w:sz="0" w:space="0" w:color="auto"/>
        <w:left w:val="none" w:sz="0" w:space="0" w:color="auto"/>
        <w:bottom w:val="none" w:sz="0" w:space="0" w:color="auto"/>
        <w:right w:val="none" w:sz="0" w:space="0" w:color="auto"/>
      </w:divBdr>
    </w:div>
    <w:div w:id="491721640">
      <w:bodyDiv w:val="1"/>
      <w:marLeft w:val="0"/>
      <w:marRight w:val="0"/>
      <w:marTop w:val="0"/>
      <w:marBottom w:val="0"/>
      <w:divBdr>
        <w:top w:val="none" w:sz="0" w:space="0" w:color="auto"/>
        <w:left w:val="none" w:sz="0" w:space="0" w:color="auto"/>
        <w:bottom w:val="none" w:sz="0" w:space="0" w:color="auto"/>
        <w:right w:val="none" w:sz="0" w:space="0" w:color="auto"/>
      </w:divBdr>
    </w:div>
    <w:div w:id="498926502">
      <w:bodyDiv w:val="1"/>
      <w:marLeft w:val="0"/>
      <w:marRight w:val="0"/>
      <w:marTop w:val="0"/>
      <w:marBottom w:val="0"/>
      <w:divBdr>
        <w:top w:val="none" w:sz="0" w:space="0" w:color="auto"/>
        <w:left w:val="none" w:sz="0" w:space="0" w:color="auto"/>
        <w:bottom w:val="none" w:sz="0" w:space="0" w:color="auto"/>
        <w:right w:val="none" w:sz="0" w:space="0" w:color="auto"/>
      </w:divBdr>
    </w:div>
    <w:div w:id="503593676">
      <w:bodyDiv w:val="1"/>
      <w:marLeft w:val="0"/>
      <w:marRight w:val="0"/>
      <w:marTop w:val="0"/>
      <w:marBottom w:val="0"/>
      <w:divBdr>
        <w:top w:val="none" w:sz="0" w:space="0" w:color="auto"/>
        <w:left w:val="none" w:sz="0" w:space="0" w:color="auto"/>
        <w:bottom w:val="none" w:sz="0" w:space="0" w:color="auto"/>
        <w:right w:val="none" w:sz="0" w:space="0" w:color="auto"/>
      </w:divBdr>
    </w:div>
    <w:div w:id="504980416">
      <w:bodyDiv w:val="1"/>
      <w:marLeft w:val="0"/>
      <w:marRight w:val="0"/>
      <w:marTop w:val="0"/>
      <w:marBottom w:val="0"/>
      <w:divBdr>
        <w:top w:val="none" w:sz="0" w:space="0" w:color="auto"/>
        <w:left w:val="none" w:sz="0" w:space="0" w:color="auto"/>
        <w:bottom w:val="none" w:sz="0" w:space="0" w:color="auto"/>
        <w:right w:val="none" w:sz="0" w:space="0" w:color="auto"/>
      </w:divBdr>
    </w:div>
    <w:div w:id="514347821">
      <w:bodyDiv w:val="1"/>
      <w:marLeft w:val="0"/>
      <w:marRight w:val="0"/>
      <w:marTop w:val="0"/>
      <w:marBottom w:val="0"/>
      <w:divBdr>
        <w:top w:val="none" w:sz="0" w:space="0" w:color="auto"/>
        <w:left w:val="none" w:sz="0" w:space="0" w:color="auto"/>
        <w:bottom w:val="none" w:sz="0" w:space="0" w:color="auto"/>
        <w:right w:val="none" w:sz="0" w:space="0" w:color="auto"/>
      </w:divBdr>
    </w:div>
    <w:div w:id="518200293">
      <w:bodyDiv w:val="1"/>
      <w:marLeft w:val="0"/>
      <w:marRight w:val="0"/>
      <w:marTop w:val="0"/>
      <w:marBottom w:val="0"/>
      <w:divBdr>
        <w:top w:val="none" w:sz="0" w:space="0" w:color="auto"/>
        <w:left w:val="none" w:sz="0" w:space="0" w:color="auto"/>
        <w:bottom w:val="none" w:sz="0" w:space="0" w:color="auto"/>
        <w:right w:val="none" w:sz="0" w:space="0" w:color="auto"/>
      </w:divBdr>
    </w:div>
    <w:div w:id="522331591">
      <w:bodyDiv w:val="1"/>
      <w:marLeft w:val="0"/>
      <w:marRight w:val="0"/>
      <w:marTop w:val="0"/>
      <w:marBottom w:val="0"/>
      <w:divBdr>
        <w:top w:val="none" w:sz="0" w:space="0" w:color="auto"/>
        <w:left w:val="none" w:sz="0" w:space="0" w:color="auto"/>
        <w:bottom w:val="none" w:sz="0" w:space="0" w:color="auto"/>
        <w:right w:val="none" w:sz="0" w:space="0" w:color="auto"/>
      </w:divBdr>
    </w:div>
    <w:div w:id="522940942">
      <w:bodyDiv w:val="1"/>
      <w:marLeft w:val="0"/>
      <w:marRight w:val="0"/>
      <w:marTop w:val="0"/>
      <w:marBottom w:val="0"/>
      <w:divBdr>
        <w:top w:val="none" w:sz="0" w:space="0" w:color="auto"/>
        <w:left w:val="none" w:sz="0" w:space="0" w:color="auto"/>
        <w:bottom w:val="none" w:sz="0" w:space="0" w:color="auto"/>
        <w:right w:val="none" w:sz="0" w:space="0" w:color="auto"/>
      </w:divBdr>
    </w:div>
    <w:div w:id="538510281">
      <w:bodyDiv w:val="1"/>
      <w:marLeft w:val="0"/>
      <w:marRight w:val="0"/>
      <w:marTop w:val="0"/>
      <w:marBottom w:val="0"/>
      <w:divBdr>
        <w:top w:val="none" w:sz="0" w:space="0" w:color="auto"/>
        <w:left w:val="none" w:sz="0" w:space="0" w:color="auto"/>
        <w:bottom w:val="none" w:sz="0" w:space="0" w:color="auto"/>
        <w:right w:val="none" w:sz="0" w:space="0" w:color="auto"/>
      </w:divBdr>
    </w:div>
    <w:div w:id="540016694">
      <w:bodyDiv w:val="1"/>
      <w:marLeft w:val="0"/>
      <w:marRight w:val="0"/>
      <w:marTop w:val="0"/>
      <w:marBottom w:val="0"/>
      <w:divBdr>
        <w:top w:val="none" w:sz="0" w:space="0" w:color="auto"/>
        <w:left w:val="none" w:sz="0" w:space="0" w:color="auto"/>
        <w:bottom w:val="none" w:sz="0" w:space="0" w:color="auto"/>
        <w:right w:val="none" w:sz="0" w:space="0" w:color="auto"/>
      </w:divBdr>
    </w:div>
    <w:div w:id="540216133">
      <w:bodyDiv w:val="1"/>
      <w:marLeft w:val="0"/>
      <w:marRight w:val="0"/>
      <w:marTop w:val="0"/>
      <w:marBottom w:val="0"/>
      <w:divBdr>
        <w:top w:val="none" w:sz="0" w:space="0" w:color="auto"/>
        <w:left w:val="none" w:sz="0" w:space="0" w:color="auto"/>
        <w:bottom w:val="none" w:sz="0" w:space="0" w:color="auto"/>
        <w:right w:val="none" w:sz="0" w:space="0" w:color="auto"/>
      </w:divBdr>
    </w:div>
    <w:div w:id="544417015">
      <w:bodyDiv w:val="1"/>
      <w:marLeft w:val="0"/>
      <w:marRight w:val="0"/>
      <w:marTop w:val="0"/>
      <w:marBottom w:val="0"/>
      <w:divBdr>
        <w:top w:val="none" w:sz="0" w:space="0" w:color="auto"/>
        <w:left w:val="none" w:sz="0" w:space="0" w:color="auto"/>
        <w:bottom w:val="none" w:sz="0" w:space="0" w:color="auto"/>
        <w:right w:val="none" w:sz="0" w:space="0" w:color="auto"/>
      </w:divBdr>
    </w:div>
    <w:div w:id="544680265">
      <w:bodyDiv w:val="1"/>
      <w:marLeft w:val="0"/>
      <w:marRight w:val="0"/>
      <w:marTop w:val="0"/>
      <w:marBottom w:val="0"/>
      <w:divBdr>
        <w:top w:val="none" w:sz="0" w:space="0" w:color="auto"/>
        <w:left w:val="none" w:sz="0" w:space="0" w:color="auto"/>
        <w:bottom w:val="none" w:sz="0" w:space="0" w:color="auto"/>
        <w:right w:val="none" w:sz="0" w:space="0" w:color="auto"/>
      </w:divBdr>
    </w:div>
    <w:div w:id="547953658">
      <w:bodyDiv w:val="1"/>
      <w:marLeft w:val="0"/>
      <w:marRight w:val="0"/>
      <w:marTop w:val="0"/>
      <w:marBottom w:val="0"/>
      <w:divBdr>
        <w:top w:val="none" w:sz="0" w:space="0" w:color="auto"/>
        <w:left w:val="none" w:sz="0" w:space="0" w:color="auto"/>
        <w:bottom w:val="none" w:sz="0" w:space="0" w:color="auto"/>
        <w:right w:val="none" w:sz="0" w:space="0" w:color="auto"/>
      </w:divBdr>
    </w:div>
    <w:div w:id="549027420">
      <w:bodyDiv w:val="1"/>
      <w:marLeft w:val="0"/>
      <w:marRight w:val="0"/>
      <w:marTop w:val="0"/>
      <w:marBottom w:val="0"/>
      <w:divBdr>
        <w:top w:val="none" w:sz="0" w:space="0" w:color="auto"/>
        <w:left w:val="none" w:sz="0" w:space="0" w:color="auto"/>
        <w:bottom w:val="none" w:sz="0" w:space="0" w:color="auto"/>
        <w:right w:val="none" w:sz="0" w:space="0" w:color="auto"/>
      </w:divBdr>
    </w:div>
    <w:div w:id="552543667">
      <w:bodyDiv w:val="1"/>
      <w:marLeft w:val="0"/>
      <w:marRight w:val="0"/>
      <w:marTop w:val="0"/>
      <w:marBottom w:val="0"/>
      <w:divBdr>
        <w:top w:val="none" w:sz="0" w:space="0" w:color="auto"/>
        <w:left w:val="none" w:sz="0" w:space="0" w:color="auto"/>
        <w:bottom w:val="none" w:sz="0" w:space="0" w:color="auto"/>
        <w:right w:val="none" w:sz="0" w:space="0" w:color="auto"/>
      </w:divBdr>
    </w:div>
    <w:div w:id="554462825">
      <w:bodyDiv w:val="1"/>
      <w:marLeft w:val="0"/>
      <w:marRight w:val="0"/>
      <w:marTop w:val="0"/>
      <w:marBottom w:val="0"/>
      <w:divBdr>
        <w:top w:val="none" w:sz="0" w:space="0" w:color="auto"/>
        <w:left w:val="none" w:sz="0" w:space="0" w:color="auto"/>
        <w:bottom w:val="none" w:sz="0" w:space="0" w:color="auto"/>
        <w:right w:val="none" w:sz="0" w:space="0" w:color="auto"/>
      </w:divBdr>
    </w:div>
    <w:div w:id="555776851">
      <w:bodyDiv w:val="1"/>
      <w:marLeft w:val="0"/>
      <w:marRight w:val="0"/>
      <w:marTop w:val="0"/>
      <w:marBottom w:val="0"/>
      <w:divBdr>
        <w:top w:val="none" w:sz="0" w:space="0" w:color="auto"/>
        <w:left w:val="none" w:sz="0" w:space="0" w:color="auto"/>
        <w:bottom w:val="none" w:sz="0" w:space="0" w:color="auto"/>
        <w:right w:val="none" w:sz="0" w:space="0" w:color="auto"/>
      </w:divBdr>
    </w:div>
    <w:div w:id="555899017">
      <w:bodyDiv w:val="1"/>
      <w:marLeft w:val="0"/>
      <w:marRight w:val="0"/>
      <w:marTop w:val="0"/>
      <w:marBottom w:val="0"/>
      <w:divBdr>
        <w:top w:val="none" w:sz="0" w:space="0" w:color="auto"/>
        <w:left w:val="none" w:sz="0" w:space="0" w:color="auto"/>
        <w:bottom w:val="none" w:sz="0" w:space="0" w:color="auto"/>
        <w:right w:val="none" w:sz="0" w:space="0" w:color="auto"/>
      </w:divBdr>
    </w:div>
    <w:div w:id="559899581">
      <w:bodyDiv w:val="1"/>
      <w:marLeft w:val="0"/>
      <w:marRight w:val="0"/>
      <w:marTop w:val="0"/>
      <w:marBottom w:val="0"/>
      <w:divBdr>
        <w:top w:val="none" w:sz="0" w:space="0" w:color="auto"/>
        <w:left w:val="none" w:sz="0" w:space="0" w:color="auto"/>
        <w:bottom w:val="none" w:sz="0" w:space="0" w:color="auto"/>
        <w:right w:val="none" w:sz="0" w:space="0" w:color="auto"/>
      </w:divBdr>
    </w:div>
    <w:div w:id="559905390">
      <w:bodyDiv w:val="1"/>
      <w:marLeft w:val="0"/>
      <w:marRight w:val="0"/>
      <w:marTop w:val="0"/>
      <w:marBottom w:val="0"/>
      <w:divBdr>
        <w:top w:val="none" w:sz="0" w:space="0" w:color="auto"/>
        <w:left w:val="none" w:sz="0" w:space="0" w:color="auto"/>
        <w:bottom w:val="none" w:sz="0" w:space="0" w:color="auto"/>
        <w:right w:val="none" w:sz="0" w:space="0" w:color="auto"/>
      </w:divBdr>
    </w:div>
    <w:div w:id="560142659">
      <w:bodyDiv w:val="1"/>
      <w:marLeft w:val="0"/>
      <w:marRight w:val="0"/>
      <w:marTop w:val="0"/>
      <w:marBottom w:val="0"/>
      <w:divBdr>
        <w:top w:val="none" w:sz="0" w:space="0" w:color="auto"/>
        <w:left w:val="none" w:sz="0" w:space="0" w:color="auto"/>
        <w:bottom w:val="none" w:sz="0" w:space="0" w:color="auto"/>
        <w:right w:val="none" w:sz="0" w:space="0" w:color="auto"/>
      </w:divBdr>
    </w:div>
    <w:div w:id="561138194">
      <w:bodyDiv w:val="1"/>
      <w:marLeft w:val="0"/>
      <w:marRight w:val="0"/>
      <w:marTop w:val="0"/>
      <w:marBottom w:val="0"/>
      <w:divBdr>
        <w:top w:val="none" w:sz="0" w:space="0" w:color="auto"/>
        <w:left w:val="none" w:sz="0" w:space="0" w:color="auto"/>
        <w:bottom w:val="none" w:sz="0" w:space="0" w:color="auto"/>
        <w:right w:val="none" w:sz="0" w:space="0" w:color="auto"/>
      </w:divBdr>
    </w:div>
    <w:div w:id="563562098">
      <w:bodyDiv w:val="1"/>
      <w:marLeft w:val="0"/>
      <w:marRight w:val="0"/>
      <w:marTop w:val="0"/>
      <w:marBottom w:val="0"/>
      <w:divBdr>
        <w:top w:val="none" w:sz="0" w:space="0" w:color="auto"/>
        <w:left w:val="none" w:sz="0" w:space="0" w:color="auto"/>
        <w:bottom w:val="none" w:sz="0" w:space="0" w:color="auto"/>
        <w:right w:val="none" w:sz="0" w:space="0" w:color="auto"/>
      </w:divBdr>
    </w:div>
    <w:div w:id="564144018">
      <w:bodyDiv w:val="1"/>
      <w:marLeft w:val="0"/>
      <w:marRight w:val="0"/>
      <w:marTop w:val="0"/>
      <w:marBottom w:val="0"/>
      <w:divBdr>
        <w:top w:val="none" w:sz="0" w:space="0" w:color="auto"/>
        <w:left w:val="none" w:sz="0" w:space="0" w:color="auto"/>
        <w:bottom w:val="none" w:sz="0" w:space="0" w:color="auto"/>
        <w:right w:val="none" w:sz="0" w:space="0" w:color="auto"/>
      </w:divBdr>
    </w:div>
    <w:div w:id="567888870">
      <w:bodyDiv w:val="1"/>
      <w:marLeft w:val="0"/>
      <w:marRight w:val="0"/>
      <w:marTop w:val="0"/>
      <w:marBottom w:val="0"/>
      <w:divBdr>
        <w:top w:val="none" w:sz="0" w:space="0" w:color="auto"/>
        <w:left w:val="none" w:sz="0" w:space="0" w:color="auto"/>
        <w:bottom w:val="none" w:sz="0" w:space="0" w:color="auto"/>
        <w:right w:val="none" w:sz="0" w:space="0" w:color="auto"/>
      </w:divBdr>
    </w:div>
    <w:div w:id="571700233">
      <w:bodyDiv w:val="1"/>
      <w:marLeft w:val="0"/>
      <w:marRight w:val="0"/>
      <w:marTop w:val="0"/>
      <w:marBottom w:val="0"/>
      <w:divBdr>
        <w:top w:val="none" w:sz="0" w:space="0" w:color="auto"/>
        <w:left w:val="none" w:sz="0" w:space="0" w:color="auto"/>
        <w:bottom w:val="none" w:sz="0" w:space="0" w:color="auto"/>
        <w:right w:val="none" w:sz="0" w:space="0" w:color="auto"/>
      </w:divBdr>
    </w:div>
    <w:div w:id="571768565">
      <w:bodyDiv w:val="1"/>
      <w:marLeft w:val="0"/>
      <w:marRight w:val="0"/>
      <w:marTop w:val="0"/>
      <w:marBottom w:val="0"/>
      <w:divBdr>
        <w:top w:val="none" w:sz="0" w:space="0" w:color="auto"/>
        <w:left w:val="none" w:sz="0" w:space="0" w:color="auto"/>
        <w:bottom w:val="none" w:sz="0" w:space="0" w:color="auto"/>
        <w:right w:val="none" w:sz="0" w:space="0" w:color="auto"/>
      </w:divBdr>
    </w:div>
    <w:div w:id="578053316">
      <w:bodyDiv w:val="1"/>
      <w:marLeft w:val="0"/>
      <w:marRight w:val="0"/>
      <w:marTop w:val="0"/>
      <w:marBottom w:val="0"/>
      <w:divBdr>
        <w:top w:val="none" w:sz="0" w:space="0" w:color="auto"/>
        <w:left w:val="none" w:sz="0" w:space="0" w:color="auto"/>
        <w:bottom w:val="none" w:sz="0" w:space="0" w:color="auto"/>
        <w:right w:val="none" w:sz="0" w:space="0" w:color="auto"/>
      </w:divBdr>
    </w:div>
    <w:div w:id="580062174">
      <w:bodyDiv w:val="1"/>
      <w:marLeft w:val="0"/>
      <w:marRight w:val="0"/>
      <w:marTop w:val="0"/>
      <w:marBottom w:val="0"/>
      <w:divBdr>
        <w:top w:val="none" w:sz="0" w:space="0" w:color="auto"/>
        <w:left w:val="none" w:sz="0" w:space="0" w:color="auto"/>
        <w:bottom w:val="none" w:sz="0" w:space="0" w:color="auto"/>
        <w:right w:val="none" w:sz="0" w:space="0" w:color="auto"/>
      </w:divBdr>
    </w:div>
    <w:div w:id="581063161">
      <w:bodyDiv w:val="1"/>
      <w:marLeft w:val="0"/>
      <w:marRight w:val="0"/>
      <w:marTop w:val="0"/>
      <w:marBottom w:val="0"/>
      <w:divBdr>
        <w:top w:val="none" w:sz="0" w:space="0" w:color="auto"/>
        <w:left w:val="none" w:sz="0" w:space="0" w:color="auto"/>
        <w:bottom w:val="none" w:sz="0" w:space="0" w:color="auto"/>
        <w:right w:val="none" w:sz="0" w:space="0" w:color="auto"/>
      </w:divBdr>
    </w:div>
    <w:div w:id="584073374">
      <w:bodyDiv w:val="1"/>
      <w:marLeft w:val="0"/>
      <w:marRight w:val="0"/>
      <w:marTop w:val="0"/>
      <w:marBottom w:val="0"/>
      <w:divBdr>
        <w:top w:val="none" w:sz="0" w:space="0" w:color="auto"/>
        <w:left w:val="none" w:sz="0" w:space="0" w:color="auto"/>
        <w:bottom w:val="none" w:sz="0" w:space="0" w:color="auto"/>
        <w:right w:val="none" w:sz="0" w:space="0" w:color="auto"/>
      </w:divBdr>
    </w:div>
    <w:div w:id="590896329">
      <w:bodyDiv w:val="1"/>
      <w:marLeft w:val="0"/>
      <w:marRight w:val="0"/>
      <w:marTop w:val="0"/>
      <w:marBottom w:val="0"/>
      <w:divBdr>
        <w:top w:val="none" w:sz="0" w:space="0" w:color="auto"/>
        <w:left w:val="none" w:sz="0" w:space="0" w:color="auto"/>
        <w:bottom w:val="none" w:sz="0" w:space="0" w:color="auto"/>
        <w:right w:val="none" w:sz="0" w:space="0" w:color="auto"/>
      </w:divBdr>
    </w:div>
    <w:div w:id="593056690">
      <w:bodyDiv w:val="1"/>
      <w:marLeft w:val="0"/>
      <w:marRight w:val="0"/>
      <w:marTop w:val="0"/>
      <w:marBottom w:val="0"/>
      <w:divBdr>
        <w:top w:val="none" w:sz="0" w:space="0" w:color="auto"/>
        <w:left w:val="none" w:sz="0" w:space="0" w:color="auto"/>
        <w:bottom w:val="none" w:sz="0" w:space="0" w:color="auto"/>
        <w:right w:val="none" w:sz="0" w:space="0" w:color="auto"/>
      </w:divBdr>
    </w:div>
    <w:div w:id="593904276">
      <w:bodyDiv w:val="1"/>
      <w:marLeft w:val="0"/>
      <w:marRight w:val="0"/>
      <w:marTop w:val="0"/>
      <w:marBottom w:val="0"/>
      <w:divBdr>
        <w:top w:val="none" w:sz="0" w:space="0" w:color="auto"/>
        <w:left w:val="none" w:sz="0" w:space="0" w:color="auto"/>
        <w:bottom w:val="none" w:sz="0" w:space="0" w:color="auto"/>
        <w:right w:val="none" w:sz="0" w:space="0" w:color="auto"/>
      </w:divBdr>
    </w:div>
    <w:div w:id="595332896">
      <w:bodyDiv w:val="1"/>
      <w:marLeft w:val="0"/>
      <w:marRight w:val="0"/>
      <w:marTop w:val="0"/>
      <w:marBottom w:val="0"/>
      <w:divBdr>
        <w:top w:val="none" w:sz="0" w:space="0" w:color="auto"/>
        <w:left w:val="none" w:sz="0" w:space="0" w:color="auto"/>
        <w:bottom w:val="none" w:sz="0" w:space="0" w:color="auto"/>
        <w:right w:val="none" w:sz="0" w:space="0" w:color="auto"/>
      </w:divBdr>
    </w:div>
    <w:div w:id="596208052">
      <w:bodyDiv w:val="1"/>
      <w:marLeft w:val="0"/>
      <w:marRight w:val="0"/>
      <w:marTop w:val="0"/>
      <w:marBottom w:val="0"/>
      <w:divBdr>
        <w:top w:val="none" w:sz="0" w:space="0" w:color="auto"/>
        <w:left w:val="none" w:sz="0" w:space="0" w:color="auto"/>
        <w:bottom w:val="none" w:sz="0" w:space="0" w:color="auto"/>
        <w:right w:val="none" w:sz="0" w:space="0" w:color="auto"/>
      </w:divBdr>
    </w:div>
    <w:div w:id="597757639">
      <w:bodyDiv w:val="1"/>
      <w:marLeft w:val="0"/>
      <w:marRight w:val="0"/>
      <w:marTop w:val="0"/>
      <w:marBottom w:val="0"/>
      <w:divBdr>
        <w:top w:val="none" w:sz="0" w:space="0" w:color="auto"/>
        <w:left w:val="none" w:sz="0" w:space="0" w:color="auto"/>
        <w:bottom w:val="none" w:sz="0" w:space="0" w:color="auto"/>
        <w:right w:val="none" w:sz="0" w:space="0" w:color="auto"/>
      </w:divBdr>
    </w:div>
    <w:div w:id="605233281">
      <w:bodyDiv w:val="1"/>
      <w:marLeft w:val="0"/>
      <w:marRight w:val="0"/>
      <w:marTop w:val="0"/>
      <w:marBottom w:val="0"/>
      <w:divBdr>
        <w:top w:val="none" w:sz="0" w:space="0" w:color="auto"/>
        <w:left w:val="none" w:sz="0" w:space="0" w:color="auto"/>
        <w:bottom w:val="none" w:sz="0" w:space="0" w:color="auto"/>
        <w:right w:val="none" w:sz="0" w:space="0" w:color="auto"/>
      </w:divBdr>
    </w:div>
    <w:div w:id="612250190">
      <w:bodyDiv w:val="1"/>
      <w:marLeft w:val="0"/>
      <w:marRight w:val="0"/>
      <w:marTop w:val="0"/>
      <w:marBottom w:val="0"/>
      <w:divBdr>
        <w:top w:val="none" w:sz="0" w:space="0" w:color="auto"/>
        <w:left w:val="none" w:sz="0" w:space="0" w:color="auto"/>
        <w:bottom w:val="none" w:sz="0" w:space="0" w:color="auto"/>
        <w:right w:val="none" w:sz="0" w:space="0" w:color="auto"/>
      </w:divBdr>
    </w:div>
    <w:div w:id="627206464">
      <w:bodyDiv w:val="1"/>
      <w:marLeft w:val="0"/>
      <w:marRight w:val="0"/>
      <w:marTop w:val="0"/>
      <w:marBottom w:val="0"/>
      <w:divBdr>
        <w:top w:val="none" w:sz="0" w:space="0" w:color="auto"/>
        <w:left w:val="none" w:sz="0" w:space="0" w:color="auto"/>
        <w:bottom w:val="none" w:sz="0" w:space="0" w:color="auto"/>
        <w:right w:val="none" w:sz="0" w:space="0" w:color="auto"/>
      </w:divBdr>
    </w:div>
    <w:div w:id="630137954">
      <w:bodyDiv w:val="1"/>
      <w:marLeft w:val="0"/>
      <w:marRight w:val="0"/>
      <w:marTop w:val="0"/>
      <w:marBottom w:val="0"/>
      <w:divBdr>
        <w:top w:val="none" w:sz="0" w:space="0" w:color="auto"/>
        <w:left w:val="none" w:sz="0" w:space="0" w:color="auto"/>
        <w:bottom w:val="none" w:sz="0" w:space="0" w:color="auto"/>
        <w:right w:val="none" w:sz="0" w:space="0" w:color="auto"/>
      </w:divBdr>
    </w:div>
    <w:div w:id="639506769">
      <w:bodyDiv w:val="1"/>
      <w:marLeft w:val="0"/>
      <w:marRight w:val="0"/>
      <w:marTop w:val="0"/>
      <w:marBottom w:val="0"/>
      <w:divBdr>
        <w:top w:val="none" w:sz="0" w:space="0" w:color="auto"/>
        <w:left w:val="none" w:sz="0" w:space="0" w:color="auto"/>
        <w:bottom w:val="none" w:sz="0" w:space="0" w:color="auto"/>
        <w:right w:val="none" w:sz="0" w:space="0" w:color="auto"/>
      </w:divBdr>
    </w:div>
    <w:div w:id="650644943">
      <w:bodyDiv w:val="1"/>
      <w:marLeft w:val="0"/>
      <w:marRight w:val="0"/>
      <w:marTop w:val="0"/>
      <w:marBottom w:val="0"/>
      <w:divBdr>
        <w:top w:val="none" w:sz="0" w:space="0" w:color="auto"/>
        <w:left w:val="none" w:sz="0" w:space="0" w:color="auto"/>
        <w:bottom w:val="none" w:sz="0" w:space="0" w:color="auto"/>
        <w:right w:val="none" w:sz="0" w:space="0" w:color="auto"/>
      </w:divBdr>
    </w:div>
    <w:div w:id="655648781">
      <w:bodyDiv w:val="1"/>
      <w:marLeft w:val="0"/>
      <w:marRight w:val="0"/>
      <w:marTop w:val="0"/>
      <w:marBottom w:val="0"/>
      <w:divBdr>
        <w:top w:val="none" w:sz="0" w:space="0" w:color="auto"/>
        <w:left w:val="none" w:sz="0" w:space="0" w:color="auto"/>
        <w:bottom w:val="none" w:sz="0" w:space="0" w:color="auto"/>
        <w:right w:val="none" w:sz="0" w:space="0" w:color="auto"/>
      </w:divBdr>
    </w:div>
    <w:div w:id="667832812">
      <w:bodyDiv w:val="1"/>
      <w:marLeft w:val="0"/>
      <w:marRight w:val="0"/>
      <w:marTop w:val="0"/>
      <w:marBottom w:val="0"/>
      <w:divBdr>
        <w:top w:val="none" w:sz="0" w:space="0" w:color="auto"/>
        <w:left w:val="none" w:sz="0" w:space="0" w:color="auto"/>
        <w:bottom w:val="none" w:sz="0" w:space="0" w:color="auto"/>
        <w:right w:val="none" w:sz="0" w:space="0" w:color="auto"/>
      </w:divBdr>
    </w:div>
    <w:div w:id="676660293">
      <w:bodyDiv w:val="1"/>
      <w:marLeft w:val="0"/>
      <w:marRight w:val="0"/>
      <w:marTop w:val="0"/>
      <w:marBottom w:val="0"/>
      <w:divBdr>
        <w:top w:val="none" w:sz="0" w:space="0" w:color="auto"/>
        <w:left w:val="none" w:sz="0" w:space="0" w:color="auto"/>
        <w:bottom w:val="none" w:sz="0" w:space="0" w:color="auto"/>
        <w:right w:val="none" w:sz="0" w:space="0" w:color="auto"/>
      </w:divBdr>
    </w:div>
    <w:div w:id="688144828">
      <w:bodyDiv w:val="1"/>
      <w:marLeft w:val="0"/>
      <w:marRight w:val="0"/>
      <w:marTop w:val="0"/>
      <w:marBottom w:val="0"/>
      <w:divBdr>
        <w:top w:val="none" w:sz="0" w:space="0" w:color="auto"/>
        <w:left w:val="none" w:sz="0" w:space="0" w:color="auto"/>
        <w:bottom w:val="none" w:sz="0" w:space="0" w:color="auto"/>
        <w:right w:val="none" w:sz="0" w:space="0" w:color="auto"/>
      </w:divBdr>
    </w:div>
    <w:div w:id="688334481">
      <w:bodyDiv w:val="1"/>
      <w:marLeft w:val="0"/>
      <w:marRight w:val="0"/>
      <w:marTop w:val="0"/>
      <w:marBottom w:val="0"/>
      <w:divBdr>
        <w:top w:val="none" w:sz="0" w:space="0" w:color="auto"/>
        <w:left w:val="none" w:sz="0" w:space="0" w:color="auto"/>
        <w:bottom w:val="none" w:sz="0" w:space="0" w:color="auto"/>
        <w:right w:val="none" w:sz="0" w:space="0" w:color="auto"/>
      </w:divBdr>
    </w:div>
    <w:div w:id="699627076">
      <w:bodyDiv w:val="1"/>
      <w:marLeft w:val="0"/>
      <w:marRight w:val="0"/>
      <w:marTop w:val="0"/>
      <w:marBottom w:val="0"/>
      <w:divBdr>
        <w:top w:val="none" w:sz="0" w:space="0" w:color="auto"/>
        <w:left w:val="none" w:sz="0" w:space="0" w:color="auto"/>
        <w:bottom w:val="none" w:sz="0" w:space="0" w:color="auto"/>
        <w:right w:val="none" w:sz="0" w:space="0" w:color="auto"/>
      </w:divBdr>
    </w:div>
    <w:div w:id="702754709">
      <w:bodyDiv w:val="1"/>
      <w:marLeft w:val="0"/>
      <w:marRight w:val="0"/>
      <w:marTop w:val="0"/>
      <w:marBottom w:val="0"/>
      <w:divBdr>
        <w:top w:val="none" w:sz="0" w:space="0" w:color="auto"/>
        <w:left w:val="none" w:sz="0" w:space="0" w:color="auto"/>
        <w:bottom w:val="none" w:sz="0" w:space="0" w:color="auto"/>
        <w:right w:val="none" w:sz="0" w:space="0" w:color="auto"/>
      </w:divBdr>
    </w:div>
    <w:div w:id="706490873">
      <w:bodyDiv w:val="1"/>
      <w:marLeft w:val="0"/>
      <w:marRight w:val="0"/>
      <w:marTop w:val="0"/>
      <w:marBottom w:val="0"/>
      <w:divBdr>
        <w:top w:val="none" w:sz="0" w:space="0" w:color="auto"/>
        <w:left w:val="none" w:sz="0" w:space="0" w:color="auto"/>
        <w:bottom w:val="none" w:sz="0" w:space="0" w:color="auto"/>
        <w:right w:val="none" w:sz="0" w:space="0" w:color="auto"/>
      </w:divBdr>
    </w:div>
    <w:div w:id="706760638">
      <w:bodyDiv w:val="1"/>
      <w:marLeft w:val="0"/>
      <w:marRight w:val="0"/>
      <w:marTop w:val="0"/>
      <w:marBottom w:val="0"/>
      <w:divBdr>
        <w:top w:val="none" w:sz="0" w:space="0" w:color="auto"/>
        <w:left w:val="none" w:sz="0" w:space="0" w:color="auto"/>
        <w:bottom w:val="none" w:sz="0" w:space="0" w:color="auto"/>
        <w:right w:val="none" w:sz="0" w:space="0" w:color="auto"/>
      </w:divBdr>
    </w:div>
    <w:div w:id="708995587">
      <w:bodyDiv w:val="1"/>
      <w:marLeft w:val="0"/>
      <w:marRight w:val="0"/>
      <w:marTop w:val="0"/>
      <w:marBottom w:val="0"/>
      <w:divBdr>
        <w:top w:val="none" w:sz="0" w:space="0" w:color="auto"/>
        <w:left w:val="none" w:sz="0" w:space="0" w:color="auto"/>
        <w:bottom w:val="none" w:sz="0" w:space="0" w:color="auto"/>
        <w:right w:val="none" w:sz="0" w:space="0" w:color="auto"/>
      </w:divBdr>
    </w:div>
    <w:div w:id="712922972">
      <w:bodyDiv w:val="1"/>
      <w:marLeft w:val="0"/>
      <w:marRight w:val="0"/>
      <w:marTop w:val="0"/>
      <w:marBottom w:val="0"/>
      <w:divBdr>
        <w:top w:val="none" w:sz="0" w:space="0" w:color="auto"/>
        <w:left w:val="none" w:sz="0" w:space="0" w:color="auto"/>
        <w:bottom w:val="none" w:sz="0" w:space="0" w:color="auto"/>
        <w:right w:val="none" w:sz="0" w:space="0" w:color="auto"/>
      </w:divBdr>
    </w:div>
    <w:div w:id="713846489">
      <w:bodyDiv w:val="1"/>
      <w:marLeft w:val="0"/>
      <w:marRight w:val="0"/>
      <w:marTop w:val="0"/>
      <w:marBottom w:val="0"/>
      <w:divBdr>
        <w:top w:val="none" w:sz="0" w:space="0" w:color="auto"/>
        <w:left w:val="none" w:sz="0" w:space="0" w:color="auto"/>
        <w:bottom w:val="none" w:sz="0" w:space="0" w:color="auto"/>
        <w:right w:val="none" w:sz="0" w:space="0" w:color="auto"/>
      </w:divBdr>
    </w:div>
    <w:div w:id="716709468">
      <w:bodyDiv w:val="1"/>
      <w:marLeft w:val="0"/>
      <w:marRight w:val="0"/>
      <w:marTop w:val="0"/>
      <w:marBottom w:val="0"/>
      <w:divBdr>
        <w:top w:val="none" w:sz="0" w:space="0" w:color="auto"/>
        <w:left w:val="none" w:sz="0" w:space="0" w:color="auto"/>
        <w:bottom w:val="none" w:sz="0" w:space="0" w:color="auto"/>
        <w:right w:val="none" w:sz="0" w:space="0" w:color="auto"/>
      </w:divBdr>
    </w:div>
    <w:div w:id="726296865">
      <w:bodyDiv w:val="1"/>
      <w:marLeft w:val="0"/>
      <w:marRight w:val="0"/>
      <w:marTop w:val="0"/>
      <w:marBottom w:val="0"/>
      <w:divBdr>
        <w:top w:val="none" w:sz="0" w:space="0" w:color="auto"/>
        <w:left w:val="none" w:sz="0" w:space="0" w:color="auto"/>
        <w:bottom w:val="none" w:sz="0" w:space="0" w:color="auto"/>
        <w:right w:val="none" w:sz="0" w:space="0" w:color="auto"/>
      </w:divBdr>
    </w:div>
    <w:div w:id="730277447">
      <w:bodyDiv w:val="1"/>
      <w:marLeft w:val="0"/>
      <w:marRight w:val="0"/>
      <w:marTop w:val="0"/>
      <w:marBottom w:val="0"/>
      <w:divBdr>
        <w:top w:val="none" w:sz="0" w:space="0" w:color="auto"/>
        <w:left w:val="none" w:sz="0" w:space="0" w:color="auto"/>
        <w:bottom w:val="none" w:sz="0" w:space="0" w:color="auto"/>
        <w:right w:val="none" w:sz="0" w:space="0" w:color="auto"/>
      </w:divBdr>
    </w:div>
    <w:div w:id="736980871">
      <w:bodyDiv w:val="1"/>
      <w:marLeft w:val="0"/>
      <w:marRight w:val="0"/>
      <w:marTop w:val="0"/>
      <w:marBottom w:val="0"/>
      <w:divBdr>
        <w:top w:val="none" w:sz="0" w:space="0" w:color="auto"/>
        <w:left w:val="none" w:sz="0" w:space="0" w:color="auto"/>
        <w:bottom w:val="none" w:sz="0" w:space="0" w:color="auto"/>
        <w:right w:val="none" w:sz="0" w:space="0" w:color="auto"/>
      </w:divBdr>
    </w:div>
    <w:div w:id="737438693">
      <w:bodyDiv w:val="1"/>
      <w:marLeft w:val="0"/>
      <w:marRight w:val="0"/>
      <w:marTop w:val="0"/>
      <w:marBottom w:val="0"/>
      <w:divBdr>
        <w:top w:val="none" w:sz="0" w:space="0" w:color="auto"/>
        <w:left w:val="none" w:sz="0" w:space="0" w:color="auto"/>
        <w:bottom w:val="none" w:sz="0" w:space="0" w:color="auto"/>
        <w:right w:val="none" w:sz="0" w:space="0" w:color="auto"/>
      </w:divBdr>
    </w:div>
    <w:div w:id="745346073">
      <w:bodyDiv w:val="1"/>
      <w:marLeft w:val="0"/>
      <w:marRight w:val="0"/>
      <w:marTop w:val="0"/>
      <w:marBottom w:val="0"/>
      <w:divBdr>
        <w:top w:val="none" w:sz="0" w:space="0" w:color="auto"/>
        <w:left w:val="none" w:sz="0" w:space="0" w:color="auto"/>
        <w:bottom w:val="none" w:sz="0" w:space="0" w:color="auto"/>
        <w:right w:val="none" w:sz="0" w:space="0" w:color="auto"/>
      </w:divBdr>
    </w:div>
    <w:div w:id="748115990">
      <w:bodyDiv w:val="1"/>
      <w:marLeft w:val="0"/>
      <w:marRight w:val="0"/>
      <w:marTop w:val="0"/>
      <w:marBottom w:val="0"/>
      <w:divBdr>
        <w:top w:val="none" w:sz="0" w:space="0" w:color="auto"/>
        <w:left w:val="none" w:sz="0" w:space="0" w:color="auto"/>
        <w:bottom w:val="none" w:sz="0" w:space="0" w:color="auto"/>
        <w:right w:val="none" w:sz="0" w:space="0" w:color="auto"/>
      </w:divBdr>
    </w:div>
    <w:div w:id="750614945">
      <w:bodyDiv w:val="1"/>
      <w:marLeft w:val="0"/>
      <w:marRight w:val="0"/>
      <w:marTop w:val="0"/>
      <w:marBottom w:val="0"/>
      <w:divBdr>
        <w:top w:val="none" w:sz="0" w:space="0" w:color="auto"/>
        <w:left w:val="none" w:sz="0" w:space="0" w:color="auto"/>
        <w:bottom w:val="none" w:sz="0" w:space="0" w:color="auto"/>
        <w:right w:val="none" w:sz="0" w:space="0" w:color="auto"/>
      </w:divBdr>
    </w:div>
    <w:div w:id="750738545">
      <w:bodyDiv w:val="1"/>
      <w:marLeft w:val="0"/>
      <w:marRight w:val="0"/>
      <w:marTop w:val="0"/>
      <w:marBottom w:val="0"/>
      <w:divBdr>
        <w:top w:val="none" w:sz="0" w:space="0" w:color="auto"/>
        <w:left w:val="none" w:sz="0" w:space="0" w:color="auto"/>
        <w:bottom w:val="none" w:sz="0" w:space="0" w:color="auto"/>
        <w:right w:val="none" w:sz="0" w:space="0" w:color="auto"/>
      </w:divBdr>
    </w:div>
    <w:div w:id="751581750">
      <w:bodyDiv w:val="1"/>
      <w:marLeft w:val="0"/>
      <w:marRight w:val="0"/>
      <w:marTop w:val="0"/>
      <w:marBottom w:val="0"/>
      <w:divBdr>
        <w:top w:val="none" w:sz="0" w:space="0" w:color="auto"/>
        <w:left w:val="none" w:sz="0" w:space="0" w:color="auto"/>
        <w:bottom w:val="none" w:sz="0" w:space="0" w:color="auto"/>
        <w:right w:val="none" w:sz="0" w:space="0" w:color="auto"/>
      </w:divBdr>
    </w:div>
    <w:div w:id="754327457">
      <w:bodyDiv w:val="1"/>
      <w:marLeft w:val="0"/>
      <w:marRight w:val="0"/>
      <w:marTop w:val="0"/>
      <w:marBottom w:val="0"/>
      <w:divBdr>
        <w:top w:val="none" w:sz="0" w:space="0" w:color="auto"/>
        <w:left w:val="none" w:sz="0" w:space="0" w:color="auto"/>
        <w:bottom w:val="none" w:sz="0" w:space="0" w:color="auto"/>
        <w:right w:val="none" w:sz="0" w:space="0" w:color="auto"/>
      </w:divBdr>
    </w:div>
    <w:div w:id="754666439">
      <w:bodyDiv w:val="1"/>
      <w:marLeft w:val="0"/>
      <w:marRight w:val="0"/>
      <w:marTop w:val="0"/>
      <w:marBottom w:val="0"/>
      <w:divBdr>
        <w:top w:val="none" w:sz="0" w:space="0" w:color="auto"/>
        <w:left w:val="none" w:sz="0" w:space="0" w:color="auto"/>
        <w:bottom w:val="none" w:sz="0" w:space="0" w:color="auto"/>
        <w:right w:val="none" w:sz="0" w:space="0" w:color="auto"/>
      </w:divBdr>
    </w:div>
    <w:div w:id="758255698">
      <w:bodyDiv w:val="1"/>
      <w:marLeft w:val="0"/>
      <w:marRight w:val="0"/>
      <w:marTop w:val="0"/>
      <w:marBottom w:val="0"/>
      <w:divBdr>
        <w:top w:val="none" w:sz="0" w:space="0" w:color="auto"/>
        <w:left w:val="none" w:sz="0" w:space="0" w:color="auto"/>
        <w:bottom w:val="none" w:sz="0" w:space="0" w:color="auto"/>
        <w:right w:val="none" w:sz="0" w:space="0" w:color="auto"/>
      </w:divBdr>
    </w:div>
    <w:div w:id="758335887">
      <w:bodyDiv w:val="1"/>
      <w:marLeft w:val="0"/>
      <w:marRight w:val="0"/>
      <w:marTop w:val="0"/>
      <w:marBottom w:val="0"/>
      <w:divBdr>
        <w:top w:val="none" w:sz="0" w:space="0" w:color="auto"/>
        <w:left w:val="none" w:sz="0" w:space="0" w:color="auto"/>
        <w:bottom w:val="none" w:sz="0" w:space="0" w:color="auto"/>
        <w:right w:val="none" w:sz="0" w:space="0" w:color="auto"/>
      </w:divBdr>
    </w:div>
    <w:div w:id="761074882">
      <w:bodyDiv w:val="1"/>
      <w:marLeft w:val="0"/>
      <w:marRight w:val="0"/>
      <w:marTop w:val="0"/>
      <w:marBottom w:val="0"/>
      <w:divBdr>
        <w:top w:val="none" w:sz="0" w:space="0" w:color="auto"/>
        <w:left w:val="none" w:sz="0" w:space="0" w:color="auto"/>
        <w:bottom w:val="none" w:sz="0" w:space="0" w:color="auto"/>
        <w:right w:val="none" w:sz="0" w:space="0" w:color="auto"/>
      </w:divBdr>
    </w:div>
    <w:div w:id="768550117">
      <w:bodyDiv w:val="1"/>
      <w:marLeft w:val="0"/>
      <w:marRight w:val="0"/>
      <w:marTop w:val="0"/>
      <w:marBottom w:val="0"/>
      <w:divBdr>
        <w:top w:val="none" w:sz="0" w:space="0" w:color="auto"/>
        <w:left w:val="none" w:sz="0" w:space="0" w:color="auto"/>
        <w:bottom w:val="none" w:sz="0" w:space="0" w:color="auto"/>
        <w:right w:val="none" w:sz="0" w:space="0" w:color="auto"/>
      </w:divBdr>
    </w:div>
    <w:div w:id="770395752">
      <w:bodyDiv w:val="1"/>
      <w:marLeft w:val="0"/>
      <w:marRight w:val="0"/>
      <w:marTop w:val="0"/>
      <w:marBottom w:val="0"/>
      <w:divBdr>
        <w:top w:val="none" w:sz="0" w:space="0" w:color="auto"/>
        <w:left w:val="none" w:sz="0" w:space="0" w:color="auto"/>
        <w:bottom w:val="none" w:sz="0" w:space="0" w:color="auto"/>
        <w:right w:val="none" w:sz="0" w:space="0" w:color="auto"/>
      </w:divBdr>
    </w:div>
    <w:div w:id="782456484">
      <w:bodyDiv w:val="1"/>
      <w:marLeft w:val="0"/>
      <w:marRight w:val="0"/>
      <w:marTop w:val="0"/>
      <w:marBottom w:val="0"/>
      <w:divBdr>
        <w:top w:val="none" w:sz="0" w:space="0" w:color="auto"/>
        <w:left w:val="none" w:sz="0" w:space="0" w:color="auto"/>
        <w:bottom w:val="none" w:sz="0" w:space="0" w:color="auto"/>
        <w:right w:val="none" w:sz="0" w:space="0" w:color="auto"/>
      </w:divBdr>
    </w:div>
    <w:div w:id="783964081">
      <w:bodyDiv w:val="1"/>
      <w:marLeft w:val="0"/>
      <w:marRight w:val="0"/>
      <w:marTop w:val="0"/>
      <w:marBottom w:val="0"/>
      <w:divBdr>
        <w:top w:val="none" w:sz="0" w:space="0" w:color="auto"/>
        <w:left w:val="none" w:sz="0" w:space="0" w:color="auto"/>
        <w:bottom w:val="none" w:sz="0" w:space="0" w:color="auto"/>
        <w:right w:val="none" w:sz="0" w:space="0" w:color="auto"/>
      </w:divBdr>
    </w:div>
    <w:div w:id="787355613">
      <w:bodyDiv w:val="1"/>
      <w:marLeft w:val="0"/>
      <w:marRight w:val="0"/>
      <w:marTop w:val="0"/>
      <w:marBottom w:val="0"/>
      <w:divBdr>
        <w:top w:val="none" w:sz="0" w:space="0" w:color="auto"/>
        <w:left w:val="none" w:sz="0" w:space="0" w:color="auto"/>
        <w:bottom w:val="none" w:sz="0" w:space="0" w:color="auto"/>
        <w:right w:val="none" w:sz="0" w:space="0" w:color="auto"/>
      </w:divBdr>
    </w:div>
    <w:div w:id="793790218">
      <w:bodyDiv w:val="1"/>
      <w:marLeft w:val="0"/>
      <w:marRight w:val="0"/>
      <w:marTop w:val="0"/>
      <w:marBottom w:val="0"/>
      <w:divBdr>
        <w:top w:val="none" w:sz="0" w:space="0" w:color="auto"/>
        <w:left w:val="none" w:sz="0" w:space="0" w:color="auto"/>
        <w:bottom w:val="none" w:sz="0" w:space="0" w:color="auto"/>
        <w:right w:val="none" w:sz="0" w:space="0" w:color="auto"/>
      </w:divBdr>
    </w:div>
    <w:div w:id="794828984">
      <w:bodyDiv w:val="1"/>
      <w:marLeft w:val="0"/>
      <w:marRight w:val="0"/>
      <w:marTop w:val="0"/>
      <w:marBottom w:val="0"/>
      <w:divBdr>
        <w:top w:val="none" w:sz="0" w:space="0" w:color="auto"/>
        <w:left w:val="none" w:sz="0" w:space="0" w:color="auto"/>
        <w:bottom w:val="none" w:sz="0" w:space="0" w:color="auto"/>
        <w:right w:val="none" w:sz="0" w:space="0" w:color="auto"/>
      </w:divBdr>
    </w:div>
    <w:div w:id="794911004">
      <w:bodyDiv w:val="1"/>
      <w:marLeft w:val="0"/>
      <w:marRight w:val="0"/>
      <w:marTop w:val="0"/>
      <w:marBottom w:val="0"/>
      <w:divBdr>
        <w:top w:val="none" w:sz="0" w:space="0" w:color="auto"/>
        <w:left w:val="none" w:sz="0" w:space="0" w:color="auto"/>
        <w:bottom w:val="none" w:sz="0" w:space="0" w:color="auto"/>
        <w:right w:val="none" w:sz="0" w:space="0" w:color="auto"/>
      </w:divBdr>
    </w:div>
    <w:div w:id="796727130">
      <w:bodyDiv w:val="1"/>
      <w:marLeft w:val="0"/>
      <w:marRight w:val="0"/>
      <w:marTop w:val="0"/>
      <w:marBottom w:val="0"/>
      <w:divBdr>
        <w:top w:val="none" w:sz="0" w:space="0" w:color="auto"/>
        <w:left w:val="none" w:sz="0" w:space="0" w:color="auto"/>
        <w:bottom w:val="none" w:sz="0" w:space="0" w:color="auto"/>
        <w:right w:val="none" w:sz="0" w:space="0" w:color="auto"/>
      </w:divBdr>
    </w:div>
    <w:div w:id="799297519">
      <w:bodyDiv w:val="1"/>
      <w:marLeft w:val="0"/>
      <w:marRight w:val="0"/>
      <w:marTop w:val="0"/>
      <w:marBottom w:val="0"/>
      <w:divBdr>
        <w:top w:val="none" w:sz="0" w:space="0" w:color="auto"/>
        <w:left w:val="none" w:sz="0" w:space="0" w:color="auto"/>
        <w:bottom w:val="none" w:sz="0" w:space="0" w:color="auto"/>
        <w:right w:val="none" w:sz="0" w:space="0" w:color="auto"/>
      </w:divBdr>
    </w:div>
    <w:div w:id="800462405">
      <w:bodyDiv w:val="1"/>
      <w:marLeft w:val="0"/>
      <w:marRight w:val="0"/>
      <w:marTop w:val="0"/>
      <w:marBottom w:val="0"/>
      <w:divBdr>
        <w:top w:val="none" w:sz="0" w:space="0" w:color="auto"/>
        <w:left w:val="none" w:sz="0" w:space="0" w:color="auto"/>
        <w:bottom w:val="none" w:sz="0" w:space="0" w:color="auto"/>
        <w:right w:val="none" w:sz="0" w:space="0" w:color="auto"/>
      </w:divBdr>
    </w:div>
    <w:div w:id="802886983">
      <w:bodyDiv w:val="1"/>
      <w:marLeft w:val="0"/>
      <w:marRight w:val="0"/>
      <w:marTop w:val="0"/>
      <w:marBottom w:val="0"/>
      <w:divBdr>
        <w:top w:val="none" w:sz="0" w:space="0" w:color="auto"/>
        <w:left w:val="none" w:sz="0" w:space="0" w:color="auto"/>
        <w:bottom w:val="none" w:sz="0" w:space="0" w:color="auto"/>
        <w:right w:val="none" w:sz="0" w:space="0" w:color="auto"/>
      </w:divBdr>
    </w:div>
    <w:div w:id="803740881">
      <w:bodyDiv w:val="1"/>
      <w:marLeft w:val="0"/>
      <w:marRight w:val="0"/>
      <w:marTop w:val="0"/>
      <w:marBottom w:val="0"/>
      <w:divBdr>
        <w:top w:val="none" w:sz="0" w:space="0" w:color="auto"/>
        <w:left w:val="none" w:sz="0" w:space="0" w:color="auto"/>
        <w:bottom w:val="none" w:sz="0" w:space="0" w:color="auto"/>
        <w:right w:val="none" w:sz="0" w:space="0" w:color="auto"/>
      </w:divBdr>
    </w:div>
    <w:div w:id="807354971">
      <w:bodyDiv w:val="1"/>
      <w:marLeft w:val="0"/>
      <w:marRight w:val="0"/>
      <w:marTop w:val="0"/>
      <w:marBottom w:val="0"/>
      <w:divBdr>
        <w:top w:val="none" w:sz="0" w:space="0" w:color="auto"/>
        <w:left w:val="none" w:sz="0" w:space="0" w:color="auto"/>
        <w:bottom w:val="none" w:sz="0" w:space="0" w:color="auto"/>
        <w:right w:val="none" w:sz="0" w:space="0" w:color="auto"/>
      </w:divBdr>
    </w:div>
    <w:div w:id="818419952">
      <w:bodyDiv w:val="1"/>
      <w:marLeft w:val="0"/>
      <w:marRight w:val="0"/>
      <w:marTop w:val="0"/>
      <w:marBottom w:val="0"/>
      <w:divBdr>
        <w:top w:val="none" w:sz="0" w:space="0" w:color="auto"/>
        <w:left w:val="none" w:sz="0" w:space="0" w:color="auto"/>
        <w:bottom w:val="none" w:sz="0" w:space="0" w:color="auto"/>
        <w:right w:val="none" w:sz="0" w:space="0" w:color="auto"/>
      </w:divBdr>
    </w:div>
    <w:div w:id="820921681">
      <w:bodyDiv w:val="1"/>
      <w:marLeft w:val="0"/>
      <w:marRight w:val="0"/>
      <w:marTop w:val="0"/>
      <w:marBottom w:val="0"/>
      <w:divBdr>
        <w:top w:val="none" w:sz="0" w:space="0" w:color="auto"/>
        <w:left w:val="none" w:sz="0" w:space="0" w:color="auto"/>
        <w:bottom w:val="none" w:sz="0" w:space="0" w:color="auto"/>
        <w:right w:val="none" w:sz="0" w:space="0" w:color="auto"/>
      </w:divBdr>
    </w:div>
    <w:div w:id="825631900">
      <w:bodyDiv w:val="1"/>
      <w:marLeft w:val="0"/>
      <w:marRight w:val="0"/>
      <w:marTop w:val="0"/>
      <w:marBottom w:val="0"/>
      <w:divBdr>
        <w:top w:val="none" w:sz="0" w:space="0" w:color="auto"/>
        <w:left w:val="none" w:sz="0" w:space="0" w:color="auto"/>
        <w:bottom w:val="none" w:sz="0" w:space="0" w:color="auto"/>
        <w:right w:val="none" w:sz="0" w:space="0" w:color="auto"/>
      </w:divBdr>
    </w:div>
    <w:div w:id="835658214">
      <w:bodyDiv w:val="1"/>
      <w:marLeft w:val="0"/>
      <w:marRight w:val="0"/>
      <w:marTop w:val="0"/>
      <w:marBottom w:val="0"/>
      <w:divBdr>
        <w:top w:val="none" w:sz="0" w:space="0" w:color="auto"/>
        <w:left w:val="none" w:sz="0" w:space="0" w:color="auto"/>
        <w:bottom w:val="none" w:sz="0" w:space="0" w:color="auto"/>
        <w:right w:val="none" w:sz="0" w:space="0" w:color="auto"/>
      </w:divBdr>
    </w:div>
    <w:div w:id="836924041">
      <w:bodyDiv w:val="1"/>
      <w:marLeft w:val="0"/>
      <w:marRight w:val="0"/>
      <w:marTop w:val="0"/>
      <w:marBottom w:val="0"/>
      <w:divBdr>
        <w:top w:val="none" w:sz="0" w:space="0" w:color="auto"/>
        <w:left w:val="none" w:sz="0" w:space="0" w:color="auto"/>
        <w:bottom w:val="none" w:sz="0" w:space="0" w:color="auto"/>
        <w:right w:val="none" w:sz="0" w:space="0" w:color="auto"/>
      </w:divBdr>
    </w:div>
    <w:div w:id="841820616">
      <w:bodyDiv w:val="1"/>
      <w:marLeft w:val="0"/>
      <w:marRight w:val="0"/>
      <w:marTop w:val="0"/>
      <w:marBottom w:val="0"/>
      <w:divBdr>
        <w:top w:val="none" w:sz="0" w:space="0" w:color="auto"/>
        <w:left w:val="none" w:sz="0" w:space="0" w:color="auto"/>
        <w:bottom w:val="none" w:sz="0" w:space="0" w:color="auto"/>
        <w:right w:val="none" w:sz="0" w:space="0" w:color="auto"/>
      </w:divBdr>
    </w:div>
    <w:div w:id="847913429">
      <w:bodyDiv w:val="1"/>
      <w:marLeft w:val="0"/>
      <w:marRight w:val="0"/>
      <w:marTop w:val="0"/>
      <w:marBottom w:val="0"/>
      <w:divBdr>
        <w:top w:val="none" w:sz="0" w:space="0" w:color="auto"/>
        <w:left w:val="none" w:sz="0" w:space="0" w:color="auto"/>
        <w:bottom w:val="none" w:sz="0" w:space="0" w:color="auto"/>
        <w:right w:val="none" w:sz="0" w:space="0" w:color="auto"/>
      </w:divBdr>
    </w:div>
    <w:div w:id="848451132">
      <w:bodyDiv w:val="1"/>
      <w:marLeft w:val="0"/>
      <w:marRight w:val="0"/>
      <w:marTop w:val="0"/>
      <w:marBottom w:val="0"/>
      <w:divBdr>
        <w:top w:val="none" w:sz="0" w:space="0" w:color="auto"/>
        <w:left w:val="none" w:sz="0" w:space="0" w:color="auto"/>
        <w:bottom w:val="none" w:sz="0" w:space="0" w:color="auto"/>
        <w:right w:val="none" w:sz="0" w:space="0" w:color="auto"/>
      </w:divBdr>
    </w:div>
    <w:div w:id="849174732">
      <w:bodyDiv w:val="1"/>
      <w:marLeft w:val="0"/>
      <w:marRight w:val="0"/>
      <w:marTop w:val="0"/>
      <w:marBottom w:val="0"/>
      <w:divBdr>
        <w:top w:val="none" w:sz="0" w:space="0" w:color="auto"/>
        <w:left w:val="none" w:sz="0" w:space="0" w:color="auto"/>
        <w:bottom w:val="none" w:sz="0" w:space="0" w:color="auto"/>
        <w:right w:val="none" w:sz="0" w:space="0" w:color="auto"/>
      </w:divBdr>
    </w:div>
    <w:div w:id="852914897">
      <w:bodyDiv w:val="1"/>
      <w:marLeft w:val="0"/>
      <w:marRight w:val="0"/>
      <w:marTop w:val="0"/>
      <w:marBottom w:val="0"/>
      <w:divBdr>
        <w:top w:val="none" w:sz="0" w:space="0" w:color="auto"/>
        <w:left w:val="none" w:sz="0" w:space="0" w:color="auto"/>
        <w:bottom w:val="none" w:sz="0" w:space="0" w:color="auto"/>
        <w:right w:val="none" w:sz="0" w:space="0" w:color="auto"/>
      </w:divBdr>
    </w:div>
    <w:div w:id="852961883">
      <w:bodyDiv w:val="1"/>
      <w:marLeft w:val="0"/>
      <w:marRight w:val="0"/>
      <w:marTop w:val="0"/>
      <w:marBottom w:val="0"/>
      <w:divBdr>
        <w:top w:val="none" w:sz="0" w:space="0" w:color="auto"/>
        <w:left w:val="none" w:sz="0" w:space="0" w:color="auto"/>
        <w:bottom w:val="none" w:sz="0" w:space="0" w:color="auto"/>
        <w:right w:val="none" w:sz="0" w:space="0" w:color="auto"/>
      </w:divBdr>
    </w:div>
    <w:div w:id="855315536">
      <w:bodyDiv w:val="1"/>
      <w:marLeft w:val="0"/>
      <w:marRight w:val="0"/>
      <w:marTop w:val="0"/>
      <w:marBottom w:val="0"/>
      <w:divBdr>
        <w:top w:val="none" w:sz="0" w:space="0" w:color="auto"/>
        <w:left w:val="none" w:sz="0" w:space="0" w:color="auto"/>
        <w:bottom w:val="none" w:sz="0" w:space="0" w:color="auto"/>
        <w:right w:val="none" w:sz="0" w:space="0" w:color="auto"/>
      </w:divBdr>
    </w:div>
    <w:div w:id="859776806">
      <w:bodyDiv w:val="1"/>
      <w:marLeft w:val="0"/>
      <w:marRight w:val="0"/>
      <w:marTop w:val="0"/>
      <w:marBottom w:val="0"/>
      <w:divBdr>
        <w:top w:val="none" w:sz="0" w:space="0" w:color="auto"/>
        <w:left w:val="none" w:sz="0" w:space="0" w:color="auto"/>
        <w:bottom w:val="none" w:sz="0" w:space="0" w:color="auto"/>
        <w:right w:val="none" w:sz="0" w:space="0" w:color="auto"/>
      </w:divBdr>
    </w:div>
    <w:div w:id="860124702">
      <w:bodyDiv w:val="1"/>
      <w:marLeft w:val="0"/>
      <w:marRight w:val="0"/>
      <w:marTop w:val="0"/>
      <w:marBottom w:val="0"/>
      <w:divBdr>
        <w:top w:val="none" w:sz="0" w:space="0" w:color="auto"/>
        <w:left w:val="none" w:sz="0" w:space="0" w:color="auto"/>
        <w:bottom w:val="none" w:sz="0" w:space="0" w:color="auto"/>
        <w:right w:val="none" w:sz="0" w:space="0" w:color="auto"/>
      </w:divBdr>
    </w:div>
    <w:div w:id="879976062">
      <w:bodyDiv w:val="1"/>
      <w:marLeft w:val="0"/>
      <w:marRight w:val="0"/>
      <w:marTop w:val="0"/>
      <w:marBottom w:val="0"/>
      <w:divBdr>
        <w:top w:val="none" w:sz="0" w:space="0" w:color="auto"/>
        <w:left w:val="none" w:sz="0" w:space="0" w:color="auto"/>
        <w:bottom w:val="none" w:sz="0" w:space="0" w:color="auto"/>
        <w:right w:val="none" w:sz="0" w:space="0" w:color="auto"/>
      </w:divBdr>
    </w:div>
    <w:div w:id="881329371">
      <w:bodyDiv w:val="1"/>
      <w:marLeft w:val="0"/>
      <w:marRight w:val="0"/>
      <w:marTop w:val="0"/>
      <w:marBottom w:val="0"/>
      <w:divBdr>
        <w:top w:val="none" w:sz="0" w:space="0" w:color="auto"/>
        <w:left w:val="none" w:sz="0" w:space="0" w:color="auto"/>
        <w:bottom w:val="none" w:sz="0" w:space="0" w:color="auto"/>
        <w:right w:val="none" w:sz="0" w:space="0" w:color="auto"/>
      </w:divBdr>
    </w:div>
    <w:div w:id="896816756">
      <w:bodyDiv w:val="1"/>
      <w:marLeft w:val="0"/>
      <w:marRight w:val="0"/>
      <w:marTop w:val="0"/>
      <w:marBottom w:val="0"/>
      <w:divBdr>
        <w:top w:val="none" w:sz="0" w:space="0" w:color="auto"/>
        <w:left w:val="none" w:sz="0" w:space="0" w:color="auto"/>
        <w:bottom w:val="none" w:sz="0" w:space="0" w:color="auto"/>
        <w:right w:val="none" w:sz="0" w:space="0" w:color="auto"/>
      </w:divBdr>
    </w:div>
    <w:div w:id="897284351">
      <w:bodyDiv w:val="1"/>
      <w:marLeft w:val="0"/>
      <w:marRight w:val="0"/>
      <w:marTop w:val="0"/>
      <w:marBottom w:val="0"/>
      <w:divBdr>
        <w:top w:val="none" w:sz="0" w:space="0" w:color="auto"/>
        <w:left w:val="none" w:sz="0" w:space="0" w:color="auto"/>
        <w:bottom w:val="none" w:sz="0" w:space="0" w:color="auto"/>
        <w:right w:val="none" w:sz="0" w:space="0" w:color="auto"/>
      </w:divBdr>
    </w:div>
    <w:div w:id="900289938">
      <w:bodyDiv w:val="1"/>
      <w:marLeft w:val="0"/>
      <w:marRight w:val="0"/>
      <w:marTop w:val="0"/>
      <w:marBottom w:val="0"/>
      <w:divBdr>
        <w:top w:val="none" w:sz="0" w:space="0" w:color="auto"/>
        <w:left w:val="none" w:sz="0" w:space="0" w:color="auto"/>
        <w:bottom w:val="none" w:sz="0" w:space="0" w:color="auto"/>
        <w:right w:val="none" w:sz="0" w:space="0" w:color="auto"/>
      </w:divBdr>
    </w:div>
    <w:div w:id="913006118">
      <w:bodyDiv w:val="1"/>
      <w:marLeft w:val="0"/>
      <w:marRight w:val="0"/>
      <w:marTop w:val="0"/>
      <w:marBottom w:val="0"/>
      <w:divBdr>
        <w:top w:val="none" w:sz="0" w:space="0" w:color="auto"/>
        <w:left w:val="none" w:sz="0" w:space="0" w:color="auto"/>
        <w:bottom w:val="none" w:sz="0" w:space="0" w:color="auto"/>
        <w:right w:val="none" w:sz="0" w:space="0" w:color="auto"/>
      </w:divBdr>
    </w:div>
    <w:div w:id="918322861">
      <w:bodyDiv w:val="1"/>
      <w:marLeft w:val="0"/>
      <w:marRight w:val="0"/>
      <w:marTop w:val="0"/>
      <w:marBottom w:val="0"/>
      <w:divBdr>
        <w:top w:val="none" w:sz="0" w:space="0" w:color="auto"/>
        <w:left w:val="none" w:sz="0" w:space="0" w:color="auto"/>
        <w:bottom w:val="none" w:sz="0" w:space="0" w:color="auto"/>
        <w:right w:val="none" w:sz="0" w:space="0" w:color="auto"/>
      </w:divBdr>
    </w:div>
    <w:div w:id="923880168">
      <w:bodyDiv w:val="1"/>
      <w:marLeft w:val="0"/>
      <w:marRight w:val="0"/>
      <w:marTop w:val="0"/>
      <w:marBottom w:val="0"/>
      <w:divBdr>
        <w:top w:val="none" w:sz="0" w:space="0" w:color="auto"/>
        <w:left w:val="none" w:sz="0" w:space="0" w:color="auto"/>
        <w:bottom w:val="none" w:sz="0" w:space="0" w:color="auto"/>
        <w:right w:val="none" w:sz="0" w:space="0" w:color="auto"/>
      </w:divBdr>
    </w:div>
    <w:div w:id="927156339">
      <w:bodyDiv w:val="1"/>
      <w:marLeft w:val="0"/>
      <w:marRight w:val="0"/>
      <w:marTop w:val="0"/>
      <w:marBottom w:val="0"/>
      <w:divBdr>
        <w:top w:val="none" w:sz="0" w:space="0" w:color="auto"/>
        <w:left w:val="none" w:sz="0" w:space="0" w:color="auto"/>
        <w:bottom w:val="none" w:sz="0" w:space="0" w:color="auto"/>
        <w:right w:val="none" w:sz="0" w:space="0" w:color="auto"/>
      </w:divBdr>
    </w:div>
    <w:div w:id="930503048">
      <w:bodyDiv w:val="1"/>
      <w:marLeft w:val="0"/>
      <w:marRight w:val="0"/>
      <w:marTop w:val="0"/>
      <w:marBottom w:val="0"/>
      <w:divBdr>
        <w:top w:val="none" w:sz="0" w:space="0" w:color="auto"/>
        <w:left w:val="none" w:sz="0" w:space="0" w:color="auto"/>
        <w:bottom w:val="none" w:sz="0" w:space="0" w:color="auto"/>
        <w:right w:val="none" w:sz="0" w:space="0" w:color="auto"/>
      </w:divBdr>
    </w:div>
    <w:div w:id="931858903">
      <w:bodyDiv w:val="1"/>
      <w:marLeft w:val="0"/>
      <w:marRight w:val="0"/>
      <w:marTop w:val="0"/>
      <w:marBottom w:val="0"/>
      <w:divBdr>
        <w:top w:val="none" w:sz="0" w:space="0" w:color="auto"/>
        <w:left w:val="none" w:sz="0" w:space="0" w:color="auto"/>
        <w:bottom w:val="none" w:sz="0" w:space="0" w:color="auto"/>
        <w:right w:val="none" w:sz="0" w:space="0" w:color="auto"/>
      </w:divBdr>
    </w:div>
    <w:div w:id="934747964">
      <w:bodyDiv w:val="1"/>
      <w:marLeft w:val="0"/>
      <w:marRight w:val="0"/>
      <w:marTop w:val="0"/>
      <w:marBottom w:val="0"/>
      <w:divBdr>
        <w:top w:val="none" w:sz="0" w:space="0" w:color="auto"/>
        <w:left w:val="none" w:sz="0" w:space="0" w:color="auto"/>
        <w:bottom w:val="none" w:sz="0" w:space="0" w:color="auto"/>
        <w:right w:val="none" w:sz="0" w:space="0" w:color="auto"/>
      </w:divBdr>
    </w:div>
    <w:div w:id="935551233">
      <w:bodyDiv w:val="1"/>
      <w:marLeft w:val="0"/>
      <w:marRight w:val="0"/>
      <w:marTop w:val="0"/>
      <w:marBottom w:val="0"/>
      <w:divBdr>
        <w:top w:val="none" w:sz="0" w:space="0" w:color="auto"/>
        <w:left w:val="none" w:sz="0" w:space="0" w:color="auto"/>
        <w:bottom w:val="none" w:sz="0" w:space="0" w:color="auto"/>
        <w:right w:val="none" w:sz="0" w:space="0" w:color="auto"/>
      </w:divBdr>
    </w:div>
    <w:div w:id="936212474">
      <w:bodyDiv w:val="1"/>
      <w:marLeft w:val="0"/>
      <w:marRight w:val="0"/>
      <w:marTop w:val="0"/>
      <w:marBottom w:val="0"/>
      <w:divBdr>
        <w:top w:val="none" w:sz="0" w:space="0" w:color="auto"/>
        <w:left w:val="none" w:sz="0" w:space="0" w:color="auto"/>
        <w:bottom w:val="none" w:sz="0" w:space="0" w:color="auto"/>
        <w:right w:val="none" w:sz="0" w:space="0" w:color="auto"/>
      </w:divBdr>
    </w:div>
    <w:div w:id="936518072">
      <w:bodyDiv w:val="1"/>
      <w:marLeft w:val="0"/>
      <w:marRight w:val="0"/>
      <w:marTop w:val="0"/>
      <w:marBottom w:val="0"/>
      <w:divBdr>
        <w:top w:val="none" w:sz="0" w:space="0" w:color="auto"/>
        <w:left w:val="none" w:sz="0" w:space="0" w:color="auto"/>
        <w:bottom w:val="none" w:sz="0" w:space="0" w:color="auto"/>
        <w:right w:val="none" w:sz="0" w:space="0" w:color="auto"/>
      </w:divBdr>
    </w:div>
    <w:div w:id="936787357">
      <w:bodyDiv w:val="1"/>
      <w:marLeft w:val="0"/>
      <w:marRight w:val="0"/>
      <w:marTop w:val="0"/>
      <w:marBottom w:val="0"/>
      <w:divBdr>
        <w:top w:val="none" w:sz="0" w:space="0" w:color="auto"/>
        <w:left w:val="none" w:sz="0" w:space="0" w:color="auto"/>
        <w:bottom w:val="none" w:sz="0" w:space="0" w:color="auto"/>
        <w:right w:val="none" w:sz="0" w:space="0" w:color="auto"/>
      </w:divBdr>
    </w:div>
    <w:div w:id="942154895">
      <w:bodyDiv w:val="1"/>
      <w:marLeft w:val="0"/>
      <w:marRight w:val="0"/>
      <w:marTop w:val="0"/>
      <w:marBottom w:val="0"/>
      <w:divBdr>
        <w:top w:val="none" w:sz="0" w:space="0" w:color="auto"/>
        <w:left w:val="none" w:sz="0" w:space="0" w:color="auto"/>
        <w:bottom w:val="none" w:sz="0" w:space="0" w:color="auto"/>
        <w:right w:val="none" w:sz="0" w:space="0" w:color="auto"/>
      </w:divBdr>
    </w:div>
    <w:div w:id="942614071">
      <w:bodyDiv w:val="1"/>
      <w:marLeft w:val="0"/>
      <w:marRight w:val="0"/>
      <w:marTop w:val="0"/>
      <w:marBottom w:val="0"/>
      <w:divBdr>
        <w:top w:val="none" w:sz="0" w:space="0" w:color="auto"/>
        <w:left w:val="none" w:sz="0" w:space="0" w:color="auto"/>
        <w:bottom w:val="none" w:sz="0" w:space="0" w:color="auto"/>
        <w:right w:val="none" w:sz="0" w:space="0" w:color="auto"/>
      </w:divBdr>
    </w:div>
    <w:div w:id="944264656">
      <w:bodyDiv w:val="1"/>
      <w:marLeft w:val="0"/>
      <w:marRight w:val="0"/>
      <w:marTop w:val="0"/>
      <w:marBottom w:val="0"/>
      <w:divBdr>
        <w:top w:val="none" w:sz="0" w:space="0" w:color="auto"/>
        <w:left w:val="none" w:sz="0" w:space="0" w:color="auto"/>
        <w:bottom w:val="none" w:sz="0" w:space="0" w:color="auto"/>
        <w:right w:val="none" w:sz="0" w:space="0" w:color="auto"/>
      </w:divBdr>
    </w:div>
    <w:div w:id="949817902">
      <w:bodyDiv w:val="1"/>
      <w:marLeft w:val="0"/>
      <w:marRight w:val="0"/>
      <w:marTop w:val="0"/>
      <w:marBottom w:val="0"/>
      <w:divBdr>
        <w:top w:val="none" w:sz="0" w:space="0" w:color="auto"/>
        <w:left w:val="none" w:sz="0" w:space="0" w:color="auto"/>
        <w:bottom w:val="none" w:sz="0" w:space="0" w:color="auto"/>
        <w:right w:val="none" w:sz="0" w:space="0" w:color="auto"/>
      </w:divBdr>
    </w:div>
    <w:div w:id="958143972">
      <w:bodyDiv w:val="1"/>
      <w:marLeft w:val="0"/>
      <w:marRight w:val="0"/>
      <w:marTop w:val="0"/>
      <w:marBottom w:val="0"/>
      <w:divBdr>
        <w:top w:val="none" w:sz="0" w:space="0" w:color="auto"/>
        <w:left w:val="none" w:sz="0" w:space="0" w:color="auto"/>
        <w:bottom w:val="none" w:sz="0" w:space="0" w:color="auto"/>
        <w:right w:val="none" w:sz="0" w:space="0" w:color="auto"/>
      </w:divBdr>
    </w:div>
    <w:div w:id="958603508">
      <w:bodyDiv w:val="1"/>
      <w:marLeft w:val="0"/>
      <w:marRight w:val="0"/>
      <w:marTop w:val="0"/>
      <w:marBottom w:val="0"/>
      <w:divBdr>
        <w:top w:val="none" w:sz="0" w:space="0" w:color="auto"/>
        <w:left w:val="none" w:sz="0" w:space="0" w:color="auto"/>
        <w:bottom w:val="none" w:sz="0" w:space="0" w:color="auto"/>
        <w:right w:val="none" w:sz="0" w:space="0" w:color="auto"/>
      </w:divBdr>
    </w:div>
    <w:div w:id="958608442">
      <w:bodyDiv w:val="1"/>
      <w:marLeft w:val="0"/>
      <w:marRight w:val="0"/>
      <w:marTop w:val="0"/>
      <w:marBottom w:val="0"/>
      <w:divBdr>
        <w:top w:val="none" w:sz="0" w:space="0" w:color="auto"/>
        <w:left w:val="none" w:sz="0" w:space="0" w:color="auto"/>
        <w:bottom w:val="none" w:sz="0" w:space="0" w:color="auto"/>
        <w:right w:val="none" w:sz="0" w:space="0" w:color="auto"/>
      </w:divBdr>
    </w:div>
    <w:div w:id="972448615">
      <w:bodyDiv w:val="1"/>
      <w:marLeft w:val="0"/>
      <w:marRight w:val="0"/>
      <w:marTop w:val="0"/>
      <w:marBottom w:val="0"/>
      <w:divBdr>
        <w:top w:val="none" w:sz="0" w:space="0" w:color="auto"/>
        <w:left w:val="none" w:sz="0" w:space="0" w:color="auto"/>
        <w:bottom w:val="none" w:sz="0" w:space="0" w:color="auto"/>
        <w:right w:val="none" w:sz="0" w:space="0" w:color="auto"/>
      </w:divBdr>
    </w:div>
    <w:div w:id="973019948">
      <w:bodyDiv w:val="1"/>
      <w:marLeft w:val="0"/>
      <w:marRight w:val="0"/>
      <w:marTop w:val="0"/>
      <w:marBottom w:val="0"/>
      <w:divBdr>
        <w:top w:val="none" w:sz="0" w:space="0" w:color="auto"/>
        <w:left w:val="none" w:sz="0" w:space="0" w:color="auto"/>
        <w:bottom w:val="none" w:sz="0" w:space="0" w:color="auto"/>
        <w:right w:val="none" w:sz="0" w:space="0" w:color="auto"/>
      </w:divBdr>
    </w:div>
    <w:div w:id="975767839">
      <w:bodyDiv w:val="1"/>
      <w:marLeft w:val="0"/>
      <w:marRight w:val="0"/>
      <w:marTop w:val="0"/>
      <w:marBottom w:val="0"/>
      <w:divBdr>
        <w:top w:val="none" w:sz="0" w:space="0" w:color="auto"/>
        <w:left w:val="none" w:sz="0" w:space="0" w:color="auto"/>
        <w:bottom w:val="none" w:sz="0" w:space="0" w:color="auto"/>
        <w:right w:val="none" w:sz="0" w:space="0" w:color="auto"/>
      </w:divBdr>
    </w:div>
    <w:div w:id="979193416">
      <w:bodyDiv w:val="1"/>
      <w:marLeft w:val="0"/>
      <w:marRight w:val="0"/>
      <w:marTop w:val="0"/>
      <w:marBottom w:val="0"/>
      <w:divBdr>
        <w:top w:val="none" w:sz="0" w:space="0" w:color="auto"/>
        <w:left w:val="none" w:sz="0" w:space="0" w:color="auto"/>
        <w:bottom w:val="none" w:sz="0" w:space="0" w:color="auto"/>
        <w:right w:val="none" w:sz="0" w:space="0" w:color="auto"/>
      </w:divBdr>
    </w:div>
    <w:div w:id="982663090">
      <w:bodyDiv w:val="1"/>
      <w:marLeft w:val="0"/>
      <w:marRight w:val="0"/>
      <w:marTop w:val="0"/>
      <w:marBottom w:val="0"/>
      <w:divBdr>
        <w:top w:val="none" w:sz="0" w:space="0" w:color="auto"/>
        <w:left w:val="none" w:sz="0" w:space="0" w:color="auto"/>
        <w:bottom w:val="none" w:sz="0" w:space="0" w:color="auto"/>
        <w:right w:val="none" w:sz="0" w:space="0" w:color="auto"/>
      </w:divBdr>
    </w:div>
    <w:div w:id="986010246">
      <w:bodyDiv w:val="1"/>
      <w:marLeft w:val="0"/>
      <w:marRight w:val="0"/>
      <w:marTop w:val="0"/>
      <w:marBottom w:val="0"/>
      <w:divBdr>
        <w:top w:val="none" w:sz="0" w:space="0" w:color="auto"/>
        <w:left w:val="none" w:sz="0" w:space="0" w:color="auto"/>
        <w:bottom w:val="none" w:sz="0" w:space="0" w:color="auto"/>
        <w:right w:val="none" w:sz="0" w:space="0" w:color="auto"/>
      </w:divBdr>
    </w:div>
    <w:div w:id="997418964">
      <w:bodyDiv w:val="1"/>
      <w:marLeft w:val="0"/>
      <w:marRight w:val="0"/>
      <w:marTop w:val="0"/>
      <w:marBottom w:val="0"/>
      <w:divBdr>
        <w:top w:val="none" w:sz="0" w:space="0" w:color="auto"/>
        <w:left w:val="none" w:sz="0" w:space="0" w:color="auto"/>
        <w:bottom w:val="none" w:sz="0" w:space="0" w:color="auto"/>
        <w:right w:val="none" w:sz="0" w:space="0" w:color="auto"/>
      </w:divBdr>
    </w:div>
    <w:div w:id="1004742566">
      <w:bodyDiv w:val="1"/>
      <w:marLeft w:val="0"/>
      <w:marRight w:val="0"/>
      <w:marTop w:val="0"/>
      <w:marBottom w:val="0"/>
      <w:divBdr>
        <w:top w:val="none" w:sz="0" w:space="0" w:color="auto"/>
        <w:left w:val="none" w:sz="0" w:space="0" w:color="auto"/>
        <w:bottom w:val="none" w:sz="0" w:space="0" w:color="auto"/>
        <w:right w:val="none" w:sz="0" w:space="0" w:color="auto"/>
      </w:divBdr>
    </w:div>
    <w:div w:id="1006708864">
      <w:bodyDiv w:val="1"/>
      <w:marLeft w:val="0"/>
      <w:marRight w:val="0"/>
      <w:marTop w:val="0"/>
      <w:marBottom w:val="0"/>
      <w:divBdr>
        <w:top w:val="none" w:sz="0" w:space="0" w:color="auto"/>
        <w:left w:val="none" w:sz="0" w:space="0" w:color="auto"/>
        <w:bottom w:val="none" w:sz="0" w:space="0" w:color="auto"/>
        <w:right w:val="none" w:sz="0" w:space="0" w:color="auto"/>
      </w:divBdr>
    </w:div>
    <w:div w:id="1007320756">
      <w:bodyDiv w:val="1"/>
      <w:marLeft w:val="0"/>
      <w:marRight w:val="0"/>
      <w:marTop w:val="0"/>
      <w:marBottom w:val="0"/>
      <w:divBdr>
        <w:top w:val="none" w:sz="0" w:space="0" w:color="auto"/>
        <w:left w:val="none" w:sz="0" w:space="0" w:color="auto"/>
        <w:bottom w:val="none" w:sz="0" w:space="0" w:color="auto"/>
        <w:right w:val="none" w:sz="0" w:space="0" w:color="auto"/>
      </w:divBdr>
    </w:div>
    <w:div w:id="1011488235">
      <w:bodyDiv w:val="1"/>
      <w:marLeft w:val="0"/>
      <w:marRight w:val="0"/>
      <w:marTop w:val="0"/>
      <w:marBottom w:val="0"/>
      <w:divBdr>
        <w:top w:val="none" w:sz="0" w:space="0" w:color="auto"/>
        <w:left w:val="none" w:sz="0" w:space="0" w:color="auto"/>
        <w:bottom w:val="none" w:sz="0" w:space="0" w:color="auto"/>
        <w:right w:val="none" w:sz="0" w:space="0" w:color="auto"/>
      </w:divBdr>
    </w:div>
    <w:div w:id="1015693214">
      <w:bodyDiv w:val="1"/>
      <w:marLeft w:val="0"/>
      <w:marRight w:val="0"/>
      <w:marTop w:val="0"/>
      <w:marBottom w:val="0"/>
      <w:divBdr>
        <w:top w:val="none" w:sz="0" w:space="0" w:color="auto"/>
        <w:left w:val="none" w:sz="0" w:space="0" w:color="auto"/>
        <w:bottom w:val="none" w:sz="0" w:space="0" w:color="auto"/>
        <w:right w:val="none" w:sz="0" w:space="0" w:color="auto"/>
      </w:divBdr>
    </w:div>
    <w:div w:id="1019159231">
      <w:bodyDiv w:val="1"/>
      <w:marLeft w:val="0"/>
      <w:marRight w:val="0"/>
      <w:marTop w:val="0"/>
      <w:marBottom w:val="0"/>
      <w:divBdr>
        <w:top w:val="none" w:sz="0" w:space="0" w:color="auto"/>
        <w:left w:val="none" w:sz="0" w:space="0" w:color="auto"/>
        <w:bottom w:val="none" w:sz="0" w:space="0" w:color="auto"/>
        <w:right w:val="none" w:sz="0" w:space="0" w:color="auto"/>
      </w:divBdr>
    </w:div>
    <w:div w:id="1022172324">
      <w:bodyDiv w:val="1"/>
      <w:marLeft w:val="0"/>
      <w:marRight w:val="0"/>
      <w:marTop w:val="0"/>
      <w:marBottom w:val="0"/>
      <w:divBdr>
        <w:top w:val="none" w:sz="0" w:space="0" w:color="auto"/>
        <w:left w:val="none" w:sz="0" w:space="0" w:color="auto"/>
        <w:bottom w:val="none" w:sz="0" w:space="0" w:color="auto"/>
        <w:right w:val="none" w:sz="0" w:space="0" w:color="auto"/>
      </w:divBdr>
    </w:div>
    <w:div w:id="1025211305">
      <w:bodyDiv w:val="1"/>
      <w:marLeft w:val="0"/>
      <w:marRight w:val="0"/>
      <w:marTop w:val="0"/>
      <w:marBottom w:val="0"/>
      <w:divBdr>
        <w:top w:val="none" w:sz="0" w:space="0" w:color="auto"/>
        <w:left w:val="none" w:sz="0" w:space="0" w:color="auto"/>
        <w:bottom w:val="none" w:sz="0" w:space="0" w:color="auto"/>
        <w:right w:val="none" w:sz="0" w:space="0" w:color="auto"/>
      </w:divBdr>
    </w:div>
    <w:div w:id="1025714622">
      <w:bodyDiv w:val="1"/>
      <w:marLeft w:val="0"/>
      <w:marRight w:val="0"/>
      <w:marTop w:val="0"/>
      <w:marBottom w:val="0"/>
      <w:divBdr>
        <w:top w:val="none" w:sz="0" w:space="0" w:color="auto"/>
        <w:left w:val="none" w:sz="0" w:space="0" w:color="auto"/>
        <w:bottom w:val="none" w:sz="0" w:space="0" w:color="auto"/>
        <w:right w:val="none" w:sz="0" w:space="0" w:color="auto"/>
      </w:divBdr>
    </w:div>
    <w:div w:id="1026558858">
      <w:bodyDiv w:val="1"/>
      <w:marLeft w:val="0"/>
      <w:marRight w:val="0"/>
      <w:marTop w:val="0"/>
      <w:marBottom w:val="0"/>
      <w:divBdr>
        <w:top w:val="none" w:sz="0" w:space="0" w:color="auto"/>
        <w:left w:val="none" w:sz="0" w:space="0" w:color="auto"/>
        <w:bottom w:val="none" w:sz="0" w:space="0" w:color="auto"/>
        <w:right w:val="none" w:sz="0" w:space="0" w:color="auto"/>
      </w:divBdr>
    </w:div>
    <w:div w:id="1028141446">
      <w:bodyDiv w:val="1"/>
      <w:marLeft w:val="0"/>
      <w:marRight w:val="0"/>
      <w:marTop w:val="0"/>
      <w:marBottom w:val="0"/>
      <w:divBdr>
        <w:top w:val="none" w:sz="0" w:space="0" w:color="auto"/>
        <w:left w:val="none" w:sz="0" w:space="0" w:color="auto"/>
        <w:bottom w:val="none" w:sz="0" w:space="0" w:color="auto"/>
        <w:right w:val="none" w:sz="0" w:space="0" w:color="auto"/>
      </w:divBdr>
    </w:div>
    <w:div w:id="1030492190">
      <w:bodyDiv w:val="1"/>
      <w:marLeft w:val="0"/>
      <w:marRight w:val="0"/>
      <w:marTop w:val="0"/>
      <w:marBottom w:val="0"/>
      <w:divBdr>
        <w:top w:val="none" w:sz="0" w:space="0" w:color="auto"/>
        <w:left w:val="none" w:sz="0" w:space="0" w:color="auto"/>
        <w:bottom w:val="none" w:sz="0" w:space="0" w:color="auto"/>
        <w:right w:val="none" w:sz="0" w:space="0" w:color="auto"/>
      </w:divBdr>
    </w:div>
    <w:div w:id="1030573310">
      <w:bodyDiv w:val="1"/>
      <w:marLeft w:val="0"/>
      <w:marRight w:val="0"/>
      <w:marTop w:val="0"/>
      <w:marBottom w:val="0"/>
      <w:divBdr>
        <w:top w:val="none" w:sz="0" w:space="0" w:color="auto"/>
        <w:left w:val="none" w:sz="0" w:space="0" w:color="auto"/>
        <w:bottom w:val="none" w:sz="0" w:space="0" w:color="auto"/>
        <w:right w:val="none" w:sz="0" w:space="0" w:color="auto"/>
      </w:divBdr>
    </w:div>
    <w:div w:id="1037900531">
      <w:bodyDiv w:val="1"/>
      <w:marLeft w:val="0"/>
      <w:marRight w:val="0"/>
      <w:marTop w:val="0"/>
      <w:marBottom w:val="0"/>
      <w:divBdr>
        <w:top w:val="none" w:sz="0" w:space="0" w:color="auto"/>
        <w:left w:val="none" w:sz="0" w:space="0" w:color="auto"/>
        <w:bottom w:val="none" w:sz="0" w:space="0" w:color="auto"/>
        <w:right w:val="none" w:sz="0" w:space="0" w:color="auto"/>
      </w:divBdr>
    </w:div>
    <w:div w:id="1039889914">
      <w:bodyDiv w:val="1"/>
      <w:marLeft w:val="0"/>
      <w:marRight w:val="0"/>
      <w:marTop w:val="0"/>
      <w:marBottom w:val="0"/>
      <w:divBdr>
        <w:top w:val="none" w:sz="0" w:space="0" w:color="auto"/>
        <w:left w:val="none" w:sz="0" w:space="0" w:color="auto"/>
        <w:bottom w:val="none" w:sz="0" w:space="0" w:color="auto"/>
        <w:right w:val="none" w:sz="0" w:space="0" w:color="auto"/>
      </w:divBdr>
    </w:div>
    <w:div w:id="1052004792">
      <w:bodyDiv w:val="1"/>
      <w:marLeft w:val="0"/>
      <w:marRight w:val="0"/>
      <w:marTop w:val="0"/>
      <w:marBottom w:val="0"/>
      <w:divBdr>
        <w:top w:val="none" w:sz="0" w:space="0" w:color="auto"/>
        <w:left w:val="none" w:sz="0" w:space="0" w:color="auto"/>
        <w:bottom w:val="none" w:sz="0" w:space="0" w:color="auto"/>
        <w:right w:val="none" w:sz="0" w:space="0" w:color="auto"/>
      </w:divBdr>
    </w:div>
    <w:div w:id="1066226179">
      <w:bodyDiv w:val="1"/>
      <w:marLeft w:val="0"/>
      <w:marRight w:val="0"/>
      <w:marTop w:val="0"/>
      <w:marBottom w:val="0"/>
      <w:divBdr>
        <w:top w:val="none" w:sz="0" w:space="0" w:color="auto"/>
        <w:left w:val="none" w:sz="0" w:space="0" w:color="auto"/>
        <w:bottom w:val="none" w:sz="0" w:space="0" w:color="auto"/>
        <w:right w:val="none" w:sz="0" w:space="0" w:color="auto"/>
      </w:divBdr>
    </w:div>
    <w:div w:id="1068577409">
      <w:bodyDiv w:val="1"/>
      <w:marLeft w:val="0"/>
      <w:marRight w:val="0"/>
      <w:marTop w:val="0"/>
      <w:marBottom w:val="0"/>
      <w:divBdr>
        <w:top w:val="none" w:sz="0" w:space="0" w:color="auto"/>
        <w:left w:val="none" w:sz="0" w:space="0" w:color="auto"/>
        <w:bottom w:val="none" w:sz="0" w:space="0" w:color="auto"/>
        <w:right w:val="none" w:sz="0" w:space="0" w:color="auto"/>
      </w:divBdr>
    </w:div>
    <w:div w:id="1079252310">
      <w:bodyDiv w:val="1"/>
      <w:marLeft w:val="0"/>
      <w:marRight w:val="0"/>
      <w:marTop w:val="0"/>
      <w:marBottom w:val="0"/>
      <w:divBdr>
        <w:top w:val="none" w:sz="0" w:space="0" w:color="auto"/>
        <w:left w:val="none" w:sz="0" w:space="0" w:color="auto"/>
        <w:bottom w:val="none" w:sz="0" w:space="0" w:color="auto"/>
        <w:right w:val="none" w:sz="0" w:space="0" w:color="auto"/>
      </w:divBdr>
    </w:div>
    <w:div w:id="1082602867">
      <w:bodyDiv w:val="1"/>
      <w:marLeft w:val="0"/>
      <w:marRight w:val="0"/>
      <w:marTop w:val="0"/>
      <w:marBottom w:val="0"/>
      <w:divBdr>
        <w:top w:val="none" w:sz="0" w:space="0" w:color="auto"/>
        <w:left w:val="none" w:sz="0" w:space="0" w:color="auto"/>
        <w:bottom w:val="none" w:sz="0" w:space="0" w:color="auto"/>
        <w:right w:val="none" w:sz="0" w:space="0" w:color="auto"/>
      </w:divBdr>
    </w:div>
    <w:div w:id="1083573490">
      <w:bodyDiv w:val="1"/>
      <w:marLeft w:val="0"/>
      <w:marRight w:val="0"/>
      <w:marTop w:val="0"/>
      <w:marBottom w:val="0"/>
      <w:divBdr>
        <w:top w:val="none" w:sz="0" w:space="0" w:color="auto"/>
        <w:left w:val="none" w:sz="0" w:space="0" w:color="auto"/>
        <w:bottom w:val="none" w:sz="0" w:space="0" w:color="auto"/>
        <w:right w:val="none" w:sz="0" w:space="0" w:color="auto"/>
      </w:divBdr>
    </w:div>
    <w:div w:id="1083722165">
      <w:bodyDiv w:val="1"/>
      <w:marLeft w:val="0"/>
      <w:marRight w:val="0"/>
      <w:marTop w:val="0"/>
      <w:marBottom w:val="0"/>
      <w:divBdr>
        <w:top w:val="none" w:sz="0" w:space="0" w:color="auto"/>
        <w:left w:val="none" w:sz="0" w:space="0" w:color="auto"/>
        <w:bottom w:val="none" w:sz="0" w:space="0" w:color="auto"/>
        <w:right w:val="none" w:sz="0" w:space="0" w:color="auto"/>
      </w:divBdr>
    </w:div>
    <w:div w:id="1084648478">
      <w:bodyDiv w:val="1"/>
      <w:marLeft w:val="0"/>
      <w:marRight w:val="0"/>
      <w:marTop w:val="0"/>
      <w:marBottom w:val="0"/>
      <w:divBdr>
        <w:top w:val="none" w:sz="0" w:space="0" w:color="auto"/>
        <w:left w:val="none" w:sz="0" w:space="0" w:color="auto"/>
        <w:bottom w:val="none" w:sz="0" w:space="0" w:color="auto"/>
        <w:right w:val="none" w:sz="0" w:space="0" w:color="auto"/>
      </w:divBdr>
    </w:div>
    <w:div w:id="1091583271">
      <w:bodyDiv w:val="1"/>
      <w:marLeft w:val="0"/>
      <w:marRight w:val="0"/>
      <w:marTop w:val="0"/>
      <w:marBottom w:val="0"/>
      <w:divBdr>
        <w:top w:val="none" w:sz="0" w:space="0" w:color="auto"/>
        <w:left w:val="none" w:sz="0" w:space="0" w:color="auto"/>
        <w:bottom w:val="none" w:sz="0" w:space="0" w:color="auto"/>
        <w:right w:val="none" w:sz="0" w:space="0" w:color="auto"/>
      </w:divBdr>
    </w:div>
    <w:div w:id="1098450060">
      <w:bodyDiv w:val="1"/>
      <w:marLeft w:val="0"/>
      <w:marRight w:val="0"/>
      <w:marTop w:val="0"/>
      <w:marBottom w:val="0"/>
      <w:divBdr>
        <w:top w:val="none" w:sz="0" w:space="0" w:color="auto"/>
        <w:left w:val="none" w:sz="0" w:space="0" w:color="auto"/>
        <w:bottom w:val="none" w:sz="0" w:space="0" w:color="auto"/>
        <w:right w:val="none" w:sz="0" w:space="0" w:color="auto"/>
      </w:divBdr>
    </w:div>
    <w:div w:id="1104764793">
      <w:bodyDiv w:val="1"/>
      <w:marLeft w:val="0"/>
      <w:marRight w:val="0"/>
      <w:marTop w:val="0"/>
      <w:marBottom w:val="0"/>
      <w:divBdr>
        <w:top w:val="none" w:sz="0" w:space="0" w:color="auto"/>
        <w:left w:val="none" w:sz="0" w:space="0" w:color="auto"/>
        <w:bottom w:val="none" w:sz="0" w:space="0" w:color="auto"/>
        <w:right w:val="none" w:sz="0" w:space="0" w:color="auto"/>
      </w:divBdr>
    </w:div>
    <w:div w:id="1123572689">
      <w:bodyDiv w:val="1"/>
      <w:marLeft w:val="0"/>
      <w:marRight w:val="0"/>
      <w:marTop w:val="0"/>
      <w:marBottom w:val="0"/>
      <w:divBdr>
        <w:top w:val="none" w:sz="0" w:space="0" w:color="auto"/>
        <w:left w:val="none" w:sz="0" w:space="0" w:color="auto"/>
        <w:bottom w:val="none" w:sz="0" w:space="0" w:color="auto"/>
        <w:right w:val="none" w:sz="0" w:space="0" w:color="auto"/>
      </w:divBdr>
    </w:div>
    <w:div w:id="1130129659">
      <w:bodyDiv w:val="1"/>
      <w:marLeft w:val="0"/>
      <w:marRight w:val="0"/>
      <w:marTop w:val="0"/>
      <w:marBottom w:val="0"/>
      <w:divBdr>
        <w:top w:val="none" w:sz="0" w:space="0" w:color="auto"/>
        <w:left w:val="none" w:sz="0" w:space="0" w:color="auto"/>
        <w:bottom w:val="none" w:sz="0" w:space="0" w:color="auto"/>
        <w:right w:val="none" w:sz="0" w:space="0" w:color="auto"/>
      </w:divBdr>
    </w:div>
    <w:div w:id="1140265039">
      <w:bodyDiv w:val="1"/>
      <w:marLeft w:val="0"/>
      <w:marRight w:val="0"/>
      <w:marTop w:val="0"/>
      <w:marBottom w:val="0"/>
      <w:divBdr>
        <w:top w:val="none" w:sz="0" w:space="0" w:color="auto"/>
        <w:left w:val="none" w:sz="0" w:space="0" w:color="auto"/>
        <w:bottom w:val="none" w:sz="0" w:space="0" w:color="auto"/>
        <w:right w:val="none" w:sz="0" w:space="0" w:color="auto"/>
      </w:divBdr>
    </w:div>
    <w:div w:id="1141776175">
      <w:bodyDiv w:val="1"/>
      <w:marLeft w:val="0"/>
      <w:marRight w:val="0"/>
      <w:marTop w:val="0"/>
      <w:marBottom w:val="0"/>
      <w:divBdr>
        <w:top w:val="none" w:sz="0" w:space="0" w:color="auto"/>
        <w:left w:val="none" w:sz="0" w:space="0" w:color="auto"/>
        <w:bottom w:val="none" w:sz="0" w:space="0" w:color="auto"/>
        <w:right w:val="none" w:sz="0" w:space="0" w:color="auto"/>
      </w:divBdr>
    </w:div>
    <w:div w:id="1143699727">
      <w:bodyDiv w:val="1"/>
      <w:marLeft w:val="0"/>
      <w:marRight w:val="0"/>
      <w:marTop w:val="0"/>
      <w:marBottom w:val="0"/>
      <w:divBdr>
        <w:top w:val="none" w:sz="0" w:space="0" w:color="auto"/>
        <w:left w:val="none" w:sz="0" w:space="0" w:color="auto"/>
        <w:bottom w:val="none" w:sz="0" w:space="0" w:color="auto"/>
        <w:right w:val="none" w:sz="0" w:space="0" w:color="auto"/>
      </w:divBdr>
    </w:div>
    <w:div w:id="1148403838">
      <w:bodyDiv w:val="1"/>
      <w:marLeft w:val="0"/>
      <w:marRight w:val="0"/>
      <w:marTop w:val="0"/>
      <w:marBottom w:val="0"/>
      <w:divBdr>
        <w:top w:val="none" w:sz="0" w:space="0" w:color="auto"/>
        <w:left w:val="none" w:sz="0" w:space="0" w:color="auto"/>
        <w:bottom w:val="none" w:sz="0" w:space="0" w:color="auto"/>
        <w:right w:val="none" w:sz="0" w:space="0" w:color="auto"/>
      </w:divBdr>
    </w:div>
    <w:div w:id="1156648043">
      <w:bodyDiv w:val="1"/>
      <w:marLeft w:val="0"/>
      <w:marRight w:val="0"/>
      <w:marTop w:val="0"/>
      <w:marBottom w:val="0"/>
      <w:divBdr>
        <w:top w:val="none" w:sz="0" w:space="0" w:color="auto"/>
        <w:left w:val="none" w:sz="0" w:space="0" w:color="auto"/>
        <w:bottom w:val="none" w:sz="0" w:space="0" w:color="auto"/>
        <w:right w:val="none" w:sz="0" w:space="0" w:color="auto"/>
      </w:divBdr>
    </w:div>
    <w:div w:id="1168521926">
      <w:bodyDiv w:val="1"/>
      <w:marLeft w:val="0"/>
      <w:marRight w:val="0"/>
      <w:marTop w:val="0"/>
      <w:marBottom w:val="0"/>
      <w:divBdr>
        <w:top w:val="none" w:sz="0" w:space="0" w:color="auto"/>
        <w:left w:val="none" w:sz="0" w:space="0" w:color="auto"/>
        <w:bottom w:val="none" w:sz="0" w:space="0" w:color="auto"/>
        <w:right w:val="none" w:sz="0" w:space="0" w:color="auto"/>
      </w:divBdr>
    </w:div>
    <w:div w:id="1170102623">
      <w:bodyDiv w:val="1"/>
      <w:marLeft w:val="0"/>
      <w:marRight w:val="0"/>
      <w:marTop w:val="0"/>
      <w:marBottom w:val="0"/>
      <w:divBdr>
        <w:top w:val="none" w:sz="0" w:space="0" w:color="auto"/>
        <w:left w:val="none" w:sz="0" w:space="0" w:color="auto"/>
        <w:bottom w:val="none" w:sz="0" w:space="0" w:color="auto"/>
        <w:right w:val="none" w:sz="0" w:space="0" w:color="auto"/>
      </w:divBdr>
    </w:div>
    <w:div w:id="1176917483">
      <w:bodyDiv w:val="1"/>
      <w:marLeft w:val="0"/>
      <w:marRight w:val="0"/>
      <w:marTop w:val="0"/>
      <w:marBottom w:val="0"/>
      <w:divBdr>
        <w:top w:val="none" w:sz="0" w:space="0" w:color="auto"/>
        <w:left w:val="none" w:sz="0" w:space="0" w:color="auto"/>
        <w:bottom w:val="none" w:sz="0" w:space="0" w:color="auto"/>
        <w:right w:val="none" w:sz="0" w:space="0" w:color="auto"/>
      </w:divBdr>
    </w:div>
    <w:div w:id="1179349979">
      <w:bodyDiv w:val="1"/>
      <w:marLeft w:val="0"/>
      <w:marRight w:val="0"/>
      <w:marTop w:val="0"/>
      <w:marBottom w:val="0"/>
      <w:divBdr>
        <w:top w:val="none" w:sz="0" w:space="0" w:color="auto"/>
        <w:left w:val="none" w:sz="0" w:space="0" w:color="auto"/>
        <w:bottom w:val="none" w:sz="0" w:space="0" w:color="auto"/>
        <w:right w:val="none" w:sz="0" w:space="0" w:color="auto"/>
      </w:divBdr>
    </w:div>
    <w:div w:id="1181549049">
      <w:bodyDiv w:val="1"/>
      <w:marLeft w:val="0"/>
      <w:marRight w:val="0"/>
      <w:marTop w:val="0"/>
      <w:marBottom w:val="0"/>
      <w:divBdr>
        <w:top w:val="none" w:sz="0" w:space="0" w:color="auto"/>
        <w:left w:val="none" w:sz="0" w:space="0" w:color="auto"/>
        <w:bottom w:val="none" w:sz="0" w:space="0" w:color="auto"/>
        <w:right w:val="none" w:sz="0" w:space="0" w:color="auto"/>
      </w:divBdr>
    </w:div>
    <w:div w:id="1189179201">
      <w:bodyDiv w:val="1"/>
      <w:marLeft w:val="0"/>
      <w:marRight w:val="0"/>
      <w:marTop w:val="0"/>
      <w:marBottom w:val="0"/>
      <w:divBdr>
        <w:top w:val="none" w:sz="0" w:space="0" w:color="auto"/>
        <w:left w:val="none" w:sz="0" w:space="0" w:color="auto"/>
        <w:bottom w:val="none" w:sz="0" w:space="0" w:color="auto"/>
        <w:right w:val="none" w:sz="0" w:space="0" w:color="auto"/>
      </w:divBdr>
    </w:div>
    <w:div w:id="1200388530">
      <w:bodyDiv w:val="1"/>
      <w:marLeft w:val="0"/>
      <w:marRight w:val="0"/>
      <w:marTop w:val="0"/>
      <w:marBottom w:val="0"/>
      <w:divBdr>
        <w:top w:val="none" w:sz="0" w:space="0" w:color="auto"/>
        <w:left w:val="none" w:sz="0" w:space="0" w:color="auto"/>
        <w:bottom w:val="none" w:sz="0" w:space="0" w:color="auto"/>
        <w:right w:val="none" w:sz="0" w:space="0" w:color="auto"/>
      </w:divBdr>
    </w:div>
    <w:div w:id="1203665572">
      <w:bodyDiv w:val="1"/>
      <w:marLeft w:val="0"/>
      <w:marRight w:val="0"/>
      <w:marTop w:val="0"/>
      <w:marBottom w:val="0"/>
      <w:divBdr>
        <w:top w:val="none" w:sz="0" w:space="0" w:color="auto"/>
        <w:left w:val="none" w:sz="0" w:space="0" w:color="auto"/>
        <w:bottom w:val="none" w:sz="0" w:space="0" w:color="auto"/>
        <w:right w:val="none" w:sz="0" w:space="0" w:color="auto"/>
      </w:divBdr>
    </w:div>
    <w:div w:id="1210340258">
      <w:bodyDiv w:val="1"/>
      <w:marLeft w:val="0"/>
      <w:marRight w:val="0"/>
      <w:marTop w:val="0"/>
      <w:marBottom w:val="0"/>
      <w:divBdr>
        <w:top w:val="none" w:sz="0" w:space="0" w:color="auto"/>
        <w:left w:val="none" w:sz="0" w:space="0" w:color="auto"/>
        <w:bottom w:val="none" w:sz="0" w:space="0" w:color="auto"/>
        <w:right w:val="none" w:sz="0" w:space="0" w:color="auto"/>
      </w:divBdr>
    </w:div>
    <w:div w:id="1212186331">
      <w:bodyDiv w:val="1"/>
      <w:marLeft w:val="0"/>
      <w:marRight w:val="0"/>
      <w:marTop w:val="0"/>
      <w:marBottom w:val="0"/>
      <w:divBdr>
        <w:top w:val="none" w:sz="0" w:space="0" w:color="auto"/>
        <w:left w:val="none" w:sz="0" w:space="0" w:color="auto"/>
        <w:bottom w:val="none" w:sz="0" w:space="0" w:color="auto"/>
        <w:right w:val="none" w:sz="0" w:space="0" w:color="auto"/>
      </w:divBdr>
    </w:div>
    <w:div w:id="1213158192">
      <w:bodyDiv w:val="1"/>
      <w:marLeft w:val="0"/>
      <w:marRight w:val="0"/>
      <w:marTop w:val="0"/>
      <w:marBottom w:val="0"/>
      <w:divBdr>
        <w:top w:val="none" w:sz="0" w:space="0" w:color="auto"/>
        <w:left w:val="none" w:sz="0" w:space="0" w:color="auto"/>
        <w:bottom w:val="none" w:sz="0" w:space="0" w:color="auto"/>
        <w:right w:val="none" w:sz="0" w:space="0" w:color="auto"/>
      </w:divBdr>
    </w:div>
    <w:div w:id="1214926276">
      <w:bodyDiv w:val="1"/>
      <w:marLeft w:val="0"/>
      <w:marRight w:val="0"/>
      <w:marTop w:val="0"/>
      <w:marBottom w:val="0"/>
      <w:divBdr>
        <w:top w:val="none" w:sz="0" w:space="0" w:color="auto"/>
        <w:left w:val="none" w:sz="0" w:space="0" w:color="auto"/>
        <w:bottom w:val="none" w:sz="0" w:space="0" w:color="auto"/>
        <w:right w:val="none" w:sz="0" w:space="0" w:color="auto"/>
      </w:divBdr>
    </w:div>
    <w:div w:id="1215972424">
      <w:bodyDiv w:val="1"/>
      <w:marLeft w:val="0"/>
      <w:marRight w:val="0"/>
      <w:marTop w:val="0"/>
      <w:marBottom w:val="0"/>
      <w:divBdr>
        <w:top w:val="none" w:sz="0" w:space="0" w:color="auto"/>
        <w:left w:val="none" w:sz="0" w:space="0" w:color="auto"/>
        <w:bottom w:val="none" w:sz="0" w:space="0" w:color="auto"/>
        <w:right w:val="none" w:sz="0" w:space="0" w:color="auto"/>
      </w:divBdr>
    </w:div>
    <w:div w:id="122186889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945783">
      <w:bodyDiv w:val="1"/>
      <w:marLeft w:val="0"/>
      <w:marRight w:val="0"/>
      <w:marTop w:val="0"/>
      <w:marBottom w:val="0"/>
      <w:divBdr>
        <w:top w:val="none" w:sz="0" w:space="0" w:color="auto"/>
        <w:left w:val="none" w:sz="0" w:space="0" w:color="auto"/>
        <w:bottom w:val="none" w:sz="0" w:space="0" w:color="auto"/>
        <w:right w:val="none" w:sz="0" w:space="0" w:color="auto"/>
      </w:divBdr>
    </w:div>
    <w:div w:id="1224949898">
      <w:bodyDiv w:val="1"/>
      <w:marLeft w:val="0"/>
      <w:marRight w:val="0"/>
      <w:marTop w:val="0"/>
      <w:marBottom w:val="0"/>
      <w:divBdr>
        <w:top w:val="none" w:sz="0" w:space="0" w:color="auto"/>
        <w:left w:val="none" w:sz="0" w:space="0" w:color="auto"/>
        <w:bottom w:val="none" w:sz="0" w:space="0" w:color="auto"/>
        <w:right w:val="none" w:sz="0" w:space="0" w:color="auto"/>
      </w:divBdr>
    </w:div>
    <w:div w:id="1231772566">
      <w:bodyDiv w:val="1"/>
      <w:marLeft w:val="0"/>
      <w:marRight w:val="0"/>
      <w:marTop w:val="0"/>
      <w:marBottom w:val="0"/>
      <w:divBdr>
        <w:top w:val="none" w:sz="0" w:space="0" w:color="auto"/>
        <w:left w:val="none" w:sz="0" w:space="0" w:color="auto"/>
        <w:bottom w:val="none" w:sz="0" w:space="0" w:color="auto"/>
        <w:right w:val="none" w:sz="0" w:space="0" w:color="auto"/>
      </w:divBdr>
    </w:div>
    <w:div w:id="1232161562">
      <w:bodyDiv w:val="1"/>
      <w:marLeft w:val="0"/>
      <w:marRight w:val="0"/>
      <w:marTop w:val="0"/>
      <w:marBottom w:val="0"/>
      <w:divBdr>
        <w:top w:val="none" w:sz="0" w:space="0" w:color="auto"/>
        <w:left w:val="none" w:sz="0" w:space="0" w:color="auto"/>
        <w:bottom w:val="none" w:sz="0" w:space="0" w:color="auto"/>
        <w:right w:val="none" w:sz="0" w:space="0" w:color="auto"/>
      </w:divBdr>
    </w:div>
    <w:div w:id="1253272027">
      <w:bodyDiv w:val="1"/>
      <w:marLeft w:val="0"/>
      <w:marRight w:val="0"/>
      <w:marTop w:val="0"/>
      <w:marBottom w:val="0"/>
      <w:divBdr>
        <w:top w:val="none" w:sz="0" w:space="0" w:color="auto"/>
        <w:left w:val="none" w:sz="0" w:space="0" w:color="auto"/>
        <w:bottom w:val="none" w:sz="0" w:space="0" w:color="auto"/>
        <w:right w:val="none" w:sz="0" w:space="0" w:color="auto"/>
      </w:divBdr>
    </w:div>
    <w:div w:id="1253977890">
      <w:bodyDiv w:val="1"/>
      <w:marLeft w:val="0"/>
      <w:marRight w:val="0"/>
      <w:marTop w:val="0"/>
      <w:marBottom w:val="0"/>
      <w:divBdr>
        <w:top w:val="none" w:sz="0" w:space="0" w:color="auto"/>
        <w:left w:val="none" w:sz="0" w:space="0" w:color="auto"/>
        <w:bottom w:val="none" w:sz="0" w:space="0" w:color="auto"/>
        <w:right w:val="none" w:sz="0" w:space="0" w:color="auto"/>
      </w:divBdr>
    </w:div>
    <w:div w:id="1257061773">
      <w:bodyDiv w:val="1"/>
      <w:marLeft w:val="0"/>
      <w:marRight w:val="0"/>
      <w:marTop w:val="0"/>
      <w:marBottom w:val="0"/>
      <w:divBdr>
        <w:top w:val="none" w:sz="0" w:space="0" w:color="auto"/>
        <w:left w:val="none" w:sz="0" w:space="0" w:color="auto"/>
        <w:bottom w:val="none" w:sz="0" w:space="0" w:color="auto"/>
        <w:right w:val="none" w:sz="0" w:space="0" w:color="auto"/>
      </w:divBdr>
    </w:div>
    <w:div w:id="1261140949">
      <w:bodyDiv w:val="1"/>
      <w:marLeft w:val="0"/>
      <w:marRight w:val="0"/>
      <w:marTop w:val="0"/>
      <w:marBottom w:val="0"/>
      <w:divBdr>
        <w:top w:val="none" w:sz="0" w:space="0" w:color="auto"/>
        <w:left w:val="none" w:sz="0" w:space="0" w:color="auto"/>
        <w:bottom w:val="none" w:sz="0" w:space="0" w:color="auto"/>
        <w:right w:val="none" w:sz="0" w:space="0" w:color="auto"/>
      </w:divBdr>
    </w:div>
    <w:div w:id="1272669074">
      <w:bodyDiv w:val="1"/>
      <w:marLeft w:val="0"/>
      <w:marRight w:val="0"/>
      <w:marTop w:val="0"/>
      <w:marBottom w:val="0"/>
      <w:divBdr>
        <w:top w:val="none" w:sz="0" w:space="0" w:color="auto"/>
        <w:left w:val="none" w:sz="0" w:space="0" w:color="auto"/>
        <w:bottom w:val="none" w:sz="0" w:space="0" w:color="auto"/>
        <w:right w:val="none" w:sz="0" w:space="0" w:color="auto"/>
      </w:divBdr>
    </w:div>
    <w:div w:id="1274439531">
      <w:bodyDiv w:val="1"/>
      <w:marLeft w:val="0"/>
      <w:marRight w:val="0"/>
      <w:marTop w:val="0"/>
      <w:marBottom w:val="0"/>
      <w:divBdr>
        <w:top w:val="none" w:sz="0" w:space="0" w:color="auto"/>
        <w:left w:val="none" w:sz="0" w:space="0" w:color="auto"/>
        <w:bottom w:val="none" w:sz="0" w:space="0" w:color="auto"/>
        <w:right w:val="none" w:sz="0" w:space="0" w:color="auto"/>
      </w:divBdr>
    </w:div>
    <w:div w:id="1289824558">
      <w:bodyDiv w:val="1"/>
      <w:marLeft w:val="0"/>
      <w:marRight w:val="0"/>
      <w:marTop w:val="0"/>
      <w:marBottom w:val="0"/>
      <w:divBdr>
        <w:top w:val="none" w:sz="0" w:space="0" w:color="auto"/>
        <w:left w:val="none" w:sz="0" w:space="0" w:color="auto"/>
        <w:bottom w:val="none" w:sz="0" w:space="0" w:color="auto"/>
        <w:right w:val="none" w:sz="0" w:space="0" w:color="auto"/>
      </w:divBdr>
    </w:div>
    <w:div w:id="1297949957">
      <w:bodyDiv w:val="1"/>
      <w:marLeft w:val="0"/>
      <w:marRight w:val="0"/>
      <w:marTop w:val="0"/>
      <w:marBottom w:val="0"/>
      <w:divBdr>
        <w:top w:val="none" w:sz="0" w:space="0" w:color="auto"/>
        <w:left w:val="none" w:sz="0" w:space="0" w:color="auto"/>
        <w:bottom w:val="none" w:sz="0" w:space="0" w:color="auto"/>
        <w:right w:val="none" w:sz="0" w:space="0" w:color="auto"/>
      </w:divBdr>
    </w:div>
    <w:div w:id="1298561065">
      <w:bodyDiv w:val="1"/>
      <w:marLeft w:val="0"/>
      <w:marRight w:val="0"/>
      <w:marTop w:val="0"/>
      <w:marBottom w:val="0"/>
      <w:divBdr>
        <w:top w:val="none" w:sz="0" w:space="0" w:color="auto"/>
        <w:left w:val="none" w:sz="0" w:space="0" w:color="auto"/>
        <w:bottom w:val="none" w:sz="0" w:space="0" w:color="auto"/>
        <w:right w:val="none" w:sz="0" w:space="0" w:color="auto"/>
      </w:divBdr>
    </w:div>
    <w:div w:id="1298873134">
      <w:bodyDiv w:val="1"/>
      <w:marLeft w:val="0"/>
      <w:marRight w:val="0"/>
      <w:marTop w:val="0"/>
      <w:marBottom w:val="0"/>
      <w:divBdr>
        <w:top w:val="none" w:sz="0" w:space="0" w:color="auto"/>
        <w:left w:val="none" w:sz="0" w:space="0" w:color="auto"/>
        <w:bottom w:val="none" w:sz="0" w:space="0" w:color="auto"/>
        <w:right w:val="none" w:sz="0" w:space="0" w:color="auto"/>
      </w:divBdr>
    </w:div>
    <w:div w:id="1302079580">
      <w:bodyDiv w:val="1"/>
      <w:marLeft w:val="0"/>
      <w:marRight w:val="0"/>
      <w:marTop w:val="0"/>
      <w:marBottom w:val="0"/>
      <w:divBdr>
        <w:top w:val="none" w:sz="0" w:space="0" w:color="auto"/>
        <w:left w:val="none" w:sz="0" w:space="0" w:color="auto"/>
        <w:bottom w:val="none" w:sz="0" w:space="0" w:color="auto"/>
        <w:right w:val="none" w:sz="0" w:space="0" w:color="auto"/>
      </w:divBdr>
    </w:div>
    <w:div w:id="1303848352">
      <w:bodyDiv w:val="1"/>
      <w:marLeft w:val="0"/>
      <w:marRight w:val="0"/>
      <w:marTop w:val="0"/>
      <w:marBottom w:val="0"/>
      <w:divBdr>
        <w:top w:val="none" w:sz="0" w:space="0" w:color="auto"/>
        <w:left w:val="none" w:sz="0" w:space="0" w:color="auto"/>
        <w:bottom w:val="none" w:sz="0" w:space="0" w:color="auto"/>
        <w:right w:val="none" w:sz="0" w:space="0" w:color="auto"/>
      </w:divBdr>
    </w:div>
    <w:div w:id="1305087015">
      <w:bodyDiv w:val="1"/>
      <w:marLeft w:val="0"/>
      <w:marRight w:val="0"/>
      <w:marTop w:val="0"/>
      <w:marBottom w:val="0"/>
      <w:divBdr>
        <w:top w:val="none" w:sz="0" w:space="0" w:color="auto"/>
        <w:left w:val="none" w:sz="0" w:space="0" w:color="auto"/>
        <w:bottom w:val="none" w:sz="0" w:space="0" w:color="auto"/>
        <w:right w:val="none" w:sz="0" w:space="0" w:color="auto"/>
      </w:divBdr>
    </w:div>
    <w:div w:id="1307079252">
      <w:bodyDiv w:val="1"/>
      <w:marLeft w:val="0"/>
      <w:marRight w:val="0"/>
      <w:marTop w:val="0"/>
      <w:marBottom w:val="0"/>
      <w:divBdr>
        <w:top w:val="none" w:sz="0" w:space="0" w:color="auto"/>
        <w:left w:val="none" w:sz="0" w:space="0" w:color="auto"/>
        <w:bottom w:val="none" w:sz="0" w:space="0" w:color="auto"/>
        <w:right w:val="none" w:sz="0" w:space="0" w:color="auto"/>
      </w:divBdr>
    </w:div>
    <w:div w:id="1311716067">
      <w:bodyDiv w:val="1"/>
      <w:marLeft w:val="0"/>
      <w:marRight w:val="0"/>
      <w:marTop w:val="0"/>
      <w:marBottom w:val="0"/>
      <w:divBdr>
        <w:top w:val="none" w:sz="0" w:space="0" w:color="auto"/>
        <w:left w:val="none" w:sz="0" w:space="0" w:color="auto"/>
        <w:bottom w:val="none" w:sz="0" w:space="0" w:color="auto"/>
        <w:right w:val="none" w:sz="0" w:space="0" w:color="auto"/>
      </w:divBdr>
    </w:div>
    <w:div w:id="1312173380">
      <w:bodyDiv w:val="1"/>
      <w:marLeft w:val="0"/>
      <w:marRight w:val="0"/>
      <w:marTop w:val="0"/>
      <w:marBottom w:val="0"/>
      <w:divBdr>
        <w:top w:val="none" w:sz="0" w:space="0" w:color="auto"/>
        <w:left w:val="none" w:sz="0" w:space="0" w:color="auto"/>
        <w:bottom w:val="none" w:sz="0" w:space="0" w:color="auto"/>
        <w:right w:val="none" w:sz="0" w:space="0" w:color="auto"/>
      </w:divBdr>
    </w:div>
    <w:div w:id="1318264188">
      <w:bodyDiv w:val="1"/>
      <w:marLeft w:val="0"/>
      <w:marRight w:val="0"/>
      <w:marTop w:val="0"/>
      <w:marBottom w:val="0"/>
      <w:divBdr>
        <w:top w:val="none" w:sz="0" w:space="0" w:color="auto"/>
        <w:left w:val="none" w:sz="0" w:space="0" w:color="auto"/>
        <w:bottom w:val="none" w:sz="0" w:space="0" w:color="auto"/>
        <w:right w:val="none" w:sz="0" w:space="0" w:color="auto"/>
      </w:divBdr>
    </w:div>
    <w:div w:id="1326083084">
      <w:bodyDiv w:val="1"/>
      <w:marLeft w:val="0"/>
      <w:marRight w:val="0"/>
      <w:marTop w:val="0"/>
      <w:marBottom w:val="0"/>
      <w:divBdr>
        <w:top w:val="none" w:sz="0" w:space="0" w:color="auto"/>
        <w:left w:val="none" w:sz="0" w:space="0" w:color="auto"/>
        <w:bottom w:val="none" w:sz="0" w:space="0" w:color="auto"/>
        <w:right w:val="none" w:sz="0" w:space="0" w:color="auto"/>
      </w:divBdr>
    </w:div>
    <w:div w:id="1327709477">
      <w:bodyDiv w:val="1"/>
      <w:marLeft w:val="0"/>
      <w:marRight w:val="0"/>
      <w:marTop w:val="0"/>
      <w:marBottom w:val="0"/>
      <w:divBdr>
        <w:top w:val="none" w:sz="0" w:space="0" w:color="auto"/>
        <w:left w:val="none" w:sz="0" w:space="0" w:color="auto"/>
        <w:bottom w:val="none" w:sz="0" w:space="0" w:color="auto"/>
        <w:right w:val="none" w:sz="0" w:space="0" w:color="auto"/>
      </w:divBdr>
    </w:div>
    <w:div w:id="1330256975">
      <w:bodyDiv w:val="1"/>
      <w:marLeft w:val="0"/>
      <w:marRight w:val="0"/>
      <w:marTop w:val="0"/>
      <w:marBottom w:val="0"/>
      <w:divBdr>
        <w:top w:val="none" w:sz="0" w:space="0" w:color="auto"/>
        <w:left w:val="none" w:sz="0" w:space="0" w:color="auto"/>
        <w:bottom w:val="none" w:sz="0" w:space="0" w:color="auto"/>
        <w:right w:val="none" w:sz="0" w:space="0" w:color="auto"/>
      </w:divBdr>
    </w:div>
    <w:div w:id="1333144552">
      <w:bodyDiv w:val="1"/>
      <w:marLeft w:val="0"/>
      <w:marRight w:val="0"/>
      <w:marTop w:val="0"/>
      <w:marBottom w:val="0"/>
      <w:divBdr>
        <w:top w:val="none" w:sz="0" w:space="0" w:color="auto"/>
        <w:left w:val="none" w:sz="0" w:space="0" w:color="auto"/>
        <w:bottom w:val="none" w:sz="0" w:space="0" w:color="auto"/>
        <w:right w:val="none" w:sz="0" w:space="0" w:color="auto"/>
      </w:divBdr>
    </w:div>
    <w:div w:id="1333484230">
      <w:bodyDiv w:val="1"/>
      <w:marLeft w:val="0"/>
      <w:marRight w:val="0"/>
      <w:marTop w:val="0"/>
      <w:marBottom w:val="0"/>
      <w:divBdr>
        <w:top w:val="none" w:sz="0" w:space="0" w:color="auto"/>
        <w:left w:val="none" w:sz="0" w:space="0" w:color="auto"/>
        <w:bottom w:val="none" w:sz="0" w:space="0" w:color="auto"/>
        <w:right w:val="none" w:sz="0" w:space="0" w:color="auto"/>
      </w:divBdr>
    </w:div>
    <w:div w:id="1336764632">
      <w:bodyDiv w:val="1"/>
      <w:marLeft w:val="0"/>
      <w:marRight w:val="0"/>
      <w:marTop w:val="0"/>
      <w:marBottom w:val="0"/>
      <w:divBdr>
        <w:top w:val="none" w:sz="0" w:space="0" w:color="auto"/>
        <w:left w:val="none" w:sz="0" w:space="0" w:color="auto"/>
        <w:bottom w:val="none" w:sz="0" w:space="0" w:color="auto"/>
        <w:right w:val="none" w:sz="0" w:space="0" w:color="auto"/>
      </w:divBdr>
    </w:div>
    <w:div w:id="1339384531">
      <w:bodyDiv w:val="1"/>
      <w:marLeft w:val="0"/>
      <w:marRight w:val="0"/>
      <w:marTop w:val="0"/>
      <w:marBottom w:val="0"/>
      <w:divBdr>
        <w:top w:val="none" w:sz="0" w:space="0" w:color="auto"/>
        <w:left w:val="none" w:sz="0" w:space="0" w:color="auto"/>
        <w:bottom w:val="none" w:sz="0" w:space="0" w:color="auto"/>
        <w:right w:val="none" w:sz="0" w:space="0" w:color="auto"/>
      </w:divBdr>
    </w:div>
    <w:div w:id="1344282404">
      <w:bodyDiv w:val="1"/>
      <w:marLeft w:val="0"/>
      <w:marRight w:val="0"/>
      <w:marTop w:val="0"/>
      <w:marBottom w:val="0"/>
      <w:divBdr>
        <w:top w:val="none" w:sz="0" w:space="0" w:color="auto"/>
        <w:left w:val="none" w:sz="0" w:space="0" w:color="auto"/>
        <w:bottom w:val="none" w:sz="0" w:space="0" w:color="auto"/>
        <w:right w:val="none" w:sz="0" w:space="0" w:color="auto"/>
      </w:divBdr>
    </w:div>
    <w:div w:id="1346328957">
      <w:bodyDiv w:val="1"/>
      <w:marLeft w:val="0"/>
      <w:marRight w:val="0"/>
      <w:marTop w:val="0"/>
      <w:marBottom w:val="0"/>
      <w:divBdr>
        <w:top w:val="none" w:sz="0" w:space="0" w:color="auto"/>
        <w:left w:val="none" w:sz="0" w:space="0" w:color="auto"/>
        <w:bottom w:val="none" w:sz="0" w:space="0" w:color="auto"/>
        <w:right w:val="none" w:sz="0" w:space="0" w:color="auto"/>
      </w:divBdr>
    </w:div>
    <w:div w:id="1346983202">
      <w:bodyDiv w:val="1"/>
      <w:marLeft w:val="0"/>
      <w:marRight w:val="0"/>
      <w:marTop w:val="0"/>
      <w:marBottom w:val="0"/>
      <w:divBdr>
        <w:top w:val="none" w:sz="0" w:space="0" w:color="auto"/>
        <w:left w:val="none" w:sz="0" w:space="0" w:color="auto"/>
        <w:bottom w:val="none" w:sz="0" w:space="0" w:color="auto"/>
        <w:right w:val="none" w:sz="0" w:space="0" w:color="auto"/>
      </w:divBdr>
    </w:div>
    <w:div w:id="1351177276">
      <w:bodyDiv w:val="1"/>
      <w:marLeft w:val="0"/>
      <w:marRight w:val="0"/>
      <w:marTop w:val="0"/>
      <w:marBottom w:val="0"/>
      <w:divBdr>
        <w:top w:val="none" w:sz="0" w:space="0" w:color="auto"/>
        <w:left w:val="none" w:sz="0" w:space="0" w:color="auto"/>
        <w:bottom w:val="none" w:sz="0" w:space="0" w:color="auto"/>
        <w:right w:val="none" w:sz="0" w:space="0" w:color="auto"/>
      </w:divBdr>
    </w:div>
    <w:div w:id="1353187973">
      <w:bodyDiv w:val="1"/>
      <w:marLeft w:val="0"/>
      <w:marRight w:val="0"/>
      <w:marTop w:val="0"/>
      <w:marBottom w:val="0"/>
      <w:divBdr>
        <w:top w:val="none" w:sz="0" w:space="0" w:color="auto"/>
        <w:left w:val="none" w:sz="0" w:space="0" w:color="auto"/>
        <w:bottom w:val="none" w:sz="0" w:space="0" w:color="auto"/>
        <w:right w:val="none" w:sz="0" w:space="0" w:color="auto"/>
      </w:divBdr>
    </w:div>
    <w:div w:id="1353337364">
      <w:bodyDiv w:val="1"/>
      <w:marLeft w:val="0"/>
      <w:marRight w:val="0"/>
      <w:marTop w:val="0"/>
      <w:marBottom w:val="0"/>
      <w:divBdr>
        <w:top w:val="none" w:sz="0" w:space="0" w:color="auto"/>
        <w:left w:val="none" w:sz="0" w:space="0" w:color="auto"/>
        <w:bottom w:val="none" w:sz="0" w:space="0" w:color="auto"/>
        <w:right w:val="none" w:sz="0" w:space="0" w:color="auto"/>
      </w:divBdr>
    </w:div>
    <w:div w:id="1364136482">
      <w:bodyDiv w:val="1"/>
      <w:marLeft w:val="0"/>
      <w:marRight w:val="0"/>
      <w:marTop w:val="0"/>
      <w:marBottom w:val="0"/>
      <w:divBdr>
        <w:top w:val="none" w:sz="0" w:space="0" w:color="auto"/>
        <w:left w:val="none" w:sz="0" w:space="0" w:color="auto"/>
        <w:bottom w:val="none" w:sz="0" w:space="0" w:color="auto"/>
        <w:right w:val="none" w:sz="0" w:space="0" w:color="auto"/>
      </w:divBdr>
    </w:div>
    <w:div w:id="1367364615">
      <w:bodyDiv w:val="1"/>
      <w:marLeft w:val="0"/>
      <w:marRight w:val="0"/>
      <w:marTop w:val="0"/>
      <w:marBottom w:val="0"/>
      <w:divBdr>
        <w:top w:val="none" w:sz="0" w:space="0" w:color="auto"/>
        <w:left w:val="none" w:sz="0" w:space="0" w:color="auto"/>
        <w:bottom w:val="none" w:sz="0" w:space="0" w:color="auto"/>
        <w:right w:val="none" w:sz="0" w:space="0" w:color="auto"/>
      </w:divBdr>
    </w:div>
    <w:div w:id="1371802056">
      <w:bodyDiv w:val="1"/>
      <w:marLeft w:val="0"/>
      <w:marRight w:val="0"/>
      <w:marTop w:val="0"/>
      <w:marBottom w:val="0"/>
      <w:divBdr>
        <w:top w:val="none" w:sz="0" w:space="0" w:color="auto"/>
        <w:left w:val="none" w:sz="0" w:space="0" w:color="auto"/>
        <w:bottom w:val="none" w:sz="0" w:space="0" w:color="auto"/>
        <w:right w:val="none" w:sz="0" w:space="0" w:color="auto"/>
      </w:divBdr>
    </w:div>
    <w:div w:id="1372533721">
      <w:bodyDiv w:val="1"/>
      <w:marLeft w:val="0"/>
      <w:marRight w:val="0"/>
      <w:marTop w:val="0"/>
      <w:marBottom w:val="0"/>
      <w:divBdr>
        <w:top w:val="none" w:sz="0" w:space="0" w:color="auto"/>
        <w:left w:val="none" w:sz="0" w:space="0" w:color="auto"/>
        <w:bottom w:val="none" w:sz="0" w:space="0" w:color="auto"/>
        <w:right w:val="none" w:sz="0" w:space="0" w:color="auto"/>
      </w:divBdr>
    </w:div>
    <w:div w:id="1373766447">
      <w:bodyDiv w:val="1"/>
      <w:marLeft w:val="0"/>
      <w:marRight w:val="0"/>
      <w:marTop w:val="0"/>
      <w:marBottom w:val="0"/>
      <w:divBdr>
        <w:top w:val="none" w:sz="0" w:space="0" w:color="auto"/>
        <w:left w:val="none" w:sz="0" w:space="0" w:color="auto"/>
        <w:bottom w:val="none" w:sz="0" w:space="0" w:color="auto"/>
        <w:right w:val="none" w:sz="0" w:space="0" w:color="auto"/>
      </w:divBdr>
    </w:div>
    <w:div w:id="1375692419">
      <w:bodyDiv w:val="1"/>
      <w:marLeft w:val="0"/>
      <w:marRight w:val="0"/>
      <w:marTop w:val="0"/>
      <w:marBottom w:val="0"/>
      <w:divBdr>
        <w:top w:val="none" w:sz="0" w:space="0" w:color="auto"/>
        <w:left w:val="none" w:sz="0" w:space="0" w:color="auto"/>
        <w:bottom w:val="none" w:sz="0" w:space="0" w:color="auto"/>
        <w:right w:val="none" w:sz="0" w:space="0" w:color="auto"/>
      </w:divBdr>
    </w:div>
    <w:div w:id="1379353762">
      <w:bodyDiv w:val="1"/>
      <w:marLeft w:val="0"/>
      <w:marRight w:val="0"/>
      <w:marTop w:val="0"/>
      <w:marBottom w:val="0"/>
      <w:divBdr>
        <w:top w:val="none" w:sz="0" w:space="0" w:color="auto"/>
        <w:left w:val="none" w:sz="0" w:space="0" w:color="auto"/>
        <w:bottom w:val="none" w:sz="0" w:space="0" w:color="auto"/>
        <w:right w:val="none" w:sz="0" w:space="0" w:color="auto"/>
      </w:divBdr>
    </w:div>
    <w:div w:id="1386561750">
      <w:bodyDiv w:val="1"/>
      <w:marLeft w:val="0"/>
      <w:marRight w:val="0"/>
      <w:marTop w:val="0"/>
      <w:marBottom w:val="0"/>
      <w:divBdr>
        <w:top w:val="none" w:sz="0" w:space="0" w:color="auto"/>
        <w:left w:val="none" w:sz="0" w:space="0" w:color="auto"/>
        <w:bottom w:val="none" w:sz="0" w:space="0" w:color="auto"/>
        <w:right w:val="none" w:sz="0" w:space="0" w:color="auto"/>
      </w:divBdr>
    </w:div>
    <w:div w:id="1389766175">
      <w:bodyDiv w:val="1"/>
      <w:marLeft w:val="0"/>
      <w:marRight w:val="0"/>
      <w:marTop w:val="0"/>
      <w:marBottom w:val="0"/>
      <w:divBdr>
        <w:top w:val="none" w:sz="0" w:space="0" w:color="auto"/>
        <w:left w:val="none" w:sz="0" w:space="0" w:color="auto"/>
        <w:bottom w:val="none" w:sz="0" w:space="0" w:color="auto"/>
        <w:right w:val="none" w:sz="0" w:space="0" w:color="auto"/>
      </w:divBdr>
    </w:div>
    <w:div w:id="1397314928">
      <w:bodyDiv w:val="1"/>
      <w:marLeft w:val="0"/>
      <w:marRight w:val="0"/>
      <w:marTop w:val="0"/>
      <w:marBottom w:val="0"/>
      <w:divBdr>
        <w:top w:val="none" w:sz="0" w:space="0" w:color="auto"/>
        <w:left w:val="none" w:sz="0" w:space="0" w:color="auto"/>
        <w:bottom w:val="none" w:sz="0" w:space="0" w:color="auto"/>
        <w:right w:val="none" w:sz="0" w:space="0" w:color="auto"/>
      </w:divBdr>
    </w:div>
    <w:div w:id="1398748385">
      <w:bodyDiv w:val="1"/>
      <w:marLeft w:val="0"/>
      <w:marRight w:val="0"/>
      <w:marTop w:val="0"/>
      <w:marBottom w:val="0"/>
      <w:divBdr>
        <w:top w:val="none" w:sz="0" w:space="0" w:color="auto"/>
        <w:left w:val="none" w:sz="0" w:space="0" w:color="auto"/>
        <w:bottom w:val="none" w:sz="0" w:space="0" w:color="auto"/>
        <w:right w:val="none" w:sz="0" w:space="0" w:color="auto"/>
      </w:divBdr>
    </w:div>
    <w:div w:id="1400328749">
      <w:bodyDiv w:val="1"/>
      <w:marLeft w:val="0"/>
      <w:marRight w:val="0"/>
      <w:marTop w:val="0"/>
      <w:marBottom w:val="0"/>
      <w:divBdr>
        <w:top w:val="none" w:sz="0" w:space="0" w:color="auto"/>
        <w:left w:val="none" w:sz="0" w:space="0" w:color="auto"/>
        <w:bottom w:val="none" w:sz="0" w:space="0" w:color="auto"/>
        <w:right w:val="none" w:sz="0" w:space="0" w:color="auto"/>
      </w:divBdr>
    </w:div>
    <w:div w:id="1407263821">
      <w:bodyDiv w:val="1"/>
      <w:marLeft w:val="0"/>
      <w:marRight w:val="0"/>
      <w:marTop w:val="0"/>
      <w:marBottom w:val="0"/>
      <w:divBdr>
        <w:top w:val="none" w:sz="0" w:space="0" w:color="auto"/>
        <w:left w:val="none" w:sz="0" w:space="0" w:color="auto"/>
        <w:bottom w:val="none" w:sz="0" w:space="0" w:color="auto"/>
        <w:right w:val="none" w:sz="0" w:space="0" w:color="auto"/>
      </w:divBdr>
    </w:div>
    <w:div w:id="1410689732">
      <w:bodyDiv w:val="1"/>
      <w:marLeft w:val="0"/>
      <w:marRight w:val="0"/>
      <w:marTop w:val="0"/>
      <w:marBottom w:val="0"/>
      <w:divBdr>
        <w:top w:val="none" w:sz="0" w:space="0" w:color="auto"/>
        <w:left w:val="none" w:sz="0" w:space="0" w:color="auto"/>
        <w:bottom w:val="none" w:sz="0" w:space="0" w:color="auto"/>
        <w:right w:val="none" w:sz="0" w:space="0" w:color="auto"/>
      </w:divBdr>
    </w:div>
    <w:div w:id="1414887419">
      <w:bodyDiv w:val="1"/>
      <w:marLeft w:val="0"/>
      <w:marRight w:val="0"/>
      <w:marTop w:val="0"/>
      <w:marBottom w:val="0"/>
      <w:divBdr>
        <w:top w:val="none" w:sz="0" w:space="0" w:color="auto"/>
        <w:left w:val="none" w:sz="0" w:space="0" w:color="auto"/>
        <w:bottom w:val="none" w:sz="0" w:space="0" w:color="auto"/>
        <w:right w:val="none" w:sz="0" w:space="0" w:color="auto"/>
      </w:divBdr>
    </w:div>
    <w:div w:id="1416434397">
      <w:bodyDiv w:val="1"/>
      <w:marLeft w:val="0"/>
      <w:marRight w:val="0"/>
      <w:marTop w:val="0"/>
      <w:marBottom w:val="0"/>
      <w:divBdr>
        <w:top w:val="none" w:sz="0" w:space="0" w:color="auto"/>
        <w:left w:val="none" w:sz="0" w:space="0" w:color="auto"/>
        <w:bottom w:val="none" w:sz="0" w:space="0" w:color="auto"/>
        <w:right w:val="none" w:sz="0" w:space="0" w:color="auto"/>
      </w:divBdr>
    </w:div>
    <w:div w:id="1416587744">
      <w:bodyDiv w:val="1"/>
      <w:marLeft w:val="0"/>
      <w:marRight w:val="0"/>
      <w:marTop w:val="0"/>
      <w:marBottom w:val="0"/>
      <w:divBdr>
        <w:top w:val="none" w:sz="0" w:space="0" w:color="auto"/>
        <w:left w:val="none" w:sz="0" w:space="0" w:color="auto"/>
        <w:bottom w:val="none" w:sz="0" w:space="0" w:color="auto"/>
        <w:right w:val="none" w:sz="0" w:space="0" w:color="auto"/>
      </w:divBdr>
    </w:div>
    <w:div w:id="1417167449">
      <w:bodyDiv w:val="1"/>
      <w:marLeft w:val="0"/>
      <w:marRight w:val="0"/>
      <w:marTop w:val="0"/>
      <w:marBottom w:val="0"/>
      <w:divBdr>
        <w:top w:val="none" w:sz="0" w:space="0" w:color="auto"/>
        <w:left w:val="none" w:sz="0" w:space="0" w:color="auto"/>
        <w:bottom w:val="none" w:sz="0" w:space="0" w:color="auto"/>
        <w:right w:val="none" w:sz="0" w:space="0" w:color="auto"/>
      </w:divBdr>
    </w:div>
    <w:div w:id="1417746496">
      <w:bodyDiv w:val="1"/>
      <w:marLeft w:val="0"/>
      <w:marRight w:val="0"/>
      <w:marTop w:val="0"/>
      <w:marBottom w:val="0"/>
      <w:divBdr>
        <w:top w:val="none" w:sz="0" w:space="0" w:color="auto"/>
        <w:left w:val="none" w:sz="0" w:space="0" w:color="auto"/>
        <w:bottom w:val="none" w:sz="0" w:space="0" w:color="auto"/>
        <w:right w:val="none" w:sz="0" w:space="0" w:color="auto"/>
      </w:divBdr>
    </w:div>
    <w:div w:id="1419253245">
      <w:bodyDiv w:val="1"/>
      <w:marLeft w:val="0"/>
      <w:marRight w:val="0"/>
      <w:marTop w:val="0"/>
      <w:marBottom w:val="0"/>
      <w:divBdr>
        <w:top w:val="none" w:sz="0" w:space="0" w:color="auto"/>
        <w:left w:val="none" w:sz="0" w:space="0" w:color="auto"/>
        <w:bottom w:val="none" w:sz="0" w:space="0" w:color="auto"/>
        <w:right w:val="none" w:sz="0" w:space="0" w:color="auto"/>
      </w:divBdr>
    </w:div>
    <w:div w:id="1421633879">
      <w:bodyDiv w:val="1"/>
      <w:marLeft w:val="0"/>
      <w:marRight w:val="0"/>
      <w:marTop w:val="0"/>
      <w:marBottom w:val="0"/>
      <w:divBdr>
        <w:top w:val="none" w:sz="0" w:space="0" w:color="auto"/>
        <w:left w:val="none" w:sz="0" w:space="0" w:color="auto"/>
        <w:bottom w:val="none" w:sz="0" w:space="0" w:color="auto"/>
        <w:right w:val="none" w:sz="0" w:space="0" w:color="auto"/>
      </w:divBdr>
    </w:div>
    <w:div w:id="1435979808">
      <w:bodyDiv w:val="1"/>
      <w:marLeft w:val="0"/>
      <w:marRight w:val="0"/>
      <w:marTop w:val="0"/>
      <w:marBottom w:val="0"/>
      <w:divBdr>
        <w:top w:val="none" w:sz="0" w:space="0" w:color="auto"/>
        <w:left w:val="none" w:sz="0" w:space="0" w:color="auto"/>
        <w:bottom w:val="none" w:sz="0" w:space="0" w:color="auto"/>
        <w:right w:val="none" w:sz="0" w:space="0" w:color="auto"/>
      </w:divBdr>
    </w:div>
    <w:div w:id="1438021628">
      <w:bodyDiv w:val="1"/>
      <w:marLeft w:val="0"/>
      <w:marRight w:val="0"/>
      <w:marTop w:val="0"/>
      <w:marBottom w:val="0"/>
      <w:divBdr>
        <w:top w:val="none" w:sz="0" w:space="0" w:color="auto"/>
        <w:left w:val="none" w:sz="0" w:space="0" w:color="auto"/>
        <w:bottom w:val="none" w:sz="0" w:space="0" w:color="auto"/>
        <w:right w:val="none" w:sz="0" w:space="0" w:color="auto"/>
      </w:divBdr>
    </w:div>
    <w:div w:id="1438327555">
      <w:bodyDiv w:val="1"/>
      <w:marLeft w:val="0"/>
      <w:marRight w:val="0"/>
      <w:marTop w:val="0"/>
      <w:marBottom w:val="0"/>
      <w:divBdr>
        <w:top w:val="none" w:sz="0" w:space="0" w:color="auto"/>
        <w:left w:val="none" w:sz="0" w:space="0" w:color="auto"/>
        <w:bottom w:val="none" w:sz="0" w:space="0" w:color="auto"/>
        <w:right w:val="none" w:sz="0" w:space="0" w:color="auto"/>
      </w:divBdr>
    </w:div>
    <w:div w:id="1441995778">
      <w:bodyDiv w:val="1"/>
      <w:marLeft w:val="0"/>
      <w:marRight w:val="0"/>
      <w:marTop w:val="0"/>
      <w:marBottom w:val="0"/>
      <w:divBdr>
        <w:top w:val="none" w:sz="0" w:space="0" w:color="auto"/>
        <w:left w:val="none" w:sz="0" w:space="0" w:color="auto"/>
        <w:bottom w:val="none" w:sz="0" w:space="0" w:color="auto"/>
        <w:right w:val="none" w:sz="0" w:space="0" w:color="auto"/>
      </w:divBdr>
    </w:div>
    <w:div w:id="1442261420">
      <w:bodyDiv w:val="1"/>
      <w:marLeft w:val="0"/>
      <w:marRight w:val="0"/>
      <w:marTop w:val="0"/>
      <w:marBottom w:val="0"/>
      <w:divBdr>
        <w:top w:val="none" w:sz="0" w:space="0" w:color="auto"/>
        <w:left w:val="none" w:sz="0" w:space="0" w:color="auto"/>
        <w:bottom w:val="none" w:sz="0" w:space="0" w:color="auto"/>
        <w:right w:val="none" w:sz="0" w:space="0" w:color="auto"/>
      </w:divBdr>
    </w:div>
    <w:div w:id="1443647244">
      <w:bodyDiv w:val="1"/>
      <w:marLeft w:val="0"/>
      <w:marRight w:val="0"/>
      <w:marTop w:val="0"/>
      <w:marBottom w:val="0"/>
      <w:divBdr>
        <w:top w:val="none" w:sz="0" w:space="0" w:color="auto"/>
        <w:left w:val="none" w:sz="0" w:space="0" w:color="auto"/>
        <w:bottom w:val="none" w:sz="0" w:space="0" w:color="auto"/>
        <w:right w:val="none" w:sz="0" w:space="0" w:color="auto"/>
      </w:divBdr>
    </w:div>
    <w:div w:id="1447239224">
      <w:bodyDiv w:val="1"/>
      <w:marLeft w:val="0"/>
      <w:marRight w:val="0"/>
      <w:marTop w:val="0"/>
      <w:marBottom w:val="0"/>
      <w:divBdr>
        <w:top w:val="none" w:sz="0" w:space="0" w:color="auto"/>
        <w:left w:val="none" w:sz="0" w:space="0" w:color="auto"/>
        <w:bottom w:val="none" w:sz="0" w:space="0" w:color="auto"/>
        <w:right w:val="none" w:sz="0" w:space="0" w:color="auto"/>
      </w:divBdr>
    </w:div>
    <w:div w:id="1448811239">
      <w:bodyDiv w:val="1"/>
      <w:marLeft w:val="0"/>
      <w:marRight w:val="0"/>
      <w:marTop w:val="0"/>
      <w:marBottom w:val="0"/>
      <w:divBdr>
        <w:top w:val="none" w:sz="0" w:space="0" w:color="auto"/>
        <w:left w:val="none" w:sz="0" w:space="0" w:color="auto"/>
        <w:bottom w:val="none" w:sz="0" w:space="0" w:color="auto"/>
        <w:right w:val="none" w:sz="0" w:space="0" w:color="auto"/>
      </w:divBdr>
    </w:div>
    <w:div w:id="1449467069">
      <w:bodyDiv w:val="1"/>
      <w:marLeft w:val="0"/>
      <w:marRight w:val="0"/>
      <w:marTop w:val="0"/>
      <w:marBottom w:val="0"/>
      <w:divBdr>
        <w:top w:val="none" w:sz="0" w:space="0" w:color="auto"/>
        <w:left w:val="none" w:sz="0" w:space="0" w:color="auto"/>
        <w:bottom w:val="none" w:sz="0" w:space="0" w:color="auto"/>
        <w:right w:val="none" w:sz="0" w:space="0" w:color="auto"/>
      </w:divBdr>
    </w:div>
    <w:div w:id="1450780040">
      <w:bodyDiv w:val="1"/>
      <w:marLeft w:val="0"/>
      <w:marRight w:val="0"/>
      <w:marTop w:val="0"/>
      <w:marBottom w:val="0"/>
      <w:divBdr>
        <w:top w:val="none" w:sz="0" w:space="0" w:color="auto"/>
        <w:left w:val="none" w:sz="0" w:space="0" w:color="auto"/>
        <w:bottom w:val="none" w:sz="0" w:space="0" w:color="auto"/>
        <w:right w:val="none" w:sz="0" w:space="0" w:color="auto"/>
      </w:divBdr>
    </w:div>
    <w:div w:id="1451899652">
      <w:bodyDiv w:val="1"/>
      <w:marLeft w:val="0"/>
      <w:marRight w:val="0"/>
      <w:marTop w:val="0"/>
      <w:marBottom w:val="0"/>
      <w:divBdr>
        <w:top w:val="none" w:sz="0" w:space="0" w:color="auto"/>
        <w:left w:val="none" w:sz="0" w:space="0" w:color="auto"/>
        <w:bottom w:val="none" w:sz="0" w:space="0" w:color="auto"/>
        <w:right w:val="none" w:sz="0" w:space="0" w:color="auto"/>
      </w:divBdr>
    </w:div>
    <w:div w:id="1454204067">
      <w:bodyDiv w:val="1"/>
      <w:marLeft w:val="0"/>
      <w:marRight w:val="0"/>
      <w:marTop w:val="0"/>
      <w:marBottom w:val="0"/>
      <w:divBdr>
        <w:top w:val="none" w:sz="0" w:space="0" w:color="auto"/>
        <w:left w:val="none" w:sz="0" w:space="0" w:color="auto"/>
        <w:bottom w:val="none" w:sz="0" w:space="0" w:color="auto"/>
        <w:right w:val="none" w:sz="0" w:space="0" w:color="auto"/>
      </w:divBdr>
    </w:div>
    <w:div w:id="1454598793">
      <w:bodyDiv w:val="1"/>
      <w:marLeft w:val="0"/>
      <w:marRight w:val="0"/>
      <w:marTop w:val="0"/>
      <w:marBottom w:val="0"/>
      <w:divBdr>
        <w:top w:val="none" w:sz="0" w:space="0" w:color="auto"/>
        <w:left w:val="none" w:sz="0" w:space="0" w:color="auto"/>
        <w:bottom w:val="none" w:sz="0" w:space="0" w:color="auto"/>
        <w:right w:val="none" w:sz="0" w:space="0" w:color="auto"/>
      </w:divBdr>
    </w:div>
    <w:div w:id="1461263635">
      <w:bodyDiv w:val="1"/>
      <w:marLeft w:val="0"/>
      <w:marRight w:val="0"/>
      <w:marTop w:val="0"/>
      <w:marBottom w:val="0"/>
      <w:divBdr>
        <w:top w:val="none" w:sz="0" w:space="0" w:color="auto"/>
        <w:left w:val="none" w:sz="0" w:space="0" w:color="auto"/>
        <w:bottom w:val="none" w:sz="0" w:space="0" w:color="auto"/>
        <w:right w:val="none" w:sz="0" w:space="0" w:color="auto"/>
      </w:divBdr>
    </w:div>
    <w:div w:id="1467309141">
      <w:bodyDiv w:val="1"/>
      <w:marLeft w:val="0"/>
      <w:marRight w:val="0"/>
      <w:marTop w:val="0"/>
      <w:marBottom w:val="0"/>
      <w:divBdr>
        <w:top w:val="none" w:sz="0" w:space="0" w:color="auto"/>
        <w:left w:val="none" w:sz="0" w:space="0" w:color="auto"/>
        <w:bottom w:val="none" w:sz="0" w:space="0" w:color="auto"/>
        <w:right w:val="none" w:sz="0" w:space="0" w:color="auto"/>
      </w:divBdr>
    </w:div>
    <w:div w:id="1467889210">
      <w:bodyDiv w:val="1"/>
      <w:marLeft w:val="0"/>
      <w:marRight w:val="0"/>
      <w:marTop w:val="0"/>
      <w:marBottom w:val="0"/>
      <w:divBdr>
        <w:top w:val="none" w:sz="0" w:space="0" w:color="auto"/>
        <w:left w:val="none" w:sz="0" w:space="0" w:color="auto"/>
        <w:bottom w:val="none" w:sz="0" w:space="0" w:color="auto"/>
        <w:right w:val="none" w:sz="0" w:space="0" w:color="auto"/>
      </w:divBdr>
    </w:div>
    <w:div w:id="1471240886">
      <w:bodyDiv w:val="1"/>
      <w:marLeft w:val="0"/>
      <w:marRight w:val="0"/>
      <w:marTop w:val="0"/>
      <w:marBottom w:val="0"/>
      <w:divBdr>
        <w:top w:val="none" w:sz="0" w:space="0" w:color="auto"/>
        <w:left w:val="none" w:sz="0" w:space="0" w:color="auto"/>
        <w:bottom w:val="none" w:sz="0" w:space="0" w:color="auto"/>
        <w:right w:val="none" w:sz="0" w:space="0" w:color="auto"/>
      </w:divBdr>
    </w:div>
    <w:div w:id="1471627765">
      <w:bodyDiv w:val="1"/>
      <w:marLeft w:val="0"/>
      <w:marRight w:val="0"/>
      <w:marTop w:val="0"/>
      <w:marBottom w:val="0"/>
      <w:divBdr>
        <w:top w:val="none" w:sz="0" w:space="0" w:color="auto"/>
        <w:left w:val="none" w:sz="0" w:space="0" w:color="auto"/>
        <w:bottom w:val="none" w:sz="0" w:space="0" w:color="auto"/>
        <w:right w:val="none" w:sz="0" w:space="0" w:color="auto"/>
      </w:divBdr>
    </w:div>
    <w:div w:id="1475635220">
      <w:bodyDiv w:val="1"/>
      <w:marLeft w:val="0"/>
      <w:marRight w:val="0"/>
      <w:marTop w:val="0"/>
      <w:marBottom w:val="0"/>
      <w:divBdr>
        <w:top w:val="none" w:sz="0" w:space="0" w:color="auto"/>
        <w:left w:val="none" w:sz="0" w:space="0" w:color="auto"/>
        <w:bottom w:val="none" w:sz="0" w:space="0" w:color="auto"/>
        <w:right w:val="none" w:sz="0" w:space="0" w:color="auto"/>
      </w:divBdr>
    </w:div>
    <w:div w:id="1484151972">
      <w:bodyDiv w:val="1"/>
      <w:marLeft w:val="0"/>
      <w:marRight w:val="0"/>
      <w:marTop w:val="0"/>
      <w:marBottom w:val="0"/>
      <w:divBdr>
        <w:top w:val="none" w:sz="0" w:space="0" w:color="auto"/>
        <w:left w:val="none" w:sz="0" w:space="0" w:color="auto"/>
        <w:bottom w:val="none" w:sz="0" w:space="0" w:color="auto"/>
        <w:right w:val="none" w:sz="0" w:space="0" w:color="auto"/>
      </w:divBdr>
    </w:div>
    <w:div w:id="1489251339">
      <w:bodyDiv w:val="1"/>
      <w:marLeft w:val="0"/>
      <w:marRight w:val="0"/>
      <w:marTop w:val="0"/>
      <w:marBottom w:val="0"/>
      <w:divBdr>
        <w:top w:val="none" w:sz="0" w:space="0" w:color="auto"/>
        <w:left w:val="none" w:sz="0" w:space="0" w:color="auto"/>
        <w:bottom w:val="none" w:sz="0" w:space="0" w:color="auto"/>
        <w:right w:val="none" w:sz="0" w:space="0" w:color="auto"/>
      </w:divBdr>
    </w:div>
    <w:div w:id="1489397887">
      <w:bodyDiv w:val="1"/>
      <w:marLeft w:val="0"/>
      <w:marRight w:val="0"/>
      <w:marTop w:val="0"/>
      <w:marBottom w:val="0"/>
      <w:divBdr>
        <w:top w:val="none" w:sz="0" w:space="0" w:color="auto"/>
        <w:left w:val="none" w:sz="0" w:space="0" w:color="auto"/>
        <w:bottom w:val="none" w:sz="0" w:space="0" w:color="auto"/>
        <w:right w:val="none" w:sz="0" w:space="0" w:color="auto"/>
      </w:divBdr>
    </w:div>
    <w:div w:id="1491217858">
      <w:bodyDiv w:val="1"/>
      <w:marLeft w:val="0"/>
      <w:marRight w:val="0"/>
      <w:marTop w:val="0"/>
      <w:marBottom w:val="0"/>
      <w:divBdr>
        <w:top w:val="none" w:sz="0" w:space="0" w:color="auto"/>
        <w:left w:val="none" w:sz="0" w:space="0" w:color="auto"/>
        <w:bottom w:val="none" w:sz="0" w:space="0" w:color="auto"/>
        <w:right w:val="none" w:sz="0" w:space="0" w:color="auto"/>
      </w:divBdr>
    </w:div>
    <w:div w:id="1492714087">
      <w:bodyDiv w:val="1"/>
      <w:marLeft w:val="0"/>
      <w:marRight w:val="0"/>
      <w:marTop w:val="0"/>
      <w:marBottom w:val="0"/>
      <w:divBdr>
        <w:top w:val="none" w:sz="0" w:space="0" w:color="auto"/>
        <w:left w:val="none" w:sz="0" w:space="0" w:color="auto"/>
        <w:bottom w:val="none" w:sz="0" w:space="0" w:color="auto"/>
        <w:right w:val="none" w:sz="0" w:space="0" w:color="auto"/>
      </w:divBdr>
    </w:div>
    <w:div w:id="1493108917">
      <w:bodyDiv w:val="1"/>
      <w:marLeft w:val="0"/>
      <w:marRight w:val="0"/>
      <w:marTop w:val="0"/>
      <w:marBottom w:val="0"/>
      <w:divBdr>
        <w:top w:val="none" w:sz="0" w:space="0" w:color="auto"/>
        <w:left w:val="none" w:sz="0" w:space="0" w:color="auto"/>
        <w:bottom w:val="none" w:sz="0" w:space="0" w:color="auto"/>
        <w:right w:val="none" w:sz="0" w:space="0" w:color="auto"/>
      </w:divBdr>
    </w:div>
    <w:div w:id="1496915539">
      <w:bodyDiv w:val="1"/>
      <w:marLeft w:val="0"/>
      <w:marRight w:val="0"/>
      <w:marTop w:val="0"/>
      <w:marBottom w:val="0"/>
      <w:divBdr>
        <w:top w:val="none" w:sz="0" w:space="0" w:color="auto"/>
        <w:left w:val="none" w:sz="0" w:space="0" w:color="auto"/>
        <w:bottom w:val="none" w:sz="0" w:space="0" w:color="auto"/>
        <w:right w:val="none" w:sz="0" w:space="0" w:color="auto"/>
      </w:divBdr>
    </w:div>
    <w:div w:id="1504858188">
      <w:bodyDiv w:val="1"/>
      <w:marLeft w:val="0"/>
      <w:marRight w:val="0"/>
      <w:marTop w:val="0"/>
      <w:marBottom w:val="0"/>
      <w:divBdr>
        <w:top w:val="none" w:sz="0" w:space="0" w:color="auto"/>
        <w:left w:val="none" w:sz="0" w:space="0" w:color="auto"/>
        <w:bottom w:val="none" w:sz="0" w:space="0" w:color="auto"/>
        <w:right w:val="none" w:sz="0" w:space="0" w:color="auto"/>
      </w:divBdr>
    </w:div>
    <w:div w:id="1505590220">
      <w:bodyDiv w:val="1"/>
      <w:marLeft w:val="0"/>
      <w:marRight w:val="0"/>
      <w:marTop w:val="0"/>
      <w:marBottom w:val="0"/>
      <w:divBdr>
        <w:top w:val="none" w:sz="0" w:space="0" w:color="auto"/>
        <w:left w:val="none" w:sz="0" w:space="0" w:color="auto"/>
        <w:bottom w:val="none" w:sz="0" w:space="0" w:color="auto"/>
        <w:right w:val="none" w:sz="0" w:space="0" w:color="auto"/>
      </w:divBdr>
    </w:div>
    <w:div w:id="1508709453">
      <w:bodyDiv w:val="1"/>
      <w:marLeft w:val="0"/>
      <w:marRight w:val="0"/>
      <w:marTop w:val="0"/>
      <w:marBottom w:val="0"/>
      <w:divBdr>
        <w:top w:val="none" w:sz="0" w:space="0" w:color="auto"/>
        <w:left w:val="none" w:sz="0" w:space="0" w:color="auto"/>
        <w:bottom w:val="none" w:sz="0" w:space="0" w:color="auto"/>
        <w:right w:val="none" w:sz="0" w:space="0" w:color="auto"/>
      </w:divBdr>
    </w:div>
    <w:div w:id="1510172052">
      <w:bodyDiv w:val="1"/>
      <w:marLeft w:val="0"/>
      <w:marRight w:val="0"/>
      <w:marTop w:val="0"/>
      <w:marBottom w:val="0"/>
      <w:divBdr>
        <w:top w:val="none" w:sz="0" w:space="0" w:color="auto"/>
        <w:left w:val="none" w:sz="0" w:space="0" w:color="auto"/>
        <w:bottom w:val="none" w:sz="0" w:space="0" w:color="auto"/>
        <w:right w:val="none" w:sz="0" w:space="0" w:color="auto"/>
      </w:divBdr>
    </w:div>
    <w:div w:id="1510606571">
      <w:bodyDiv w:val="1"/>
      <w:marLeft w:val="0"/>
      <w:marRight w:val="0"/>
      <w:marTop w:val="0"/>
      <w:marBottom w:val="0"/>
      <w:divBdr>
        <w:top w:val="none" w:sz="0" w:space="0" w:color="auto"/>
        <w:left w:val="none" w:sz="0" w:space="0" w:color="auto"/>
        <w:bottom w:val="none" w:sz="0" w:space="0" w:color="auto"/>
        <w:right w:val="none" w:sz="0" w:space="0" w:color="auto"/>
      </w:divBdr>
    </w:div>
    <w:div w:id="1518230814">
      <w:bodyDiv w:val="1"/>
      <w:marLeft w:val="0"/>
      <w:marRight w:val="0"/>
      <w:marTop w:val="0"/>
      <w:marBottom w:val="0"/>
      <w:divBdr>
        <w:top w:val="none" w:sz="0" w:space="0" w:color="auto"/>
        <w:left w:val="none" w:sz="0" w:space="0" w:color="auto"/>
        <w:bottom w:val="none" w:sz="0" w:space="0" w:color="auto"/>
        <w:right w:val="none" w:sz="0" w:space="0" w:color="auto"/>
      </w:divBdr>
    </w:div>
    <w:div w:id="1518888450">
      <w:bodyDiv w:val="1"/>
      <w:marLeft w:val="0"/>
      <w:marRight w:val="0"/>
      <w:marTop w:val="0"/>
      <w:marBottom w:val="0"/>
      <w:divBdr>
        <w:top w:val="none" w:sz="0" w:space="0" w:color="auto"/>
        <w:left w:val="none" w:sz="0" w:space="0" w:color="auto"/>
        <w:bottom w:val="none" w:sz="0" w:space="0" w:color="auto"/>
        <w:right w:val="none" w:sz="0" w:space="0" w:color="auto"/>
      </w:divBdr>
    </w:div>
    <w:div w:id="1519808023">
      <w:bodyDiv w:val="1"/>
      <w:marLeft w:val="0"/>
      <w:marRight w:val="0"/>
      <w:marTop w:val="0"/>
      <w:marBottom w:val="0"/>
      <w:divBdr>
        <w:top w:val="none" w:sz="0" w:space="0" w:color="auto"/>
        <w:left w:val="none" w:sz="0" w:space="0" w:color="auto"/>
        <w:bottom w:val="none" w:sz="0" w:space="0" w:color="auto"/>
        <w:right w:val="none" w:sz="0" w:space="0" w:color="auto"/>
      </w:divBdr>
    </w:div>
    <w:div w:id="1521507949">
      <w:bodyDiv w:val="1"/>
      <w:marLeft w:val="0"/>
      <w:marRight w:val="0"/>
      <w:marTop w:val="0"/>
      <w:marBottom w:val="0"/>
      <w:divBdr>
        <w:top w:val="none" w:sz="0" w:space="0" w:color="auto"/>
        <w:left w:val="none" w:sz="0" w:space="0" w:color="auto"/>
        <w:bottom w:val="none" w:sz="0" w:space="0" w:color="auto"/>
        <w:right w:val="none" w:sz="0" w:space="0" w:color="auto"/>
      </w:divBdr>
    </w:div>
    <w:div w:id="1536625719">
      <w:bodyDiv w:val="1"/>
      <w:marLeft w:val="0"/>
      <w:marRight w:val="0"/>
      <w:marTop w:val="0"/>
      <w:marBottom w:val="0"/>
      <w:divBdr>
        <w:top w:val="none" w:sz="0" w:space="0" w:color="auto"/>
        <w:left w:val="none" w:sz="0" w:space="0" w:color="auto"/>
        <w:bottom w:val="none" w:sz="0" w:space="0" w:color="auto"/>
        <w:right w:val="none" w:sz="0" w:space="0" w:color="auto"/>
      </w:divBdr>
    </w:div>
    <w:div w:id="1537691318">
      <w:bodyDiv w:val="1"/>
      <w:marLeft w:val="0"/>
      <w:marRight w:val="0"/>
      <w:marTop w:val="0"/>
      <w:marBottom w:val="0"/>
      <w:divBdr>
        <w:top w:val="none" w:sz="0" w:space="0" w:color="auto"/>
        <w:left w:val="none" w:sz="0" w:space="0" w:color="auto"/>
        <w:bottom w:val="none" w:sz="0" w:space="0" w:color="auto"/>
        <w:right w:val="none" w:sz="0" w:space="0" w:color="auto"/>
      </w:divBdr>
    </w:div>
    <w:div w:id="1539852190">
      <w:bodyDiv w:val="1"/>
      <w:marLeft w:val="0"/>
      <w:marRight w:val="0"/>
      <w:marTop w:val="0"/>
      <w:marBottom w:val="0"/>
      <w:divBdr>
        <w:top w:val="none" w:sz="0" w:space="0" w:color="auto"/>
        <w:left w:val="none" w:sz="0" w:space="0" w:color="auto"/>
        <w:bottom w:val="none" w:sz="0" w:space="0" w:color="auto"/>
        <w:right w:val="none" w:sz="0" w:space="0" w:color="auto"/>
      </w:divBdr>
    </w:div>
    <w:div w:id="1550991162">
      <w:bodyDiv w:val="1"/>
      <w:marLeft w:val="0"/>
      <w:marRight w:val="0"/>
      <w:marTop w:val="0"/>
      <w:marBottom w:val="0"/>
      <w:divBdr>
        <w:top w:val="none" w:sz="0" w:space="0" w:color="auto"/>
        <w:left w:val="none" w:sz="0" w:space="0" w:color="auto"/>
        <w:bottom w:val="none" w:sz="0" w:space="0" w:color="auto"/>
        <w:right w:val="none" w:sz="0" w:space="0" w:color="auto"/>
      </w:divBdr>
    </w:div>
    <w:div w:id="1551838003">
      <w:bodyDiv w:val="1"/>
      <w:marLeft w:val="0"/>
      <w:marRight w:val="0"/>
      <w:marTop w:val="0"/>
      <w:marBottom w:val="0"/>
      <w:divBdr>
        <w:top w:val="none" w:sz="0" w:space="0" w:color="auto"/>
        <w:left w:val="none" w:sz="0" w:space="0" w:color="auto"/>
        <w:bottom w:val="none" w:sz="0" w:space="0" w:color="auto"/>
        <w:right w:val="none" w:sz="0" w:space="0" w:color="auto"/>
      </w:divBdr>
    </w:div>
    <w:div w:id="1558013104">
      <w:bodyDiv w:val="1"/>
      <w:marLeft w:val="0"/>
      <w:marRight w:val="0"/>
      <w:marTop w:val="0"/>
      <w:marBottom w:val="0"/>
      <w:divBdr>
        <w:top w:val="none" w:sz="0" w:space="0" w:color="auto"/>
        <w:left w:val="none" w:sz="0" w:space="0" w:color="auto"/>
        <w:bottom w:val="none" w:sz="0" w:space="0" w:color="auto"/>
        <w:right w:val="none" w:sz="0" w:space="0" w:color="auto"/>
      </w:divBdr>
    </w:div>
    <w:div w:id="1559898625">
      <w:bodyDiv w:val="1"/>
      <w:marLeft w:val="0"/>
      <w:marRight w:val="0"/>
      <w:marTop w:val="0"/>
      <w:marBottom w:val="0"/>
      <w:divBdr>
        <w:top w:val="none" w:sz="0" w:space="0" w:color="auto"/>
        <w:left w:val="none" w:sz="0" w:space="0" w:color="auto"/>
        <w:bottom w:val="none" w:sz="0" w:space="0" w:color="auto"/>
        <w:right w:val="none" w:sz="0" w:space="0" w:color="auto"/>
      </w:divBdr>
    </w:div>
    <w:div w:id="1565289094">
      <w:bodyDiv w:val="1"/>
      <w:marLeft w:val="0"/>
      <w:marRight w:val="0"/>
      <w:marTop w:val="0"/>
      <w:marBottom w:val="0"/>
      <w:divBdr>
        <w:top w:val="none" w:sz="0" w:space="0" w:color="auto"/>
        <w:left w:val="none" w:sz="0" w:space="0" w:color="auto"/>
        <w:bottom w:val="none" w:sz="0" w:space="0" w:color="auto"/>
        <w:right w:val="none" w:sz="0" w:space="0" w:color="auto"/>
      </w:divBdr>
    </w:div>
    <w:div w:id="1567108492">
      <w:bodyDiv w:val="1"/>
      <w:marLeft w:val="0"/>
      <w:marRight w:val="0"/>
      <w:marTop w:val="0"/>
      <w:marBottom w:val="0"/>
      <w:divBdr>
        <w:top w:val="none" w:sz="0" w:space="0" w:color="auto"/>
        <w:left w:val="none" w:sz="0" w:space="0" w:color="auto"/>
        <w:bottom w:val="none" w:sz="0" w:space="0" w:color="auto"/>
        <w:right w:val="none" w:sz="0" w:space="0" w:color="auto"/>
      </w:divBdr>
    </w:div>
    <w:div w:id="1567447205">
      <w:bodyDiv w:val="1"/>
      <w:marLeft w:val="0"/>
      <w:marRight w:val="0"/>
      <w:marTop w:val="0"/>
      <w:marBottom w:val="0"/>
      <w:divBdr>
        <w:top w:val="none" w:sz="0" w:space="0" w:color="auto"/>
        <w:left w:val="none" w:sz="0" w:space="0" w:color="auto"/>
        <w:bottom w:val="none" w:sz="0" w:space="0" w:color="auto"/>
        <w:right w:val="none" w:sz="0" w:space="0" w:color="auto"/>
      </w:divBdr>
    </w:div>
    <w:div w:id="1578201693">
      <w:bodyDiv w:val="1"/>
      <w:marLeft w:val="0"/>
      <w:marRight w:val="0"/>
      <w:marTop w:val="0"/>
      <w:marBottom w:val="0"/>
      <w:divBdr>
        <w:top w:val="none" w:sz="0" w:space="0" w:color="auto"/>
        <w:left w:val="none" w:sz="0" w:space="0" w:color="auto"/>
        <w:bottom w:val="none" w:sz="0" w:space="0" w:color="auto"/>
        <w:right w:val="none" w:sz="0" w:space="0" w:color="auto"/>
      </w:divBdr>
    </w:div>
    <w:div w:id="1578789026">
      <w:bodyDiv w:val="1"/>
      <w:marLeft w:val="0"/>
      <w:marRight w:val="0"/>
      <w:marTop w:val="0"/>
      <w:marBottom w:val="0"/>
      <w:divBdr>
        <w:top w:val="none" w:sz="0" w:space="0" w:color="auto"/>
        <w:left w:val="none" w:sz="0" w:space="0" w:color="auto"/>
        <w:bottom w:val="none" w:sz="0" w:space="0" w:color="auto"/>
        <w:right w:val="none" w:sz="0" w:space="0" w:color="auto"/>
      </w:divBdr>
    </w:div>
    <w:div w:id="1581980875">
      <w:bodyDiv w:val="1"/>
      <w:marLeft w:val="0"/>
      <w:marRight w:val="0"/>
      <w:marTop w:val="0"/>
      <w:marBottom w:val="0"/>
      <w:divBdr>
        <w:top w:val="none" w:sz="0" w:space="0" w:color="auto"/>
        <w:left w:val="none" w:sz="0" w:space="0" w:color="auto"/>
        <w:bottom w:val="none" w:sz="0" w:space="0" w:color="auto"/>
        <w:right w:val="none" w:sz="0" w:space="0" w:color="auto"/>
      </w:divBdr>
    </w:div>
    <w:div w:id="1582831642">
      <w:bodyDiv w:val="1"/>
      <w:marLeft w:val="0"/>
      <w:marRight w:val="0"/>
      <w:marTop w:val="0"/>
      <w:marBottom w:val="0"/>
      <w:divBdr>
        <w:top w:val="none" w:sz="0" w:space="0" w:color="auto"/>
        <w:left w:val="none" w:sz="0" w:space="0" w:color="auto"/>
        <w:bottom w:val="none" w:sz="0" w:space="0" w:color="auto"/>
        <w:right w:val="none" w:sz="0" w:space="0" w:color="auto"/>
      </w:divBdr>
    </w:div>
    <w:div w:id="1584221712">
      <w:bodyDiv w:val="1"/>
      <w:marLeft w:val="0"/>
      <w:marRight w:val="0"/>
      <w:marTop w:val="0"/>
      <w:marBottom w:val="0"/>
      <w:divBdr>
        <w:top w:val="none" w:sz="0" w:space="0" w:color="auto"/>
        <w:left w:val="none" w:sz="0" w:space="0" w:color="auto"/>
        <w:bottom w:val="none" w:sz="0" w:space="0" w:color="auto"/>
        <w:right w:val="none" w:sz="0" w:space="0" w:color="auto"/>
      </w:divBdr>
    </w:div>
    <w:div w:id="1588152304">
      <w:bodyDiv w:val="1"/>
      <w:marLeft w:val="0"/>
      <w:marRight w:val="0"/>
      <w:marTop w:val="0"/>
      <w:marBottom w:val="0"/>
      <w:divBdr>
        <w:top w:val="none" w:sz="0" w:space="0" w:color="auto"/>
        <w:left w:val="none" w:sz="0" w:space="0" w:color="auto"/>
        <w:bottom w:val="none" w:sz="0" w:space="0" w:color="auto"/>
        <w:right w:val="none" w:sz="0" w:space="0" w:color="auto"/>
      </w:divBdr>
    </w:div>
    <w:div w:id="1591547655">
      <w:bodyDiv w:val="1"/>
      <w:marLeft w:val="0"/>
      <w:marRight w:val="0"/>
      <w:marTop w:val="0"/>
      <w:marBottom w:val="0"/>
      <w:divBdr>
        <w:top w:val="none" w:sz="0" w:space="0" w:color="auto"/>
        <w:left w:val="none" w:sz="0" w:space="0" w:color="auto"/>
        <w:bottom w:val="none" w:sz="0" w:space="0" w:color="auto"/>
        <w:right w:val="none" w:sz="0" w:space="0" w:color="auto"/>
      </w:divBdr>
    </w:div>
    <w:div w:id="1594171260">
      <w:bodyDiv w:val="1"/>
      <w:marLeft w:val="0"/>
      <w:marRight w:val="0"/>
      <w:marTop w:val="0"/>
      <w:marBottom w:val="0"/>
      <w:divBdr>
        <w:top w:val="none" w:sz="0" w:space="0" w:color="auto"/>
        <w:left w:val="none" w:sz="0" w:space="0" w:color="auto"/>
        <w:bottom w:val="none" w:sz="0" w:space="0" w:color="auto"/>
        <w:right w:val="none" w:sz="0" w:space="0" w:color="auto"/>
      </w:divBdr>
    </w:div>
    <w:div w:id="1594774993">
      <w:bodyDiv w:val="1"/>
      <w:marLeft w:val="0"/>
      <w:marRight w:val="0"/>
      <w:marTop w:val="0"/>
      <w:marBottom w:val="0"/>
      <w:divBdr>
        <w:top w:val="none" w:sz="0" w:space="0" w:color="auto"/>
        <w:left w:val="none" w:sz="0" w:space="0" w:color="auto"/>
        <w:bottom w:val="none" w:sz="0" w:space="0" w:color="auto"/>
        <w:right w:val="none" w:sz="0" w:space="0" w:color="auto"/>
      </w:divBdr>
    </w:div>
    <w:div w:id="1598829342">
      <w:bodyDiv w:val="1"/>
      <w:marLeft w:val="0"/>
      <w:marRight w:val="0"/>
      <w:marTop w:val="0"/>
      <w:marBottom w:val="0"/>
      <w:divBdr>
        <w:top w:val="none" w:sz="0" w:space="0" w:color="auto"/>
        <w:left w:val="none" w:sz="0" w:space="0" w:color="auto"/>
        <w:bottom w:val="none" w:sz="0" w:space="0" w:color="auto"/>
        <w:right w:val="none" w:sz="0" w:space="0" w:color="auto"/>
      </w:divBdr>
    </w:div>
    <w:div w:id="1602685407">
      <w:bodyDiv w:val="1"/>
      <w:marLeft w:val="0"/>
      <w:marRight w:val="0"/>
      <w:marTop w:val="0"/>
      <w:marBottom w:val="0"/>
      <w:divBdr>
        <w:top w:val="none" w:sz="0" w:space="0" w:color="auto"/>
        <w:left w:val="none" w:sz="0" w:space="0" w:color="auto"/>
        <w:bottom w:val="none" w:sz="0" w:space="0" w:color="auto"/>
        <w:right w:val="none" w:sz="0" w:space="0" w:color="auto"/>
      </w:divBdr>
    </w:div>
    <w:div w:id="1610547866">
      <w:bodyDiv w:val="1"/>
      <w:marLeft w:val="0"/>
      <w:marRight w:val="0"/>
      <w:marTop w:val="0"/>
      <w:marBottom w:val="0"/>
      <w:divBdr>
        <w:top w:val="none" w:sz="0" w:space="0" w:color="auto"/>
        <w:left w:val="none" w:sz="0" w:space="0" w:color="auto"/>
        <w:bottom w:val="none" w:sz="0" w:space="0" w:color="auto"/>
        <w:right w:val="none" w:sz="0" w:space="0" w:color="auto"/>
      </w:divBdr>
    </w:div>
    <w:div w:id="1611664781">
      <w:bodyDiv w:val="1"/>
      <w:marLeft w:val="0"/>
      <w:marRight w:val="0"/>
      <w:marTop w:val="0"/>
      <w:marBottom w:val="0"/>
      <w:divBdr>
        <w:top w:val="none" w:sz="0" w:space="0" w:color="auto"/>
        <w:left w:val="none" w:sz="0" w:space="0" w:color="auto"/>
        <w:bottom w:val="none" w:sz="0" w:space="0" w:color="auto"/>
        <w:right w:val="none" w:sz="0" w:space="0" w:color="auto"/>
      </w:divBdr>
    </w:div>
    <w:div w:id="1612862836">
      <w:bodyDiv w:val="1"/>
      <w:marLeft w:val="0"/>
      <w:marRight w:val="0"/>
      <w:marTop w:val="0"/>
      <w:marBottom w:val="0"/>
      <w:divBdr>
        <w:top w:val="none" w:sz="0" w:space="0" w:color="auto"/>
        <w:left w:val="none" w:sz="0" w:space="0" w:color="auto"/>
        <w:bottom w:val="none" w:sz="0" w:space="0" w:color="auto"/>
        <w:right w:val="none" w:sz="0" w:space="0" w:color="auto"/>
      </w:divBdr>
    </w:div>
    <w:div w:id="1614098203">
      <w:bodyDiv w:val="1"/>
      <w:marLeft w:val="0"/>
      <w:marRight w:val="0"/>
      <w:marTop w:val="0"/>
      <w:marBottom w:val="0"/>
      <w:divBdr>
        <w:top w:val="none" w:sz="0" w:space="0" w:color="auto"/>
        <w:left w:val="none" w:sz="0" w:space="0" w:color="auto"/>
        <w:bottom w:val="none" w:sz="0" w:space="0" w:color="auto"/>
        <w:right w:val="none" w:sz="0" w:space="0" w:color="auto"/>
      </w:divBdr>
    </w:div>
    <w:div w:id="1614706225">
      <w:bodyDiv w:val="1"/>
      <w:marLeft w:val="0"/>
      <w:marRight w:val="0"/>
      <w:marTop w:val="0"/>
      <w:marBottom w:val="0"/>
      <w:divBdr>
        <w:top w:val="none" w:sz="0" w:space="0" w:color="auto"/>
        <w:left w:val="none" w:sz="0" w:space="0" w:color="auto"/>
        <w:bottom w:val="none" w:sz="0" w:space="0" w:color="auto"/>
        <w:right w:val="none" w:sz="0" w:space="0" w:color="auto"/>
      </w:divBdr>
    </w:div>
    <w:div w:id="1623422060">
      <w:bodyDiv w:val="1"/>
      <w:marLeft w:val="0"/>
      <w:marRight w:val="0"/>
      <w:marTop w:val="0"/>
      <w:marBottom w:val="0"/>
      <w:divBdr>
        <w:top w:val="none" w:sz="0" w:space="0" w:color="auto"/>
        <w:left w:val="none" w:sz="0" w:space="0" w:color="auto"/>
        <w:bottom w:val="none" w:sz="0" w:space="0" w:color="auto"/>
        <w:right w:val="none" w:sz="0" w:space="0" w:color="auto"/>
      </w:divBdr>
    </w:div>
    <w:div w:id="1623533509">
      <w:bodyDiv w:val="1"/>
      <w:marLeft w:val="0"/>
      <w:marRight w:val="0"/>
      <w:marTop w:val="0"/>
      <w:marBottom w:val="0"/>
      <w:divBdr>
        <w:top w:val="none" w:sz="0" w:space="0" w:color="auto"/>
        <w:left w:val="none" w:sz="0" w:space="0" w:color="auto"/>
        <w:bottom w:val="none" w:sz="0" w:space="0" w:color="auto"/>
        <w:right w:val="none" w:sz="0" w:space="0" w:color="auto"/>
      </w:divBdr>
    </w:div>
    <w:div w:id="1625387779">
      <w:bodyDiv w:val="1"/>
      <w:marLeft w:val="0"/>
      <w:marRight w:val="0"/>
      <w:marTop w:val="0"/>
      <w:marBottom w:val="0"/>
      <w:divBdr>
        <w:top w:val="none" w:sz="0" w:space="0" w:color="auto"/>
        <w:left w:val="none" w:sz="0" w:space="0" w:color="auto"/>
        <w:bottom w:val="none" w:sz="0" w:space="0" w:color="auto"/>
        <w:right w:val="none" w:sz="0" w:space="0" w:color="auto"/>
      </w:divBdr>
    </w:div>
    <w:div w:id="1630286391">
      <w:bodyDiv w:val="1"/>
      <w:marLeft w:val="0"/>
      <w:marRight w:val="0"/>
      <w:marTop w:val="0"/>
      <w:marBottom w:val="0"/>
      <w:divBdr>
        <w:top w:val="none" w:sz="0" w:space="0" w:color="auto"/>
        <w:left w:val="none" w:sz="0" w:space="0" w:color="auto"/>
        <w:bottom w:val="none" w:sz="0" w:space="0" w:color="auto"/>
        <w:right w:val="none" w:sz="0" w:space="0" w:color="auto"/>
      </w:divBdr>
    </w:div>
    <w:div w:id="1639649390">
      <w:bodyDiv w:val="1"/>
      <w:marLeft w:val="0"/>
      <w:marRight w:val="0"/>
      <w:marTop w:val="0"/>
      <w:marBottom w:val="0"/>
      <w:divBdr>
        <w:top w:val="none" w:sz="0" w:space="0" w:color="auto"/>
        <w:left w:val="none" w:sz="0" w:space="0" w:color="auto"/>
        <w:bottom w:val="none" w:sz="0" w:space="0" w:color="auto"/>
        <w:right w:val="none" w:sz="0" w:space="0" w:color="auto"/>
      </w:divBdr>
    </w:div>
    <w:div w:id="1641224378">
      <w:bodyDiv w:val="1"/>
      <w:marLeft w:val="0"/>
      <w:marRight w:val="0"/>
      <w:marTop w:val="0"/>
      <w:marBottom w:val="0"/>
      <w:divBdr>
        <w:top w:val="none" w:sz="0" w:space="0" w:color="auto"/>
        <w:left w:val="none" w:sz="0" w:space="0" w:color="auto"/>
        <w:bottom w:val="none" w:sz="0" w:space="0" w:color="auto"/>
        <w:right w:val="none" w:sz="0" w:space="0" w:color="auto"/>
      </w:divBdr>
    </w:div>
    <w:div w:id="1641420097">
      <w:bodyDiv w:val="1"/>
      <w:marLeft w:val="0"/>
      <w:marRight w:val="0"/>
      <w:marTop w:val="0"/>
      <w:marBottom w:val="0"/>
      <w:divBdr>
        <w:top w:val="none" w:sz="0" w:space="0" w:color="auto"/>
        <w:left w:val="none" w:sz="0" w:space="0" w:color="auto"/>
        <w:bottom w:val="none" w:sz="0" w:space="0" w:color="auto"/>
        <w:right w:val="none" w:sz="0" w:space="0" w:color="auto"/>
      </w:divBdr>
    </w:div>
    <w:div w:id="1644772618">
      <w:bodyDiv w:val="1"/>
      <w:marLeft w:val="0"/>
      <w:marRight w:val="0"/>
      <w:marTop w:val="0"/>
      <w:marBottom w:val="0"/>
      <w:divBdr>
        <w:top w:val="none" w:sz="0" w:space="0" w:color="auto"/>
        <w:left w:val="none" w:sz="0" w:space="0" w:color="auto"/>
        <w:bottom w:val="none" w:sz="0" w:space="0" w:color="auto"/>
        <w:right w:val="none" w:sz="0" w:space="0" w:color="auto"/>
      </w:divBdr>
    </w:div>
    <w:div w:id="1646154196">
      <w:bodyDiv w:val="1"/>
      <w:marLeft w:val="0"/>
      <w:marRight w:val="0"/>
      <w:marTop w:val="0"/>
      <w:marBottom w:val="0"/>
      <w:divBdr>
        <w:top w:val="none" w:sz="0" w:space="0" w:color="auto"/>
        <w:left w:val="none" w:sz="0" w:space="0" w:color="auto"/>
        <w:bottom w:val="none" w:sz="0" w:space="0" w:color="auto"/>
        <w:right w:val="none" w:sz="0" w:space="0" w:color="auto"/>
      </w:divBdr>
    </w:div>
    <w:div w:id="1648197072">
      <w:bodyDiv w:val="1"/>
      <w:marLeft w:val="0"/>
      <w:marRight w:val="0"/>
      <w:marTop w:val="0"/>
      <w:marBottom w:val="0"/>
      <w:divBdr>
        <w:top w:val="none" w:sz="0" w:space="0" w:color="auto"/>
        <w:left w:val="none" w:sz="0" w:space="0" w:color="auto"/>
        <w:bottom w:val="none" w:sz="0" w:space="0" w:color="auto"/>
        <w:right w:val="none" w:sz="0" w:space="0" w:color="auto"/>
      </w:divBdr>
    </w:div>
    <w:div w:id="1649047719">
      <w:bodyDiv w:val="1"/>
      <w:marLeft w:val="0"/>
      <w:marRight w:val="0"/>
      <w:marTop w:val="0"/>
      <w:marBottom w:val="0"/>
      <w:divBdr>
        <w:top w:val="none" w:sz="0" w:space="0" w:color="auto"/>
        <w:left w:val="none" w:sz="0" w:space="0" w:color="auto"/>
        <w:bottom w:val="none" w:sz="0" w:space="0" w:color="auto"/>
        <w:right w:val="none" w:sz="0" w:space="0" w:color="auto"/>
      </w:divBdr>
    </w:div>
    <w:div w:id="1655261039">
      <w:bodyDiv w:val="1"/>
      <w:marLeft w:val="0"/>
      <w:marRight w:val="0"/>
      <w:marTop w:val="0"/>
      <w:marBottom w:val="0"/>
      <w:divBdr>
        <w:top w:val="none" w:sz="0" w:space="0" w:color="auto"/>
        <w:left w:val="none" w:sz="0" w:space="0" w:color="auto"/>
        <w:bottom w:val="none" w:sz="0" w:space="0" w:color="auto"/>
        <w:right w:val="none" w:sz="0" w:space="0" w:color="auto"/>
      </w:divBdr>
    </w:div>
    <w:div w:id="1655644093">
      <w:bodyDiv w:val="1"/>
      <w:marLeft w:val="0"/>
      <w:marRight w:val="0"/>
      <w:marTop w:val="0"/>
      <w:marBottom w:val="0"/>
      <w:divBdr>
        <w:top w:val="none" w:sz="0" w:space="0" w:color="auto"/>
        <w:left w:val="none" w:sz="0" w:space="0" w:color="auto"/>
        <w:bottom w:val="none" w:sz="0" w:space="0" w:color="auto"/>
        <w:right w:val="none" w:sz="0" w:space="0" w:color="auto"/>
      </w:divBdr>
    </w:div>
    <w:div w:id="1663005249">
      <w:bodyDiv w:val="1"/>
      <w:marLeft w:val="0"/>
      <w:marRight w:val="0"/>
      <w:marTop w:val="0"/>
      <w:marBottom w:val="0"/>
      <w:divBdr>
        <w:top w:val="none" w:sz="0" w:space="0" w:color="auto"/>
        <w:left w:val="none" w:sz="0" w:space="0" w:color="auto"/>
        <w:bottom w:val="none" w:sz="0" w:space="0" w:color="auto"/>
        <w:right w:val="none" w:sz="0" w:space="0" w:color="auto"/>
      </w:divBdr>
    </w:div>
    <w:div w:id="1666935937">
      <w:bodyDiv w:val="1"/>
      <w:marLeft w:val="0"/>
      <w:marRight w:val="0"/>
      <w:marTop w:val="0"/>
      <w:marBottom w:val="0"/>
      <w:divBdr>
        <w:top w:val="none" w:sz="0" w:space="0" w:color="auto"/>
        <w:left w:val="none" w:sz="0" w:space="0" w:color="auto"/>
        <w:bottom w:val="none" w:sz="0" w:space="0" w:color="auto"/>
        <w:right w:val="none" w:sz="0" w:space="0" w:color="auto"/>
      </w:divBdr>
    </w:div>
    <w:div w:id="1686977156">
      <w:bodyDiv w:val="1"/>
      <w:marLeft w:val="0"/>
      <w:marRight w:val="0"/>
      <w:marTop w:val="0"/>
      <w:marBottom w:val="0"/>
      <w:divBdr>
        <w:top w:val="none" w:sz="0" w:space="0" w:color="auto"/>
        <w:left w:val="none" w:sz="0" w:space="0" w:color="auto"/>
        <w:bottom w:val="none" w:sz="0" w:space="0" w:color="auto"/>
        <w:right w:val="none" w:sz="0" w:space="0" w:color="auto"/>
      </w:divBdr>
    </w:div>
    <w:div w:id="1692338140">
      <w:bodyDiv w:val="1"/>
      <w:marLeft w:val="0"/>
      <w:marRight w:val="0"/>
      <w:marTop w:val="0"/>
      <w:marBottom w:val="0"/>
      <w:divBdr>
        <w:top w:val="none" w:sz="0" w:space="0" w:color="auto"/>
        <w:left w:val="none" w:sz="0" w:space="0" w:color="auto"/>
        <w:bottom w:val="none" w:sz="0" w:space="0" w:color="auto"/>
        <w:right w:val="none" w:sz="0" w:space="0" w:color="auto"/>
      </w:divBdr>
    </w:div>
    <w:div w:id="1693992456">
      <w:bodyDiv w:val="1"/>
      <w:marLeft w:val="0"/>
      <w:marRight w:val="0"/>
      <w:marTop w:val="0"/>
      <w:marBottom w:val="0"/>
      <w:divBdr>
        <w:top w:val="none" w:sz="0" w:space="0" w:color="auto"/>
        <w:left w:val="none" w:sz="0" w:space="0" w:color="auto"/>
        <w:bottom w:val="none" w:sz="0" w:space="0" w:color="auto"/>
        <w:right w:val="none" w:sz="0" w:space="0" w:color="auto"/>
      </w:divBdr>
    </w:div>
    <w:div w:id="1695496663">
      <w:bodyDiv w:val="1"/>
      <w:marLeft w:val="0"/>
      <w:marRight w:val="0"/>
      <w:marTop w:val="0"/>
      <w:marBottom w:val="0"/>
      <w:divBdr>
        <w:top w:val="none" w:sz="0" w:space="0" w:color="auto"/>
        <w:left w:val="none" w:sz="0" w:space="0" w:color="auto"/>
        <w:bottom w:val="none" w:sz="0" w:space="0" w:color="auto"/>
        <w:right w:val="none" w:sz="0" w:space="0" w:color="auto"/>
      </w:divBdr>
    </w:div>
    <w:div w:id="1700205172">
      <w:bodyDiv w:val="1"/>
      <w:marLeft w:val="0"/>
      <w:marRight w:val="0"/>
      <w:marTop w:val="0"/>
      <w:marBottom w:val="0"/>
      <w:divBdr>
        <w:top w:val="none" w:sz="0" w:space="0" w:color="auto"/>
        <w:left w:val="none" w:sz="0" w:space="0" w:color="auto"/>
        <w:bottom w:val="none" w:sz="0" w:space="0" w:color="auto"/>
        <w:right w:val="none" w:sz="0" w:space="0" w:color="auto"/>
      </w:divBdr>
    </w:div>
    <w:div w:id="1703091956">
      <w:bodyDiv w:val="1"/>
      <w:marLeft w:val="0"/>
      <w:marRight w:val="0"/>
      <w:marTop w:val="0"/>
      <w:marBottom w:val="0"/>
      <w:divBdr>
        <w:top w:val="none" w:sz="0" w:space="0" w:color="auto"/>
        <w:left w:val="none" w:sz="0" w:space="0" w:color="auto"/>
        <w:bottom w:val="none" w:sz="0" w:space="0" w:color="auto"/>
        <w:right w:val="none" w:sz="0" w:space="0" w:color="auto"/>
      </w:divBdr>
    </w:div>
    <w:div w:id="1703362677">
      <w:bodyDiv w:val="1"/>
      <w:marLeft w:val="0"/>
      <w:marRight w:val="0"/>
      <w:marTop w:val="0"/>
      <w:marBottom w:val="0"/>
      <w:divBdr>
        <w:top w:val="none" w:sz="0" w:space="0" w:color="auto"/>
        <w:left w:val="none" w:sz="0" w:space="0" w:color="auto"/>
        <w:bottom w:val="none" w:sz="0" w:space="0" w:color="auto"/>
        <w:right w:val="none" w:sz="0" w:space="0" w:color="auto"/>
      </w:divBdr>
    </w:div>
    <w:div w:id="1709456031">
      <w:bodyDiv w:val="1"/>
      <w:marLeft w:val="0"/>
      <w:marRight w:val="0"/>
      <w:marTop w:val="0"/>
      <w:marBottom w:val="0"/>
      <w:divBdr>
        <w:top w:val="none" w:sz="0" w:space="0" w:color="auto"/>
        <w:left w:val="none" w:sz="0" w:space="0" w:color="auto"/>
        <w:bottom w:val="none" w:sz="0" w:space="0" w:color="auto"/>
        <w:right w:val="none" w:sz="0" w:space="0" w:color="auto"/>
      </w:divBdr>
    </w:div>
    <w:div w:id="1710177433">
      <w:bodyDiv w:val="1"/>
      <w:marLeft w:val="0"/>
      <w:marRight w:val="0"/>
      <w:marTop w:val="0"/>
      <w:marBottom w:val="0"/>
      <w:divBdr>
        <w:top w:val="none" w:sz="0" w:space="0" w:color="auto"/>
        <w:left w:val="none" w:sz="0" w:space="0" w:color="auto"/>
        <w:bottom w:val="none" w:sz="0" w:space="0" w:color="auto"/>
        <w:right w:val="none" w:sz="0" w:space="0" w:color="auto"/>
      </w:divBdr>
    </w:div>
    <w:div w:id="1713187106">
      <w:bodyDiv w:val="1"/>
      <w:marLeft w:val="0"/>
      <w:marRight w:val="0"/>
      <w:marTop w:val="0"/>
      <w:marBottom w:val="0"/>
      <w:divBdr>
        <w:top w:val="none" w:sz="0" w:space="0" w:color="auto"/>
        <w:left w:val="none" w:sz="0" w:space="0" w:color="auto"/>
        <w:bottom w:val="none" w:sz="0" w:space="0" w:color="auto"/>
        <w:right w:val="none" w:sz="0" w:space="0" w:color="auto"/>
      </w:divBdr>
    </w:div>
    <w:div w:id="1724712180">
      <w:bodyDiv w:val="1"/>
      <w:marLeft w:val="0"/>
      <w:marRight w:val="0"/>
      <w:marTop w:val="0"/>
      <w:marBottom w:val="0"/>
      <w:divBdr>
        <w:top w:val="none" w:sz="0" w:space="0" w:color="auto"/>
        <w:left w:val="none" w:sz="0" w:space="0" w:color="auto"/>
        <w:bottom w:val="none" w:sz="0" w:space="0" w:color="auto"/>
        <w:right w:val="none" w:sz="0" w:space="0" w:color="auto"/>
      </w:divBdr>
    </w:div>
    <w:div w:id="1725106342">
      <w:bodyDiv w:val="1"/>
      <w:marLeft w:val="0"/>
      <w:marRight w:val="0"/>
      <w:marTop w:val="0"/>
      <w:marBottom w:val="0"/>
      <w:divBdr>
        <w:top w:val="none" w:sz="0" w:space="0" w:color="auto"/>
        <w:left w:val="none" w:sz="0" w:space="0" w:color="auto"/>
        <w:bottom w:val="none" w:sz="0" w:space="0" w:color="auto"/>
        <w:right w:val="none" w:sz="0" w:space="0" w:color="auto"/>
      </w:divBdr>
    </w:div>
    <w:div w:id="1731002466">
      <w:bodyDiv w:val="1"/>
      <w:marLeft w:val="0"/>
      <w:marRight w:val="0"/>
      <w:marTop w:val="0"/>
      <w:marBottom w:val="0"/>
      <w:divBdr>
        <w:top w:val="none" w:sz="0" w:space="0" w:color="auto"/>
        <w:left w:val="none" w:sz="0" w:space="0" w:color="auto"/>
        <w:bottom w:val="none" w:sz="0" w:space="0" w:color="auto"/>
        <w:right w:val="none" w:sz="0" w:space="0" w:color="auto"/>
      </w:divBdr>
    </w:div>
    <w:div w:id="1733238578">
      <w:bodyDiv w:val="1"/>
      <w:marLeft w:val="0"/>
      <w:marRight w:val="0"/>
      <w:marTop w:val="0"/>
      <w:marBottom w:val="0"/>
      <w:divBdr>
        <w:top w:val="none" w:sz="0" w:space="0" w:color="auto"/>
        <w:left w:val="none" w:sz="0" w:space="0" w:color="auto"/>
        <w:bottom w:val="none" w:sz="0" w:space="0" w:color="auto"/>
        <w:right w:val="none" w:sz="0" w:space="0" w:color="auto"/>
      </w:divBdr>
    </w:div>
    <w:div w:id="1738162066">
      <w:bodyDiv w:val="1"/>
      <w:marLeft w:val="0"/>
      <w:marRight w:val="0"/>
      <w:marTop w:val="0"/>
      <w:marBottom w:val="0"/>
      <w:divBdr>
        <w:top w:val="none" w:sz="0" w:space="0" w:color="auto"/>
        <w:left w:val="none" w:sz="0" w:space="0" w:color="auto"/>
        <w:bottom w:val="none" w:sz="0" w:space="0" w:color="auto"/>
        <w:right w:val="none" w:sz="0" w:space="0" w:color="auto"/>
      </w:divBdr>
    </w:div>
    <w:div w:id="1740980442">
      <w:bodyDiv w:val="1"/>
      <w:marLeft w:val="0"/>
      <w:marRight w:val="0"/>
      <w:marTop w:val="0"/>
      <w:marBottom w:val="0"/>
      <w:divBdr>
        <w:top w:val="none" w:sz="0" w:space="0" w:color="auto"/>
        <w:left w:val="none" w:sz="0" w:space="0" w:color="auto"/>
        <w:bottom w:val="none" w:sz="0" w:space="0" w:color="auto"/>
        <w:right w:val="none" w:sz="0" w:space="0" w:color="auto"/>
      </w:divBdr>
    </w:div>
    <w:div w:id="1742412173">
      <w:bodyDiv w:val="1"/>
      <w:marLeft w:val="0"/>
      <w:marRight w:val="0"/>
      <w:marTop w:val="0"/>
      <w:marBottom w:val="0"/>
      <w:divBdr>
        <w:top w:val="none" w:sz="0" w:space="0" w:color="auto"/>
        <w:left w:val="none" w:sz="0" w:space="0" w:color="auto"/>
        <w:bottom w:val="none" w:sz="0" w:space="0" w:color="auto"/>
        <w:right w:val="none" w:sz="0" w:space="0" w:color="auto"/>
      </w:divBdr>
    </w:div>
    <w:div w:id="1747877470">
      <w:bodyDiv w:val="1"/>
      <w:marLeft w:val="0"/>
      <w:marRight w:val="0"/>
      <w:marTop w:val="0"/>
      <w:marBottom w:val="0"/>
      <w:divBdr>
        <w:top w:val="none" w:sz="0" w:space="0" w:color="auto"/>
        <w:left w:val="none" w:sz="0" w:space="0" w:color="auto"/>
        <w:bottom w:val="none" w:sz="0" w:space="0" w:color="auto"/>
        <w:right w:val="none" w:sz="0" w:space="0" w:color="auto"/>
      </w:divBdr>
    </w:div>
    <w:div w:id="1754888851">
      <w:bodyDiv w:val="1"/>
      <w:marLeft w:val="0"/>
      <w:marRight w:val="0"/>
      <w:marTop w:val="0"/>
      <w:marBottom w:val="0"/>
      <w:divBdr>
        <w:top w:val="none" w:sz="0" w:space="0" w:color="auto"/>
        <w:left w:val="none" w:sz="0" w:space="0" w:color="auto"/>
        <w:bottom w:val="none" w:sz="0" w:space="0" w:color="auto"/>
        <w:right w:val="none" w:sz="0" w:space="0" w:color="auto"/>
      </w:divBdr>
    </w:div>
    <w:div w:id="1756242246">
      <w:bodyDiv w:val="1"/>
      <w:marLeft w:val="0"/>
      <w:marRight w:val="0"/>
      <w:marTop w:val="0"/>
      <w:marBottom w:val="0"/>
      <w:divBdr>
        <w:top w:val="none" w:sz="0" w:space="0" w:color="auto"/>
        <w:left w:val="none" w:sz="0" w:space="0" w:color="auto"/>
        <w:bottom w:val="none" w:sz="0" w:space="0" w:color="auto"/>
        <w:right w:val="none" w:sz="0" w:space="0" w:color="auto"/>
      </w:divBdr>
    </w:div>
    <w:div w:id="1757745262">
      <w:bodyDiv w:val="1"/>
      <w:marLeft w:val="0"/>
      <w:marRight w:val="0"/>
      <w:marTop w:val="0"/>
      <w:marBottom w:val="0"/>
      <w:divBdr>
        <w:top w:val="none" w:sz="0" w:space="0" w:color="auto"/>
        <w:left w:val="none" w:sz="0" w:space="0" w:color="auto"/>
        <w:bottom w:val="none" w:sz="0" w:space="0" w:color="auto"/>
        <w:right w:val="none" w:sz="0" w:space="0" w:color="auto"/>
      </w:divBdr>
    </w:div>
    <w:div w:id="1760982179">
      <w:bodyDiv w:val="1"/>
      <w:marLeft w:val="0"/>
      <w:marRight w:val="0"/>
      <w:marTop w:val="0"/>
      <w:marBottom w:val="0"/>
      <w:divBdr>
        <w:top w:val="none" w:sz="0" w:space="0" w:color="auto"/>
        <w:left w:val="none" w:sz="0" w:space="0" w:color="auto"/>
        <w:bottom w:val="none" w:sz="0" w:space="0" w:color="auto"/>
        <w:right w:val="none" w:sz="0" w:space="0" w:color="auto"/>
      </w:divBdr>
    </w:div>
    <w:div w:id="1761293810">
      <w:bodyDiv w:val="1"/>
      <w:marLeft w:val="0"/>
      <w:marRight w:val="0"/>
      <w:marTop w:val="0"/>
      <w:marBottom w:val="0"/>
      <w:divBdr>
        <w:top w:val="none" w:sz="0" w:space="0" w:color="auto"/>
        <w:left w:val="none" w:sz="0" w:space="0" w:color="auto"/>
        <w:bottom w:val="none" w:sz="0" w:space="0" w:color="auto"/>
        <w:right w:val="none" w:sz="0" w:space="0" w:color="auto"/>
      </w:divBdr>
    </w:div>
    <w:div w:id="1768425758">
      <w:bodyDiv w:val="1"/>
      <w:marLeft w:val="0"/>
      <w:marRight w:val="0"/>
      <w:marTop w:val="0"/>
      <w:marBottom w:val="0"/>
      <w:divBdr>
        <w:top w:val="none" w:sz="0" w:space="0" w:color="auto"/>
        <w:left w:val="none" w:sz="0" w:space="0" w:color="auto"/>
        <w:bottom w:val="none" w:sz="0" w:space="0" w:color="auto"/>
        <w:right w:val="none" w:sz="0" w:space="0" w:color="auto"/>
      </w:divBdr>
    </w:div>
    <w:div w:id="1769617191">
      <w:bodyDiv w:val="1"/>
      <w:marLeft w:val="0"/>
      <w:marRight w:val="0"/>
      <w:marTop w:val="0"/>
      <w:marBottom w:val="0"/>
      <w:divBdr>
        <w:top w:val="none" w:sz="0" w:space="0" w:color="auto"/>
        <w:left w:val="none" w:sz="0" w:space="0" w:color="auto"/>
        <w:bottom w:val="none" w:sz="0" w:space="0" w:color="auto"/>
        <w:right w:val="none" w:sz="0" w:space="0" w:color="auto"/>
      </w:divBdr>
    </w:div>
    <w:div w:id="1772355891">
      <w:bodyDiv w:val="1"/>
      <w:marLeft w:val="0"/>
      <w:marRight w:val="0"/>
      <w:marTop w:val="0"/>
      <w:marBottom w:val="0"/>
      <w:divBdr>
        <w:top w:val="none" w:sz="0" w:space="0" w:color="auto"/>
        <w:left w:val="none" w:sz="0" w:space="0" w:color="auto"/>
        <w:bottom w:val="none" w:sz="0" w:space="0" w:color="auto"/>
        <w:right w:val="none" w:sz="0" w:space="0" w:color="auto"/>
      </w:divBdr>
    </w:div>
    <w:div w:id="1773471895">
      <w:bodyDiv w:val="1"/>
      <w:marLeft w:val="0"/>
      <w:marRight w:val="0"/>
      <w:marTop w:val="0"/>
      <w:marBottom w:val="0"/>
      <w:divBdr>
        <w:top w:val="none" w:sz="0" w:space="0" w:color="auto"/>
        <w:left w:val="none" w:sz="0" w:space="0" w:color="auto"/>
        <w:bottom w:val="none" w:sz="0" w:space="0" w:color="auto"/>
        <w:right w:val="none" w:sz="0" w:space="0" w:color="auto"/>
      </w:divBdr>
    </w:div>
    <w:div w:id="1787387402">
      <w:bodyDiv w:val="1"/>
      <w:marLeft w:val="0"/>
      <w:marRight w:val="0"/>
      <w:marTop w:val="0"/>
      <w:marBottom w:val="0"/>
      <w:divBdr>
        <w:top w:val="none" w:sz="0" w:space="0" w:color="auto"/>
        <w:left w:val="none" w:sz="0" w:space="0" w:color="auto"/>
        <w:bottom w:val="none" w:sz="0" w:space="0" w:color="auto"/>
        <w:right w:val="none" w:sz="0" w:space="0" w:color="auto"/>
      </w:divBdr>
    </w:div>
    <w:div w:id="1792239815">
      <w:bodyDiv w:val="1"/>
      <w:marLeft w:val="0"/>
      <w:marRight w:val="0"/>
      <w:marTop w:val="0"/>
      <w:marBottom w:val="0"/>
      <w:divBdr>
        <w:top w:val="none" w:sz="0" w:space="0" w:color="auto"/>
        <w:left w:val="none" w:sz="0" w:space="0" w:color="auto"/>
        <w:bottom w:val="none" w:sz="0" w:space="0" w:color="auto"/>
        <w:right w:val="none" w:sz="0" w:space="0" w:color="auto"/>
      </w:divBdr>
    </w:div>
    <w:div w:id="1792283251">
      <w:bodyDiv w:val="1"/>
      <w:marLeft w:val="0"/>
      <w:marRight w:val="0"/>
      <w:marTop w:val="0"/>
      <w:marBottom w:val="0"/>
      <w:divBdr>
        <w:top w:val="none" w:sz="0" w:space="0" w:color="auto"/>
        <w:left w:val="none" w:sz="0" w:space="0" w:color="auto"/>
        <w:bottom w:val="none" w:sz="0" w:space="0" w:color="auto"/>
        <w:right w:val="none" w:sz="0" w:space="0" w:color="auto"/>
      </w:divBdr>
    </w:div>
    <w:div w:id="1793472145">
      <w:bodyDiv w:val="1"/>
      <w:marLeft w:val="0"/>
      <w:marRight w:val="0"/>
      <w:marTop w:val="0"/>
      <w:marBottom w:val="0"/>
      <w:divBdr>
        <w:top w:val="none" w:sz="0" w:space="0" w:color="auto"/>
        <w:left w:val="none" w:sz="0" w:space="0" w:color="auto"/>
        <w:bottom w:val="none" w:sz="0" w:space="0" w:color="auto"/>
        <w:right w:val="none" w:sz="0" w:space="0" w:color="auto"/>
      </w:divBdr>
    </w:div>
    <w:div w:id="1794980472">
      <w:bodyDiv w:val="1"/>
      <w:marLeft w:val="0"/>
      <w:marRight w:val="0"/>
      <w:marTop w:val="0"/>
      <w:marBottom w:val="0"/>
      <w:divBdr>
        <w:top w:val="none" w:sz="0" w:space="0" w:color="auto"/>
        <w:left w:val="none" w:sz="0" w:space="0" w:color="auto"/>
        <w:bottom w:val="none" w:sz="0" w:space="0" w:color="auto"/>
        <w:right w:val="none" w:sz="0" w:space="0" w:color="auto"/>
      </w:divBdr>
    </w:div>
    <w:div w:id="1801068359">
      <w:bodyDiv w:val="1"/>
      <w:marLeft w:val="0"/>
      <w:marRight w:val="0"/>
      <w:marTop w:val="0"/>
      <w:marBottom w:val="0"/>
      <w:divBdr>
        <w:top w:val="none" w:sz="0" w:space="0" w:color="auto"/>
        <w:left w:val="none" w:sz="0" w:space="0" w:color="auto"/>
        <w:bottom w:val="none" w:sz="0" w:space="0" w:color="auto"/>
        <w:right w:val="none" w:sz="0" w:space="0" w:color="auto"/>
      </w:divBdr>
    </w:div>
    <w:div w:id="1809787053">
      <w:bodyDiv w:val="1"/>
      <w:marLeft w:val="0"/>
      <w:marRight w:val="0"/>
      <w:marTop w:val="0"/>
      <w:marBottom w:val="0"/>
      <w:divBdr>
        <w:top w:val="none" w:sz="0" w:space="0" w:color="auto"/>
        <w:left w:val="none" w:sz="0" w:space="0" w:color="auto"/>
        <w:bottom w:val="none" w:sz="0" w:space="0" w:color="auto"/>
        <w:right w:val="none" w:sz="0" w:space="0" w:color="auto"/>
      </w:divBdr>
    </w:div>
    <w:div w:id="1811703039">
      <w:bodyDiv w:val="1"/>
      <w:marLeft w:val="0"/>
      <w:marRight w:val="0"/>
      <w:marTop w:val="0"/>
      <w:marBottom w:val="0"/>
      <w:divBdr>
        <w:top w:val="none" w:sz="0" w:space="0" w:color="auto"/>
        <w:left w:val="none" w:sz="0" w:space="0" w:color="auto"/>
        <w:bottom w:val="none" w:sz="0" w:space="0" w:color="auto"/>
        <w:right w:val="none" w:sz="0" w:space="0" w:color="auto"/>
      </w:divBdr>
    </w:div>
    <w:div w:id="1818256632">
      <w:bodyDiv w:val="1"/>
      <w:marLeft w:val="0"/>
      <w:marRight w:val="0"/>
      <w:marTop w:val="0"/>
      <w:marBottom w:val="0"/>
      <w:divBdr>
        <w:top w:val="none" w:sz="0" w:space="0" w:color="auto"/>
        <w:left w:val="none" w:sz="0" w:space="0" w:color="auto"/>
        <w:bottom w:val="none" w:sz="0" w:space="0" w:color="auto"/>
        <w:right w:val="none" w:sz="0" w:space="0" w:color="auto"/>
      </w:divBdr>
    </w:div>
    <w:div w:id="1836534524">
      <w:bodyDiv w:val="1"/>
      <w:marLeft w:val="0"/>
      <w:marRight w:val="0"/>
      <w:marTop w:val="0"/>
      <w:marBottom w:val="0"/>
      <w:divBdr>
        <w:top w:val="none" w:sz="0" w:space="0" w:color="auto"/>
        <w:left w:val="none" w:sz="0" w:space="0" w:color="auto"/>
        <w:bottom w:val="none" w:sz="0" w:space="0" w:color="auto"/>
        <w:right w:val="none" w:sz="0" w:space="0" w:color="auto"/>
      </w:divBdr>
    </w:div>
    <w:div w:id="1840195451">
      <w:bodyDiv w:val="1"/>
      <w:marLeft w:val="0"/>
      <w:marRight w:val="0"/>
      <w:marTop w:val="0"/>
      <w:marBottom w:val="0"/>
      <w:divBdr>
        <w:top w:val="none" w:sz="0" w:space="0" w:color="auto"/>
        <w:left w:val="none" w:sz="0" w:space="0" w:color="auto"/>
        <w:bottom w:val="none" w:sz="0" w:space="0" w:color="auto"/>
        <w:right w:val="none" w:sz="0" w:space="0" w:color="auto"/>
      </w:divBdr>
    </w:div>
    <w:div w:id="1846554498">
      <w:bodyDiv w:val="1"/>
      <w:marLeft w:val="0"/>
      <w:marRight w:val="0"/>
      <w:marTop w:val="0"/>
      <w:marBottom w:val="0"/>
      <w:divBdr>
        <w:top w:val="none" w:sz="0" w:space="0" w:color="auto"/>
        <w:left w:val="none" w:sz="0" w:space="0" w:color="auto"/>
        <w:bottom w:val="none" w:sz="0" w:space="0" w:color="auto"/>
        <w:right w:val="none" w:sz="0" w:space="0" w:color="auto"/>
      </w:divBdr>
    </w:div>
    <w:div w:id="1849174047">
      <w:bodyDiv w:val="1"/>
      <w:marLeft w:val="0"/>
      <w:marRight w:val="0"/>
      <w:marTop w:val="0"/>
      <w:marBottom w:val="0"/>
      <w:divBdr>
        <w:top w:val="none" w:sz="0" w:space="0" w:color="auto"/>
        <w:left w:val="none" w:sz="0" w:space="0" w:color="auto"/>
        <w:bottom w:val="none" w:sz="0" w:space="0" w:color="auto"/>
        <w:right w:val="none" w:sz="0" w:space="0" w:color="auto"/>
      </w:divBdr>
    </w:div>
    <w:div w:id="1849827292">
      <w:bodyDiv w:val="1"/>
      <w:marLeft w:val="0"/>
      <w:marRight w:val="0"/>
      <w:marTop w:val="0"/>
      <w:marBottom w:val="0"/>
      <w:divBdr>
        <w:top w:val="none" w:sz="0" w:space="0" w:color="auto"/>
        <w:left w:val="none" w:sz="0" w:space="0" w:color="auto"/>
        <w:bottom w:val="none" w:sz="0" w:space="0" w:color="auto"/>
        <w:right w:val="none" w:sz="0" w:space="0" w:color="auto"/>
      </w:divBdr>
    </w:div>
    <w:div w:id="1850681217">
      <w:bodyDiv w:val="1"/>
      <w:marLeft w:val="0"/>
      <w:marRight w:val="0"/>
      <w:marTop w:val="0"/>
      <w:marBottom w:val="0"/>
      <w:divBdr>
        <w:top w:val="none" w:sz="0" w:space="0" w:color="auto"/>
        <w:left w:val="none" w:sz="0" w:space="0" w:color="auto"/>
        <w:bottom w:val="none" w:sz="0" w:space="0" w:color="auto"/>
        <w:right w:val="none" w:sz="0" w:space="0" w:color="auto"/>
      </w:divBdr>
    </w:div>
    <w:div w:id="1856769584">
      <w:bodyDiv w:val="1"/>
      <w:marLeft w:val="0"/>
      <w:marRight w:val="0"/>
      <w:marTop w:val="0"/>
      <w:marBottom w:val="0"/>
      <w:divBdr>
        <w:top w:val="none" w:sz="0" w:space="0" w:color="auto"/>
        <w:left w:val="none" w:sz="0" w:space="0" w:color="auto"/>
        <w:bottom w:val="none" w:sz="0" w:space="0" w:color="auto"/>
        <w:right w:val="none" w:sz="0" w:space="0" w:color="auto"/>
      </w:divBdr>
    </w:div>
    <w:div w:id="1856924530">
      <w:bodyDiv w:val="1"/>
      <w:marLeft w:val="0"/>
      <w:marRight w:val="0"/>
      <w:marTop w:val="0"/>
      <w:marBottom w:val="0"/>
      <w:divBdr>
        <w:top w:val="none" w:sz="0" w:space="0" w:color="auto"/>
        <w:left w:val="none" w:sz="0" w:space="0" w:color="auto"/>
        <w:bottom w:val="none" w:sz="0" w:space="0" w:color="auto"/>
        <w:right w:val="none" w:sz="0" w:space="0" w:color="auto"/>
      </w:divBdr>
    </w:div>
    <w:div w:id="1859847948">
      <w:bodyDiv w:val="1"/>
      <w:marLeft w:val="0"/>
      <w:marRight w:val="0"/>
      <w:marTop w:val="0"/>
      <w:marBottom w:val="0"/>
      <w:divBdr>
        <w:top w:val="none" w:sz="0" w:space="0" w:color="auto"/>
        <w:left w:val="none" w:sz="0" w:space="0" w:color="auto"/>
        <w:bottom w:val="none" w:sz="0" w:space="0" w:color="auto"/>
        <w:right w:val="none" w:sz="0" w:space="0" w:color="auto"/>
      </w:divBdr>
    </w:div>
    <w:div w:id="1864172196">
      <w:bodyDiv w:val="1"/>
      <w:marLeft w:val="0"/>
      <w:marRight w:val="0"/>
      <w:marTop w:val="0"/>
      <w:marBottom w:val="0"/>
      <w:divBdr>
        <w:top w:val="none" w:sz="0" w:space="0" w:color="auto"/>
        <w:left w:val="none" w:sz="0" w:space="0" w:color="auto"/>
        <w:bottom w:val="none" w:sz="0" w:space="0" w:color="auto"/>
        <w:right w:val="none" w:sz="0" w:space="0" w:color="auto"/>
      </w:divBdr>
    </w:div>
    <w:div w:id="1868104164">
      <w:bodyDiv w:val="1"/>
      <w:marLeft w:val="0"/>
      <w:marRight w:val="0"/>
      <w:marTop w:val="0"/>
      <w:marBottom w:val="0"/>
      <w:divBdr>
        <w:top w:val="none" w:sz="0" w:space="0" w:color="auto"/>
        <w:left w:val="none" w:sz="0" w:space="0" w:color="auto"/>
        <w:bottom w:val="none" w:sz="0" w:space="0" w:color="auto"/>
        <w:right w:val="none" w:sz="0" w:space="0" w:color="auto"/>
      </w:divBdr>
    </w:div>
    <w:div w:id="1873954315">
      <w:bodyDiv w:val="1"/>
      <w:marLeft w:val="0"/>
      <w:marRight w:val="0"/>
      <w:marTop w:val="0"/>
      <w:marBottom w:val="0"/>
      <w:divBdr>
        <w:top w:val="none" w:sz="0" w:space="0" w:color="auto"/>
        <w:left w:val="none" w:sz="0" w:space="0" w:color="auto"/>
        <w:bottom w:val="none" w:sz="0" w:space="0" w:color="auto"/>
        <w:right w:val="none" w:sz="0" w:space="0" w:color="auto"/>
      </w:divBdr>
    </w:div>
    <w:div w:id="1874808265">
      <w:bodyDiv w:val="1"/>
      <w:marLeft w:val="0"/>
      <w:marRight w:val="0"/>
      <w:marTop w:val="0"/>
      <w:marBottom w:val="0"/>
      <w:divBdr>
        <w:top w:val="none" w:sz="0" w:space="0" w:color="auto"/>
        <w:left w:val="none" w:sz="0" w:space="0" w:color="auto"/>
        <w:bottom w:val="none" w:sz="0" w:space="0" w:color="auto"/>
        <w:right w:val="none" w:sz="0" w:space="0" w:color="auto"/>
      </w:divBdr>
    </w:div>
    <w:div w:id="1875536436">
      <w:bodyDiv w:val="1"/>
      <w:marLeft w:val="0"/>
      <w:marRight w:val="0"/>
      <w:marTop w:val="0"/>
      <w:marBottom w:val="0"/>
      <w:divBdr>
        <w:top w:val="none" w:sz="0" w:space="0" w:color="auto"/>
        <w:left w:val="none" w:sz="0" w:space="0" w:color="auto"/>
        <w:bottom w:val="none" w:sz="0" w:space="0" w:color="auto"/>
        <w:right w:val="none" w:sz="0" w:space="0" w:color="auto"/>
      </w:divBdr>
    </w:div>
    <w:div w:id="1876458416">
      <w:bodyDiv w:val="1"/>
      <w:marLeft w:val="0"/>
      <w:marRight w:val="0"/>
      <w:marTop w:val="0"/>
      <w:marBottom w:val="0"/>
      <w:divBdr>
        <w:top w:val="none" w:sz="0" w:space="0" w:color="auto"/>
        <w:left w:val="none" w:sz="0" w:space="0" w:color="auto"/>
        <w:bottom w:val="none" w:sz="0" w:space="0" w:color="auto"/>
        <w:right w:val="none" w:sz="0" w:space="0" w:color="auto"/>
      </w:divBdr>
    </w:div>
    <w:div w:id="1877083517">
      <w:bodyDiv w:val="1"/>
      <w:marLeft w:val="0"/>
      <w:marRight w:val="0"/>
      <w:marTop w:val="0"/>
      <w:marBottom w:val="0"/>
      <w:divBdr>
        <w:top w:val="none" w:sz="0" w:space="0" w:color="auto"/>
        <w:left w:val="none" w:sz="0" w:space="0" w:color="auto"/>
        <w:bottom w:val="none" w:sz="0" w:space="0" w:color="auto"/>
        <w:right w:val="none" w:sz="0" w:space="0" w:color="auto"/>
      </w:divBdr>
    </w:div>
    <w:div w:id="1882328006">
      <w:bodyDiv w:val="1"/>
      <w:marLeft w:val="0"/>
      <w:marRight w:val="0"/>
      <w:marTop w:val="0"/>
      <w:marBottom w:val="0"/>
      <w:divBdr>
        <w:top w:val="none" w:sz="0" w:space="0" w:color="auto"/>
        <w:left w:val="none" w:sz="0" w:space="0" w:color="auto"/>
        <w:bottom w:val="none" w:sz="0" w:space="0" w:color="auto"/>
        <w:right w:val="none" w:sz="0" w:space="0" w:color="auto"/>
      </w:divBdr>
    </w:div>
    <w:div w:id="1884710532">
      <w:bodyDiv w:val="1"/>
      <w:marLeft w:val="0"/>
      <w:marRight w:val="0"/>
      <w:marTop w:val="0"/>
      <w:marBottom w:val="0"/>
      <w:divBdr>
        <w:top w:val="none" w:sz="0" w:space="0" w:color="auto"/>
        <w:left w:val="none" w:sz="0" w:space="0" w:color="auto"/>
        <w:bottom w:val="none" w:sz="0" w:space="0" w:color="auto"/>
        <w:right w:val="none" w:sz="0" w:space="0" w:color="auto"/>
      </w:divBdr>
    </w:div>
    <w:div w:id="1889491102">
      <w:bodyDiv w:val="1"/>
      <w:marLeft w:val="0"/>
      <w:marRight w:val="0"/>
      <w:marTop w:val="0"/>
      <w:marBottom w:val="0"/>
      <w:divBdr>
        <w:top w:val="none" w:sz="0" w:space="0" w:color="auto"/>
        <w:left w:val="none" w:sz="0" w:space="0" w:color="auto"/>
        <w:bottom w:val="none" w:sz="0" w:space="0" w:color="auto"/>
        <w:right w:val="none" w:sz="0" w:space="0" w:color="auto"/>
      </w:divBdr>
    </w:div>
    <w:div w:id="1890410728">
      <w:bodyDiv w:val="1"/>
      <w:marLeft w:val="0"/>
      <w:marRight w:val="0"/>
      <w:marTop w:val="0"/>
      <w:marBottom w:val="0"/>
      <w:divBdr>
        <w:top w:val="none" w:sz="0" w:space="0" w:color="auto"/>
        <w:left w:val="none" w:sz="0" w:space="0" w:color="auto"/>
        <w:bottom w:val="none" w:sz="0" w:space="0" w:color="auto"/>
        <w:right w:val="none" w:sz="0" w:space="0" w:color="auto"/>
      </w:divBdr>
    </w:div>
    <w:div w:id="1891963396">
      <w:bodyDiv w:val="1"/>
      <w:marLeft w:val="0"/>
      <w:marRight w:val="0"/>
      <w:marTop w:val="0"/>
      <w:marBottom w:val="0"/>
      <w:divBdr>
        <w:top w:val="none" w:sz="0" w:space="0" w:color="auto"/>
        <w:left w:val="none" w:sz="0" w:space="0" w:color="auto"/>
        <w:bottom w:val="none" w:sz="0" w:space="0" w:color="auto"/>
        <w:right w:val="none" w:sz="0" w:space="0" w:color="auto"/>
      </w:divBdr>
    </w:div>
    <w:div w:id="1896819855">
      <w:bodyDiv w:val="1"/>
      <w:marLeft w:val="0"/>
      <w:marRight w:val="0"/>
      <w:marTop w:val="0"/>
      <w:marBottom w:val="0"/>
      <w:divBdr>
        <w:top w:val="none" w:sz="0" w:space="0" w:color="auto"/>
        <w:left w:val="none" w:sz="0" w:space="0" w:color="auto"/>
        <w:bottom w:val="none" w:sz="0" w:space="0" w:color="auto"/>
        <w:right w:val="none" w:sz="0" w:space="0" w:color="auto"/>
      </w:divBdr>
    </w:div>
    <w:div w:id="1907297072">
      <w:bodyDiv w:val="1"/>
      <w:marLeft w:val="0"/>
      <w:marRight w:val="0"/>
      <w:marTop w:val="0"/>
      <w:marBottom w:val="0"/>
      <w:divBdr>
        <w:top w:val="none" w:sz="0" w:space="0" w:color="auto"/>
        <w:left w:val="none" w:sz="0" w:space="0" w:color="auto"/>
        <w:bottom w:val="none" w:sz="0" w:space="0" w:color="auto"/>
        <w:right w:val="none" w:sz="0" w:space="0" w:color="auto"/>
      </w:divBdr>
    </w:div>
    <w:div w:id="1910723580">
      <w:bodyDiv w:val="1"/>
      <w:marLeft w:val="0"/>
      <w:marRight w:val="0"/>
      <w:marTop w:val="0"/>
      <w:marBottom w:val="0"/>
      <w:divBdr>
        <w:top w:val="none" w:sz="0" w:space="0" w:color="auto"/>
        <w:left w:val="none" w:sz="0" w:space="0" w:color="auto"/>
        <w:bottom w:val="none" w:sz="0" w:space="0" w:color="auto"/>
        <w:right w:val="none" w:sz="0" w:space="0" w:color="auto"/>
      </w:divBdr>
    </w:div>
    <w:div w:id="1911037090">
      <w:bodyDiv w:val="1"/>
      <w:marLeft w:val="0"/>
      <w:marRight w:val="0"/>
      <w:marTop w:val="0"/>
      <w:marBottom w:val="0"/>
      <w:divBdr>
        <w:top w:val="none" w:sz="0" w:space="0" w:color="auto"/>
        <w:left w:val="none" w:sz="0" w:space="0" w:color="auto"/>
        <w:bottom w:val="none" w:sz="0" w:space="0" w:color="auto"/>
        <w:right w:val="none" w:sz="0" w:space="0" w:color="auto"/>
      </w:divBdr>
    </w:div>
    <w:div w:id="1911691118">
      <w:bodyDiv w:val="1"/>
      <w:marLeft w:val="0"/>
      <w:marRight w:val="0"/>
      <w:marTop w:val="0"/>
      <w:marBottom w:val="0"/>
      <w:divBdr>
        <w:top w:val="none" w:sz="0" w:space="0" w:color="auto"/>
        <w:left w:val="none" w:sz="0" w:space="0" w:color="auto"/>
        <w:bottom w:val="none" w:sz="0" w:space="0" w:color="auto"/>
        <w:right w:val="none" w:sz="0" w:space="0" w:color="auto"/>
      </w:divBdr>
    </w:div>
    <w:div w:id="1915774600">
      <w:bodyDiv w:val="1"/>
      <w:marLeft w:val="0"/>
      <w:marRight w:val="0"/>
      <w:marTop w:val="0"/>
      <w:marBottom w:val="0"/>
      <w:divBdr>
        <w:top w:val="none" w:sz="0" w:space="0" w:color="auto"/>
        <w:left w:val="none" w:sz="0" w:space="0" w:color="auto"/>
        <w:bottom w:val="none" w:sz="0" w:space="0" w:color="auto"/>
        <w:right w:val="none" w:sz="0" w:space="0" w:color="auto"/>
      </w:divBdr>
    </w:div>
    <w:div w:id="1922375300">
      <w:bodyDiv w:val="1"/>
      <w:marLeft w:val="0"/>
      <w:marRight w:val="0"/>
      <w:marTop w:val="0"/>
      <w:marBottom w:val="0"/>
      <w:divBdr>
        <w:top w:val="none" w:sz="0" w:space="0" w:color="auto"/>
        <w:left w:val="none" w:sz="0" w:space="0" w:color="auto"/>
        <w:bottom w:val="none" w:sz="0" w:space="0" w:color="auto"/>
        <w:right w:val="none" w:sz="0" w:space="0" w:color="auto"/>
      </w:divBdr>
    </w:div>
    <w:div w:id="1926843700">
      <w:bodyDiv w:val="1"/>
      <w:marLeft w:val="0"/>
      <w:marRight w:val="0"/>
      <w:marTop w:val="0"/>
      <w:marBottom w:val="0"/>
      <w:divBdr>
        <w:top w:val="none" w:sz="0" w:space="0" w:color="auto"/>
        <w:left w:val="none" w:sz="0" w:space="0" w:color="auto"/>
        <w:bottom w:val="none" w:sz="0" w:space="0" w:color="auto"/>
        <w:right w:val="none" w:sz="0" w:space="0" w:color="auto"/>
      </w:divBdr>
    </w:div>
    <w:div w:id="1927763525">
      <w:bodyDiv w:val="1"/>
      <w:marLeft w:val="0"/>
      <w:marRight w:val="0"/>
      <w:marTop w:val="0"/>
      <w:marBottom w:val="0"/>
      <w:divBdr>
        <w:top w:val="none" w:sz="0" w:space="0" w:color="auto"/>
        <w:left w:val="none" w:sz="0" w:space="0" w:color="auto"/>
        <w:bottom w:val="none" w:sz="0" w:space="0" w:color="auto"/>
        <w:right w:val="none" w:sz="0" w:space="0" w:color="auto"/>
      </w:divBdr>
    </w:div>
    <w:div w:id="1929729673">
      <w:bodyDiv w:val="1"/>
      <w:marLeft w:val="0"/>
      <w:marRight w:val="0"/>
      <w:marTop w:val="0"/>
      <w:marBottom w:val="0"/>
      <w:divBdr>
        <w:top w:val="none" w:sz="0" w:space="0" w:color="auto"/>
        <w:left w:val="none" w:sz="0" w:space="0" w:color="auto"/>
        <w:bottom w:val="none" w:sz="0" w:space="0" w:color="auto"/>
        <w:right w:val="none" w:sz="0" w:space="0" w:color="auto"/>
      </w:divBdr>
    </w:div>
    <w:div w:id="1934851428">
      <w:bodyDiv w:val="1"/>
      <w:marLeft w:val="0"/>
      <w:marRight w:val="0"/>
      <w:marTop w:val="0"/>
      <w:marBottom w:val="0"/>
      <w:divBdr>
        <w:top w:val="none" w:sz="0" w:space="0" w:color="auto"/>
        <w:left w:val="none" w:sz="0" w:space="0" w:color="auto"/>
        <w:bottom w:val="none" w:sz="0" w:space="0" w:color="auto"/>
        <w:right w:val="none" w:sz="0" w:space="0" w:color="auto"/>
      </w:divBdr>
    </w:div>
    <w:div w:id="1936552625">
      <w:bodyDiv w:val="1"/>
      <w:marLeft w:val="0"/>
      <w:marRight w:val="0"/>
      <w:marTop w:val="0"/>
      <w:marBottom w:val="0"/>
      <w:divBdr>
        <w:top w:val="none" w:sz="0" w:space="0" w:color="auto"/>
        <w:left w:val="none" w:sz="0" w:space="0" w:color="auto"/>
        <w:bottom w:val="none" w:sz="0" w:space="0" w:color="auto"/>
        <w:right w:val="none" w:sz="0" w:space="0" w:color="auto"/>
      </w:divBdr>
    </w:div>
    <w:div w:id="1937858886">
      <w:bodyDiv w:val="1"/>
      <w:marLeft w:val="0"/>
      <w:marRight w:val="0"/>
      <w:marTop w:val="0"/>
      <w:marBottom w:val="0"/>
      <w:divBdr>
        <w:top w:val="none" w:sz="0" w:space="0" w:color="auto"/>
        <w:left w:val="none" w:sz="0" w:space="0" w:color="auto"/>
        <w:bottom w:val="none" w:sz="0" w:space="0" w:color="auto"/>
        <w:right w:val="none" w:sz="0" w:space="0" w:color="auto"/>
      </w:divBdr>
    </w:div>
    <w:div w:id="1938555837">
      <w:bodyDiv w:val="1"/>
      <w:marLeft w:val="0"/>
      <w:marRight w:val="0"/>
      <w:marTop w:val="0"/>
      <w:marBottom w:val="0"/>
      <w:divBdr>
        <w:top w:val="none" w:sz="0" w:space="0" w:color="auto"/>
        <w:left w:val="none" w:sz="0" w:space="0" w:color="auto"/>
        <w:bottom w:val="none" w:sz="0" w:space="0" w:color="auto"/>
        <w:right w:val="none" w:sz="0" w:space="0" w:color="auto"/>
      </w:divBdr>
    </w:div>
    <w:div w:id="1939555045">
      <w:bodyDiv w:val="1"/>
      <w:marLeft w:val="0"/>
      <w:marRight w:val="0"/>
      <w:marTop w:val="0"/>
      <w:marBottom w:val="0"/>
      <w:divBdr>
        <w:top w:val="none" w:sz="0" w:space="0" w:color="auto"/>
        <w:left w:val="none" w:sz="0" w:space="0" w:color="auto"/>
        <w:bottom w:val="none" w:sz="0" w:space="0" w:color="auto"/>
        <w:right w:val="none" w:sz="0" w:space="0" w:color="auto"/>
      </w:divBdr>
    </w:div>
    <w:div w:id="1941405667">
      <w:bodyDiv w:val="1"/>
      <w:marLeft w:val="0"/>
      <w:marRight w:val="0"/>
      <w:marTop w:val="0"/>
      <w:marBottom w:val="0"/>
      <w:divBdr>
        <w:top w:val="none" w:sz="0" w:space="0" w:color="auto"/>
        <w:left w:val="none" w:sz="0" w:space="0" w:color="auto"/>
        <w:bottom w:val="none" w:sz="0" w:space="0" w:color="auto"/>
        <w:right w:val="none" w:sz="0" w:space="0" w:color="auto"/>
      </w:divBdr>
    </w:div>
    <w:div w:id="1943147073">
      <w:bodyDiv w:val="1"/>
      <w:marLeft w:val="0"/>
      <w:marRight w:val="0"/>
      <w:marTop w:val="0"/>
      <w:marBottom w:val="0"/>
      <w:divBdr>
        <w:top w:val="none" w:sz="0" w:space="0" w:color="auto"/>
        <w:left w:val="none" w:sz="0" w:space="0" w:color="auto"/>
        <w:bottom w:val="none" w:sz="0" w:space="0" w:color="auto"/>
        <w:right w:val="none" w:sz="0" w:space="0" w:color="auto"/>
      </w:divBdr>
    </w:div>
    <w:div w:id="1948996850">
      <w:bodyDiv w:val="1"/>
      <w:marLeft w:val="0"/>
      <w:marRight w:val="0"/>
      <w:marTop w:val="0"/>
      <w:marBottom w:val="0"/>
      <w:divBdr>
        <w:top w:val="none" w:sz="0" w:space="0" w:color="auto"/>
        <w:left w:val="none" w:sz="0" w:space="0" w:color="auto"/>
        <w:bottom w:val="none" w:sz="0" w:space="0" w:color="auto"/>
        <w:right w:val="none" w:sz="0" w:space="0" w:color="auto"/>
      </w:divBdr>
    </w:div>
    <w:div w:id="1952400290">
      <w:bodyDiv w:val="1"/>
      <w:marLeft w:val="0"/>
      <w:marRight w:val="0"/>
      <w:marTop w:val="0"/>
      <w:marBottom w:val="0"/>
      <w:divBdr>
        <w:top w:val="none" w:sz="0" w:space="0" w:color="auto"/>
        <w:left w:val="none" w:sz="0" w:space="0" w:color="auto"/>
        <w:bottom w:val="none" w:sz="0" w:space="0" w:color="auto"/>
        <w:right w:val="none" w:sz="0" w:space="0" w:color="auto"/>
      </w:divBdr>
    </w:div>
    <w:div w:id="1952589647">
      <w:bodyDiv w:val="1"/>
      <w:marLeft w:val="0"/>
      <w:marRight w:val="0"/>
      <w:marTop w:val="0"/>
      <w:marBottom w:val="0"/>
      <w:divBdr>
        <w:top w:val="none" w:sz="0" w:space="0" w:color="auto"/>
        <w:left w:val="none" w:sz="0" w:space="0" w:color="auto"/>
        <w:bottom w:val="none" w:sz="0" w:space="0" w:color="auto"/>
        <w:right w:val="none" w:sz="0" w:space="0" w:color="auto"/>
      </w:divBdr>
    </w:div>
    <w:div w:id="1961834127">
      <w:bodyDiv w:val="1"/>
      <w:marLeft w:val="0"/>
      <w:marRight w:val="0"/>
      <w:marTop w:val="0"/>
      <w:marBottom w:val="0"/>
      <w:divBdr>
        <w:top w:val="none" w:sz="0" w:space="0" w:color="auto"/>
        <w:left w:val="none" w:sz="0" w:space="0" w:color="auto"/>
        <w:bottom w:val="none" w:sz="0" w:space="0" w:color="auto"/>
        <w:right w:val="none" w:sz="0" w:space="0" w:color="auto"/>
      </w:divBdr>
    </w:div>
    <w:div w:id="1966695256">
      <w:bodyDiv w:val="1"/>
      <w:marLeft w:val="0"/>
      <w:marRight w:val="0"/>
      <w:marTop w:val="0"/>
      <w:marBottom w:val="0"/>
      <w:divBdr>
        <w:top w:val="none" w:sz="0" w:space="0" w:color="auto"/>
        <w:left w:val="none" w:sz="0" w:space="0" w:color="auto"/>
        <w:bottom w:val="none" w:sz="0" w:space="0" w:color="auto"/>
        <w:right w:val="none" w:sz="0" w:space="0" w:color="auto"/>
      </w:divBdr>
    </w:div>
    <w:div w:id="1968853132">
      <w:bodyDiv w:val="1"/>
      <w:marLeft w:val="0"/>
      <w:marRight w:val="0"/>
      <w:marTop w:val="0"/>
      <w:marBottom w:val="0"/>
      <w:divBdr>
        <w:top w:val="none" w:sz="0" w:space="0" w:color="auto"/>
        <w:left w:val="none" w:sz="0" w:space="0" w:color="auto"/>
        <w:bottom w:val="none" w:sz="0" w:space="0" w:color="auto"/>
        <w:right w:val="none" w:sz="0" w:space="0" w:color="auto"/>
      </w:divBdr>
    </w:div>
    <w:div w:id="1969043376">
      <w:bodyDiv w:val="1"/>
      <w:marLeft w:val="0"/>
      <w:marRight w:val="0"/>
      <w:marTop w:val="0"/>
      <w:marBottom w:val="0"/>
      <w:divBdr>
        <w:top w:val="none" w:sz="0" w:space="0" w:color="auto"/>
        <w:left w:val="none" w:sz="0" w:space="0" w:color="auto"/>
        <w:bottom w:val="none" w:sz="0" w:space="0" w:color="auto"/>
        <w:right w:val="none" w:sz="0" w:space="0" w:color="auto"/>
      </w:divBdr>
    </w:div>
    <w:div w:id="1971086819">
      <w:bodyDiv w:val="1"/>
      <w:marLeft w:val="0"/>
      <w:marRight w:val="0"/>
      <w:marTop w:val="0"/>
      <w:marBottom w:val="0"/>
      <w:divBdr>
        <w:top w:val="none" w:sz="0" w:space="0" w:color="auto"/>
        <w:left w:val="none" w:sz="0" w:space="0" w:color="auto"/>
        <w:bottom w:val="none" w:sz="0" w:space="0" w:color="auto"/>
        <w:right w:val="none" w:sz="0" w:space="0" w:color="auto"/>
      </w:divBdr>
    </w:div>
    <w:div w:id="1972442150">
      <w:bodyDiv w:val="1"/>
      <w:marLeft w:val="0"/>
      <w:marRight w:val="0"/>
      <w:marTop w:val="0"/>
      <w:marBottom w:val="0"/>
      <w:divBdr>
        <w:top w:val="none" w:sz="0" w:space="0" w:color="auto"/>
        <w:left w:val="none" w:sz="0" w:space="0" w:color="auto"/>
        <w:bottom w:val="none" w:sz="0" w:space="0" w:color="auto"/>
        <w:right w:val="none" w:sz="0" w:space="0" w:color="auto"/>
      </w:divBdr>
    </w:div>
    <w:div w:id="1976763442">
      <w:bodyDiv w:val="1"/>
      <w:marLeft w:val="0"/>
      <w:marRight w:val="0"/>
      <w:marTop w:val="0"/>
      <w:marBottom w:val="0"/>
      <w:divBdr>
        <w:top w:val="none" w:sz="0" w:space="0" w:color="auto"/>
        <w:left w:val="none" w:sz="0" w:space="0" w:color="auto"/>
        <w:bottom w:val="none" w:sz="0" w:space="0" w:color="auto"/>
        <w:right w:val="none" w:sz="0" w:space="0" w:color="auto"/>
      </w:divBdr>
    </w:div>
    <w:div w:id="1989048996">
      <w:bodyDiv w:val="1"/>
      <w:marLeft w:val="0"/>
      <w:marRight w:val="0"/>
      <w:marTop w:val="0"/>
      <w:marBottom w:val="0"/>
      <w:divBdr>
        <w:top w:val="none" w:sz="0" w:space="0" w:color="auto"/>
        <w:left w:val="none" w:sz="0" w:space="0" w:color="auto"/>
        <w:bottom w:val="none" w:sz="0" w:space="0" w:color="auto"/>
        <w:right w:val="none" w:sz="0" w:space="0" w:color="auto"/>
      </w:divBdr>
    </w:div>
    <w:div w:id="1990939157">
      <w:bodyDiv w:val="1"/>
      <w:marLeft w:val="0"/>
      <w:marRight w:val="0"/>
      <w:marTop w:val="0"/>
      <w:marBottom w:val="0"/>
      <w:divBdr>
        <w:top w:val="none" w:sz="0" w:space="0" w:color="auto"/>
        <w:left w:val="none" w:sz="0" w:space="0" w:color="auto"/>
        <w:bottom w:val="none" w:sz="0" w:space="0" w:color="auto"/>
        <w:right w:val="none" w:sz="0" w:space="0" w:color="auto"/>
      </w:divBdr>
    </w:div>
    <w:div w:id="1993868838">
      <w:bodyDiv w:val="1"/>
      <w:marLeft w:val="0"/>
      <w:marRight w:val="0"/>
      <w:marTop w:val="0"/>
      <w:marBottom w:val="0"/>
      <w:divBdr>
        <w:top w:val="none" w:sz="0" w:space="0" w:color="auto"/>
        <w:left w:val="none" w:sz="0" w:space="0" w:color="auto"/>
        <w:bottom w:val="none" w:sz="0" w:space="0" w:color="auto"/>
        <w:right w:val="none" w:sz="0" w:space="0" w:color="auto"/>
      </w:divBdr>
    </w:div>
    <w:div w:id="1994983340">
      <w:bodyDiv w:val="1"/>
      <w:marLeft w:val="0"/>
      <w:marRight w:val="0"/>
      <w:marTop w:val="0"/>
      <w:marBottom w:val="0"/>
      <w:divBdr>
        <w:top w:val="none" w:sz="0" w:space="0" w:color="auto"/>
        <w:left w:val="none" w:sz="0" w:space="0" w:color="auto"/>
        <w:bottom w:val="none" w:sz="0" w:space="0" w:color="auto"/>
        <w:right w:val="none" w:sz="0" w:space="0" w:color="auto"/>
      </w:divBdr>
    </w:div>
    <w:div w:id="1995529381">
      <w:bodyDiv w:val="1"/>
      <w:marLeft w:val="0"/>
      <w:marRight w:val="0"/>
      <w:marTop w:val="0"/>
      <w:marBottom w:val="0"/>
      <w:divBdr>
        <w:top w:val="none" w:sz="0" w:space="0" w:color="auto"/>
        <w:left w:val="none" w:sz="0" w:space="0" w:color="auto"/>
        <w:bottom w:val="none" w:sz="0" w:space="0" w:color="auto"/>
        <w:right w:val="none" w:sz="0" w:space="0" w:color="auto"/>
      </w:divBdr>
    </w:div>
    <w:div w:id="1995529677">
      <w:bodyDiv w:val="1"/>
      <w:marLeft w:val="0"/>
      <w:marRight w:val="0"/>
      <w:marTop w:val="0"/>
      <w:marBottom w:val="0"/>
      <w:divBdr>
        <w:top w:val="none" w:sz="0" w:space="0" w:color="auto"/>
        <w:left w:val="none" w:sz="0" w:space="0" w:color="auto"/>
        <w:bottom w:val="none" w:sz="0" w:space="0" w:color="auto"/>
        <w:right w:val="none" w:sz="0" w:space="0" w:color="auto"/>
      </w:divBdr>
    </w:div>
    <w:div w:id="1999574667">
      <w:bodyDiv w:val="1"/>
      <w:marLeft w:val="0"/>
      <w:marRight w:val="0"/>
      <w:marTop w:val="0"/>
      <w:marBottom w:val="0"/>
      <w:divBdr>
        <w:top w:val="none" w:sz="0" w:space="0" w:color="auto"/>
        <w:left w:val="none" w:sz="0" w:space="0" w:color="auto"/>
        <w:bottom w:val="none" w:sz="0" w:space="0" w:color="auto"/>
        <w:right w:val="none" w:sz="0" w:space="0" w:color="auto"/>
      </w:divBdr>
    </w:div>
    <w:div w:id="1999729718">
      <w:bodyDiv w:val="1"/>
      <w:marLeft w:val="0"/>
      <w:marRight w:val="0"/>
      <w:marTop w:val="0"/>
      <w:marBottom w:val="0"/>
      <w:divBdr>
        <w:top w:val="none" w:sz="0" w:space="0" w:color="auto"/>
        <w:left w:val="none" w:sz="0" w:space="0" w:color="auto"/>
        <w:bottom w:val="none" w:sz="0" w:space="0" w:color="auto"/>
        <w:right w:val="none" w:sz="0" w:space="0" w:color="auto"/>
      </w:divBdr>
    </w:div>
    <w:div w:id="1999840400">
      <w:bodyDiv w:val="1"/>
      <w:marLeft w:val="0"/>
      <w:marRight w:val="0"/>
      <w:marTop w:val="0"/>
      <w:marBottom w:val="0"/>
      <w:divBdr>
        <w:top w:val="none" w:sz="0" w:space="0" w:color="auto"/>
        <w:left w:val="none" w:sz="0" w:space="0" w:color="auto"/>
        <w:bottom w:val="none" w:sz="0" w:space="0" w:color="auto"/>
        <w:right w:val="none" w:sz="0" w:space="0" w:color="auto"/>
      </w:divBdr>
    </w:div>
    <w:div w:id="2001157516">
      <w:bodyDiv w:val="1"/>
      <w:marLeft w:val="0"/>
      <w:marRight w:val="0"/>
      <w:marTop w:val="0"/>
      <w:marBottom w:val="0"/>
      <w:divBdr>
        <w:top w:val="none" w:sz="0" w:space="0" w:color="auto"/>
        <w:left w:val="none" w:sz="0" w:space="0" w:color="auto"/>
        <w:bottom w:val="none" w:sz="0" w:space="0" w:color="auto"/>
        <w:right w:val="none" w:sz="0" w:space="0" w:color="auto"/>
      </w:divBdr>
    </w:div>
    <w:div w:id="2004776798">
      <w:bodyDiv w:val="1"/>
      <w:marLeft w:val="0"/>
      <w:marRight w:val="0"/>
      <w:marTop w:val="0"/>
      <w:marBottom w:val="0"/>
      <w:divBdr>
        <w:top w:val="none" w:sz="0" w:space="0" w:color="auto"/>
        <w:left w:val="none" w:sz="0" w:space="0" w:color="auto"/>
        <w:bottom w:val="none" w:sz="0" w:space="0" w:color="auto"/>
        <w:right w:val="none" w:sz="0" w:space="0" w:color="auto"/>
      </w:divBdr>
    </w:div>
    <w:div w:id="2013145830">
      <w:bodyDiv w:val="1"/>
      <w:marLeft w:val="0"/>
      <w:marRight w:val="0"/>
      <w:marTop w:val="0"/>
      <w:marBottom w:val="0"/>
      <w:divBdr>
        <w:top w:val="none" w:sz="0" w:space="0" w:color="auto"/>
        <w:left w:val="none" w:sz="0" w:space="0" w:color="auto"/>
        <w:bottom w:val="none" w:sz="0" w:space="0" w:color="auto"/>
        <w:right w:val="none" w:sz="0" w:space="0" w:color="auto"/>
      </w:divBdr>
    </w:div>
    <w:div w:id="2017925521">
      <w:bodyDiv w:val="1"/>
      <w:marLeft w:val="0"/>
      <w:marRight w:val="0"/>
      <w:marTop w:val="0"/>
      <w:marBottom w:val="0"/>
      <w:divBdr>
        <w:top w:val="none" w:sz="0" w:space="0" w:color="auto"/>
        <w:left w:val="none" w:sz="0" w:space="0" w:color="auto"/>
        <w:bottom w:val="none" w:sz="0" w:space="0" w:color="auto"/>
        <w:right w:val="none" w:sz="0" w:space="0" w:color="auto"/>
      </w:divBdr>
    </w:div>
    <w:div w:id="2020499026">
      <w:bodyDiv w:val="1"/>
      <w:marLeft w:val="0"/>
      <w:marRight w:val="0"/>
      <w:marTop w:val="0"/>
      <w:marBottom w:val="0"/>
      <w:divBdr>
        <w:top w:val="none" w:sz="0" w:space="0" w:color="auto"/>
        <w:left w:val="none" w:sz="0" w:space="0" w:color="auto"/>
        <w:bottom w:val="none" w:sz="0" w:space="0" w:color="auto"/>
        <w:right w:val="none" w:sz="0" w:space="0" w:color="auto"/>
      </w:divBdr>
    </w:div>
    <w:div w:id="2025130759">
      <w:bodyDiv w:val="1"/>
      <w:marLeft w:val="0"/>
      <w:marRight w:val="0"/>
      <w:marTop w:val="0"/>
      <w:marBottom w:val="0"/>
      <w:divBdr>
        <w:top w:val="none" w:sz="0" w:space="0" w:color="auto"/>
        <w:left w:val="none" w:sz="0" w:space="0" w:color="auto"/>
        <w:bottom w:val="none" w:sz="0" w:space="0" w:color="auto"/>
        <w:right w:val="none" w:sz="0" w:space="0" w:color="auto"/>
      </w:divBdr>
    </w:div>
    <w:div w:id="2026665695">
      <w:bodyDiv w:val="1"/>
      <w:marLeft w:val="0"/>
      <w:marRight w:val="0"/>
      <w:marTop w:val="0"/>
      <w:marBottom w:val="0"/>
      <w:divBdr>
        <w:top w:val="none" w:sz="0" w:space="0" w:color="auto"/>
        <w:left w:val="none" w:sz="0" w:space="0" w:color="auto"/>
        <w:bottom w:val="none" w:sz="0" w:space="0" w:color="auto"/>
        <w:right w:val="none" w:sz="0" w:space="0" w:color="auto"/>
      </w:divBdr>
    </w:div>
    <w:div w:id="2026857739">
      <w:bodyDiv w:val="1"/>
      <w:marLeft w:val="0"/>
      <w:marRight w:val="0"/>
      <w:marTop w:val="0"/>
      <w:marBottom w:val="0"/>
      <w:divBdr>
        <w:top w:val="none" w:sz="0" w:space="0" w:color="auto"/>
        <w:left w:val="none" w:sz="0" w:space="0" w:color="auto"/>
        <w:bottom w:val="none" w:sz="0" w:space="0" w:color="auto"/>
        <w:right w:val="none" w:sz="0" w:space="0" w:color="auto"/>
      </w:divBdr>
    </w:div>
    <w:div w:id="2038580736">
      <w:bodyDiv w:val="1"/>
      <w:marLeft w:val="0"/>
      <w:marRight w:val="0"/>
      <w:marTop w:val="0"/>
      <w:marBottom w:val="0"/>
      <w:divBdr>
        <w:top w:val="none" w:sz="0" w:space="0" w:color="auto"/>
        <w:left w:val="none" w:sz="0" w:space="0" w:color="auto"/>
        <w:bottom w:val="none" w:sz="0" w:space="0" w:color="auto"/>
        <w:right w:val="none" w:sz="0" w:space="0" w:color="auto"/>
      </w:divBdr>
    </w:div>
    <w:div w:id="2038775558">
      <w:bodyDiv w:val="1"/>
      <w:marLeft w:val="0"/>
      <w:marRight w:val="0"/>
      <w:marTop w:val="0"/>
      <w:marBottom w:val="0"/>
      <w:divBdr>
        <w:top w:val="none" w:sz="0" w:space="0" w:color="auto"/>
        <w:left w:val="none" w:sz="0" w:space="0" w:color="auto"/>
        <w:bottom w:val="none" w:sz="0" w:space="0" w:color="auto"/>
        <w:right w:val="none" w:sz="0" w:space="0" w:color="auto"/>
      </w:divBdr>
    </w:div>
    <w:div w:id="2040470634">
      <w:bodyDiv w:val="1"/>
      <w:marLeft w:val="0"/>
      <w:marRight w:val="0"/>
      <w:marTop w:val="0"/>
      <w:marBottom w:val="0"/>
      <w:divBdr>
        <w:top w:val="none" w:sz="0" w:space="0" w:color="auto"/>
        <w:left w:val="none" w:sz="0" w:space="0" w:color="auto"/>
        <w:bottom w:val="none" w:sz="0" w:space="0" w:color="auto"/>
        <w:right w:val="none" w:sz="0" w:space="0" w:color="auto"/>
      </w:divBdr>
    </w:div>
    <w:div w:id="2042506951">
      <w:bodyDiv w:val="1"/>
      <w:marLeft w:val="0"/>
      <w:marRight w:val="0"/>
      <w:marTop w:val="0"/>
      <w:marBottom w:val="0"/>
      <w:divBdr>
        <w:top w:val="none" w:sz="0" w:space="0" w:color="auto"/>
        <w:left w:val="none" w:sz="0" w:space="0" w:color="auto"/>
        <w:bottom w:val="none" w:sz="0" w:space="0" w:color="auto"/>
        <w:right w:val="none" w:sz="0" w:space="0" w:color="auto"/>
      </w:divBdr>
    </w:div>
    <w:div w:id="2042627087">
      <w:bodyDiv w:val="1"/>
      <w:marLeft w:val="0"/>
      <w:marRight w:val="0"/>
      <w:marTop w:val="0"/>
      <w:marBottom w:val="0"/>
      <w:divBdr>
        <w:top w:val="none" w:sz="0" w:space="0" w:color="auto"/>
        <w:left w:val="none" w:sz="0" w:space="0" w:color="auto"/>
        <w:bottom w:val="none" w:sz="0" w:space="0" w:color="auto"/>
        <w:right w:val="none" w:sz="0" w:space="0" w:color="auto"/>
      </w:divBdr>
    </w:div>
    <w:div w:id="2054428983">
      <w:bodyDiv w:val="1"/>
      <w:marLeft w:val="0"/>
      <w:marRight w:val="0"/>
      <w:marTop w:val="0"/>
      <w:marBottom w:val="0"/>
      <w:divBdr>
        <w:top w:val="none" w:sz="0" w:space="0" w:color="auto"/>
        <w:left w:val="none" w:sz="0" w:space="0" w:color="auto"/>
        <w:bottom w:val="none" w:sz="0" w:space="0" w:color="auto"/>
        <w:right w:val="none" w:sz="0" w:space="0" w:color="auto"/>
      </w:divBdr>
    </w:div>
    <w:div w:id="2062629988">
      <w:bodyDiv w:val="1"/>
      <w:marLeft w:val="0"/>
      <w:marRight w:val="0"/>
      <w:marTop w:val="0"/>
      <w:marBottom w:val="0"/>
      <w:divBdr>
        <w:top w:val="none" w:sz="0" w:space="0" w:color="auto"/>
        <w:left w:val="none" w:sz="0" w:space="0" w:color="auto"/>
        <w:bottom w:val="none" w:sz="0" w:space="0" w:color="auto"/>
        <w:right w:val="none" w:sz="0" w:space="0" w:color="auto"/>
      </w:divBdr>
    </w:div>
    <w:div w:id="2063744728">
      <w:bodyDiv w:val="1"/>
      <w:marLeft w:val="0"/>
      <w:marRight w:val="0"/>
      <w:marTop w:val="0"/>
      <w:marBottom w:val="0"/>
      <w:divBdr>
        <w:top w:val="none" w:sz="0" w:space="0" w:color="auto"/>
        <w:left w:val="none" w:sz="0" w:space="0" w:color="auto"/>
        <w:bottom w:val="none" w:sz="0" w:space="0" w:color="auto"/>
        <w:right w:val="none" w:sz="0" w:space="0" w:color="auto"/>
      </w:divBdr>
    </w:div>
    <w:div w:id="2067609110">
      <w:bodyDiv w:val="1"/>
      <w:marLeft w:val="0"/>
      <w:marRight w:val="0"/>
      <w:marTop w:val="0"/>
      <w:marBottom w:val="0"/>
      <w:divBdr>
        <w:top w:val="none" w:sz="0" w:space="0" w:color="auto"/>
        <w:left w:val="none" w:sz="0" w:space="0" w:color="auto"/>
        <w:bottom w:val="none" w:sz="0" w:space="0" w:color="auto"/>
        <w:right w:val="none" w:sz="0" w:space="0" w:color="auto"/>
      </w:divBdr>
    </w:div>
    <w:div w:id="2070759322">
      <w:bodyDiv w:val="1"/>
      <w:marLeft w:val="0"/>
      <w:marRight w:val="0"/>
      <w:marTop w:val="0"/>
      <w:marBottom w:val="0"/>
      <w:divBdr>
        <w:top w:val="none" w:sz="0" w:space="0" w:color="auto"/>
        <w:left w:val="none" w:sz="0" w:space="0" w:color="auto"/>
        <w:bottom w:val="none" w:sz="0" w:space="0" w:color="auto"/>
        <w:right w:val="none" w:sz="0" w:space="0" w:color="auto"/>
      </w:divBdr>
    </w:div>
    <w:div w:id="2071029435">
      <w:bodyDiv w:val="1"/>
      <w:marLeft w:val="0"/>
      <w:marRight w:val="0"/>
      <w:marTop w:val="0"/>
      <w:marBottom w:val="0"/>
      <w:divBdr>
        <w:top w:val="none" w:sz="0" w:space="0" w:color="auto"/>
        <w:left w:val="none" w:sz="0" w:space="0" w:color="auto"/>
        <w:bottom w:val="none" w:sz="0" w:space="0" w:color="auto"/>
        <w:right w:val="none" w:sz="0" w:space="0" w:color="auto"/>
      </w:divBdr>
    </w:div>
    <w:div w:id="2071686795">
      <w:bodyDiv w:val="1"/>
      <w:marLeft w:val="0"/>
      <w:marRight w:val="0"/>
      <w:marTop w:val="0"/>
      <w:marBottom w:val="0"/>
      <w:divBdr>
        <w:top w:val="none" w:sz="0" w:space="0" w:color="auto"/>
        <w:left w:val="none" w:sz="0" w:space="0" w:color="auto"/>
        <w:bottom w:val="none" w:sz="0" w:space="0" w:color="auto"/>
        <w:right w:val="none" w:sz="0" w:space="0" w:color="auto"/>
      </w:divBdr>
    </w:div>
    <w:div w:id="2071880766">
      <w:bodyDiv w:val="1"/>
      <w:marLeft w:val="0"/>
      <w:marRight w:val="0"/>
      <w:marTop w:val="0"/>
      <w:marBottom w:val="0"/>
      <w:divBdr>
        <w:top w:val="none" w:sz="0" w:space="0" w:color="auto"/>
        <w:left w:val="none" w:sz="0" w:space="0" w:color="auto"/>
        <w:bottom w:val="none" w:sz="0" w:space="0" w:color="auto"/>
        <w:right w:val="none" w:sz="0" w:space="0" w:color="auto"/>
      </w:divBdr>
    </w:div>
    <w:div w:id="2073042157">
      <w:bodyDiv w:val="1"/>
      <w:marLeft w:val="0"/>
      <w:marRight w:val="0"/>
      <w:marTop w:val="0"/>
      <w:marBottom w:val="0"/>
      <w:divBdr>
        <w:top w:val="none" w:sz="0" w:space="0" w:color="auto"/>
        <w:left w:val="none" w:sz="0" w:space="0" w:color="auto"/>
        <w:bottom w:val="none" w:sz="0" w:space="0" w:color="auto"/>
        <w:right w:val="none" w:sz="0" w:space="0" w:color="auto"/>
      </w:divBdr>
    </w:div>
    <w:div w:id="2074697883">
      <w:bodyDiv w:val="1"/>
      <w:marLeft w:val="0"/>
      <w:marRight w:val="0"/>
      <w:marTop w:val="0"/>
      <w:marBottom w:val="0"/>
      <w:divBdr>
        <w:top w:val="none" w:sz="0" w:space="0" w:color="auto"/>
        <w:left w:val="none" w:sz="0" w:space="0" w:color="auto"/>
        <w:bottom w:val="none" w:sz="0" w:space="0" w:color="auto"/>
        <w:right w:val="none" w:sz="0" w:space="0" w:color="auto"/>
      </w:divBdr>
    </w:div>
    <w:div w:id="2078630584">
      <w:bodyDiv w:val="1"/>
      <w:marLeft w:val="0"/>
      <w:marRight w:val="0"/>
      <w:marTop w:val="0"/>
      <w:marBottom w:val="0"/>
      <w:divBdr>
        <w:top w:val="none" w:sz="0" w:space="0" w:color="auto"/>
        <w:left w:val="none" w:sz="0" w:space="0" w:color="auto"/>
        <w:bottom w:val="none" w:sz="0" w:space="0" w:color="auto"/>
        <w:right w:val="none" w:sz="0" w:space="0" w:color="auto"/>
      </w:divBdr>
    </w:div>
    <w:div w:id="2079397012">
      <w:bodyDiv w:val="1"/>
      <w:marLeft w:val="0"/>
      <w:marRight w:val="0"/>
      <w:marTop w:val="0"/>
      <w:marBottom w:val="0"/>
      <w:divBdr>
        <w:top w:val="none" w:sz="0" w:space="0" w:color="auto"/>
        <w:left w:val="none" w:sz="0" w:space="0" w:color="auto"/>
        <w:bottom w:val="none" w:sz="0" w:space="0" w:color="auto"/>
        <w:right w:val="none" w:sz="0" w:space="0" w:color="auto"/>
      </w:divBdr>
    </w:div>
    <w:div w:id="2079549758">
      <w:bodyDiv w:val="1"/>
      <w:marLeft w:val="0"/>
      <w:marRight w:val="0"/>
      <w:marTop w:val="0"/>
      <w:marBottom w:val="0"/>
      <w:divBdr>
        <w:top w:val="none" w:sz="0" w:space="0" w:color="auto"/>
        <w:left w:val="none" w:sz="0" w:space="0" w:color="auto"/>
        <w:bottom w:val="none" w:sz="0" w:space="0" w:color="auto"/>
        <w:right w:val="none" w:sz="0" w:space="0" w:color="auto"/>
      </w:divBdr>
    </w:div>
    <w:div w:id="2082944167">
      <w:bodyDiv w:val="1"/>
      <w:marLeft w:val="0"/>
      <w:marRight w:val="0"/>
      <w:marTop w:val="0"/>
      <w:marBottom w:val="0"/>
      <w:divBdr>
        <w:top w:val="none" w:sz="0" w:space="0" w:color="auto"/>
        <w:left w:val="none" w:sz="0" w:space="0" w:color="auto"/>
        <w:bottom w:val="none" w:sz="0" w:space="0" w:color="auto"/>
        <w:right w:val="none" w:sz="0" w:space="0" w:color="auto"/>
      </w:divBdr>
    </w:div>
    <w:div w:id="2087143461">
      <w:bodyDiv w:val="1"/>
      <w:marLeft w:val="0"/>
      <w:marRight w:val="0"/>
      <w:marTop w:val="0"/>
      <w:marBottom w:val="0"/>
      <w:divBdr>
        <w:top w:val="none" w:sz="0" w:space="0" w:color="auto"/>
        <w:left w:val="none" w:sz="0" w:space="0" w:color="auto"/>
        <w:bottom w:val="none" w:sz="0" w:space="0" w:color="auto"/>
        <w:right w:val="none" w:sz="0" w:space="0" w:color="auto"/>
      </w:divBdr>
    </w:div>
    <w:div w:id="2087534138">
      <w:bodyDiv w:val="1"/>
      <w:marLeft w:val="0"/>
      <w:marRight w:val="0"/>
      <w:marTop w:val="0"/>
      <w:marBottom w:val="0"/>
      <w:divBdr>
        <w:top w:val="none" w:sz="0" w:space="0" w:color="auto"/>
        <w:left w:val="none" w:sz="0" w:space="0" w:color="auto"/>
        <w:bottom w:val="none" w:sz="0" w:space="0" w:color="auto"/>
        <w:right w:val="none" w:sz="0" w:space="0" w:color="auto"/>
      </w:divBdr>
    </w:div>
    <w:div w:id="2092660141">
      <w:bodyDiv w:val="1"/>
      <w:marLeft w:val="0"/>
      <w:marRight w:val="0"/>
      <w:marTop w:val="0"/>
      <w:marBottom w:val="0"/>
      <w:divBdr>
        <w:top w:val="none" w:sz="0" w:space="0" w:color="auto"/>
        <w:left w:val="none" w:sz="0" w:space="0" w:color="auto"/>
        <w:bottom w:val="none" w:sz="0" w:space="0" w:color="auto"/>
        <w:right w:val="none" w:sz="0" w:space="0" w:color="auto"/>
      </w:divBdr>
    </w:div>
    <w:div w:id="2096390664">
      <w:bodyDiv w:val="1"/>
      <w:marLeft w:val="0"/>
      <w:marRight w:val="0"/>
      <w:marTop w:val="0"/>
      <w:marBottom w:val="0"/>
      <w:divBdr>
        <w:top w:val="none" w:sz="0" w:space="0" w:color="auto"/>
        <w:left w:val="none" w:sz="0" w:space="0" w:color="auto"/>
        <w:bottom w:val="none" w:sz="0" w:space="0" w:color="auto"/>
        <w:right w:val="none" w:sz="0" w:space="0" w:color="auto"/>
      </w:divBdr>
    </w:div>
    <w:div w:id="2099131560">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01484678">
      <w:bodyDiv w:val="1"/>
      <w:marLeft w:val="0"/>
      <w:marRight w:val="0"/>
      <w:marTop w:val="0"/>
      <w:marBottom w:val="0"/>
      <w:divBdr>
        <w:top w:val="none" w:sz="0" w:space="0" w:color="auto"/>
        <w:left w:val="none" w:sz="0" w:space="0" w:color="auto"/>
        <w:bottom w:val="none" w:sz="0" w:space="0" w:color="auto"/>
        <w:right w:val="none" w:sz="0" w:space="0" w:color="auto"/>
      </w:divBdr>
    </w:div>
    <w:div w:id="2115664497">
      <w:bodyDiv w:val="1"/>
      <w:marLeft w:val="0"/>
      <w:marRight w:val="0"/>
      <w:marTop w:val="0"/>
      <w:marBottom w:val="0"/>
      <w:divBdr>
        <w:top w:val="none" w:sz="0" w:space="0" w:color="auto"/>
        <w:left w:val="none" w:sz="0" w:space="0" w:color="auto"/>
        <w:bottom w:val="none" w:sz="0" w:space="0" w:color="auto"/>
        <w:right w:val="none" w:sz="0" w:space="0" w:color="auto"/>
      </w:divBdr>
    </w:div>
    <w:div w:id="2116945992">
      <w:bodyDiv w:val="1"/>
      <w:marLeft w:val="0"/>
      <w:marRight w:val="0"/>
      <w:marTop w:val="0"/>
      <w:marBottom w:val="0"/>
      <w:divBdr>
        <w:top w:val="none" w:sz="0" w:space="0" w:color="auto"/>
        <w:left w:val="none" w:sz="0" w:space="0" w:color="auto"/>
        <w:bottom w:val="none" w:sz="0" w:space="0" w:color="auto"/>
        <w:right w:val="none" w:sz="0" w:space="0" w:color="auto"/>
      </w:divBdr>
    </w:div>
    <w:div w:id="2123644601">
      <w:bodyDiv w:val="1"/>
      <w:marLeft w:val="0"/>
      <w:marRight w:val="0"/>
      <w:marTop w:val="0"/>
      <w:marBottom w:val="0"/>
      <w:divBdr>
        <w:top w:val="none" w:sz="0" w:space="0" w:color="auto"/>
        <w:left w:val="none" w:sz="0" w:space="0" w:color="auto"/>
        <w:bottom w:val="none" w:sz="0" w:space="0" w:color="auto"/>
        <w:right w:val="none" w:sz="0" w:space="0" w:color="auto"/>
      </w:divBdr>
    </w:div>
    <w:div w:id="2123722228">
      <w:bodyDiv w:val="1"/>
      <w:marLeft w:val="0"/>
      <w:marRight w:val="0"/>
      <w:marTop w:val="0"/>
      <w:marBottom w:val="0"/>
      <w:divBdr>
        <w:top w:val="none" w:sz="0" w:space="0" w:color="auto"/>
        <w:left w:val="none" w:sz="0" w:space="0" w:color="auto"/>
        <w:bottom w:val="none" w:sz="0" w:space="0" w:color="auto"/>
        <w:right w:val="none" w:sz="0" w:space="0" w:color="auto"/>
      </w:divBdr>
    </w:div>
    <w:div w:id="2124766338">
      <w:bodyDiv w:val="1"/>
      <w:marLeft w:val="0"/>
      <w:marRight w:val="0"/>
      <w:marTop w:val="0"/>
      <w:marBottom w:val="0"/>
      <w:divBdr>
        <w:top w:val="none" w:sz="0" w:space="0" w:color="auto"/>
        <w:left w:val="none" w:sz="0" w:space="0" w:color="auto"/>
        <w:bottom w:val="none" w:sz="0" w:space="0" w:color="auto"/>
        <w:right w:val="none" w:sz="0" w:space="0" w:color="auto"/>
      </w:divBdr>
    </w:div>
    <w:div w:id="2129620855">
      <w:bodyDiv w:val="1"/>
      <w:marLeft w:val="0"/>
      <w:marRight w:val="0"/>
      <w:marTop w:val="0"/>
      <w:marBottom w:val="0"/>
      <w:divBdr>
        <w:top w:val="none" w:sz="0" w:space="0" w:color="auto"/>
        <w:left w:val="none" w:sz="0" w:space="0" w:color="auto"/>
        <w:bottom w:val="none" w:sz="0" w:space="0" w:color="auto"/>
        <w:right w:val="none" w:sz="0" w:space="0" w:color="auto"/>
      </w:divBdr>
    </w:div>
    <w:div w:id="2132556428">
      <w:bodyDiv w:val="1"/>
      <w:marLeft w:val="0"/>
      <w:marRight w:val="0"/>
      <w:marTop w:val="0"/>
      <w:marBottom w:val="0"/>
      <w:divBdr>
        <w:top w:val="none" w:sz="0" w:space="0" w:color="auto"/>
        <w:left w:val="none" w:sz="0" w:space="0" w:color="auto"/>
        <w:bottom w:val="none" w:sz="0" w:space="0" w:color="auto"/>
        <w:right w:val="none" w:sz="0" w:space="0" w:color="auto"/>
      </w:divBdr>
    </w:div>
    <w:div w:id="2134203984">
      <w:bodyDiv w:val="1"/>
      <w:marLeft w:val="0"/>
      <w:marRight w:val="0"/>
      <w:marTop w:val="0"/>
      <w:marBottom w:val="0"/>
      <w:divBdr>
        <w:top w:val="none" w:sz="0" w:space="0" w:color="auto"/>
        <w:left w:val="none" w:sz="0" w:space="0" w:color="auto"/>
        <w:bottom w:val="none" w:sz="0" w:space="0" w:color="auto"/>
        <w:right w:val="none" w:sz="0" w:space="0" w:color="auto"/>
      </w:divBdr>
    </w:div>
    <w:div w:id="2134245866">
      <w:bodyDiv w:val="1"/>
      <w:marLeft w:val="0"/>
      <w:marRight w:val="0"/>
      <w:marTop w:val="0"/>
      <w:marBottom w:val="0"/>
      <w:divBdr>
        <w:top w:val="none" w:sz="0" w:space="0" w:color="auto"/>
        <w:left w:val="none" w:sz="0" w:space="0" w:color="auto"/>
        <w:bottom w:val="none" w:sz="0" w:space="0" w:color="auto"/>
        <w:right w:val="none" w:sz="0" w:space="0" w:color="auto"/>
      </w:divBdr>
    </w:div>
    <w:div w:id="2141218697">
      <w:bodyDiv w:val="1"/>
      <w:marLeft w:val="0"/>
      <w:marRight w:val="0"/>
      <w:marTop w:val="0"/>
      <w:marBottom w:val="0"/>
      <w:divBdr>
        <w:top w:val="none" w:sz="0" w:space="0" w:color="auto"/>
        <w:left w:val="none" w:sz="0" w:space="0" w:color="auto"/>
        <w:bottom w:val="none" w:sz="0" w:space="0" w:color="auto"/>
        <w:right w:val="none" w:sz="0" w:space="0" w:color="auto"/>
      </w:divBdr>
    </w:div>
    <w:div w:id="214684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5.xml"/><Relationship Id="rId39" Type="http://schemas.openxmlformats.org/officeDocument/2006/relationships/hyperlink" Target="https://minfin.gov.gr/" TargetMode="External"/><Relationship Id="rId21" Type="http://schemas.openxmlformats.org/officeDocument/2006/relationships/image" Target="media/image11.png"/><Relationship Id="rId34" Type="http://schemas.openxmlformats.org/officeDocument/2006/relationships/image" Target="media/image2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fairpay.isotita.gr/en/home/" TargetMode="External"/><Relationship Id="rId32" Type="http://schemas.openxmlformats.org/officeDocument/2006/relationships/image" Target="media/image19.png"/><Relationship Id="rId37" Type="http://schemas.openxmlformats.org/officeDocument/2006/relationships/image" Target="media/image2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5.jpeg"/><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footer" Target="foot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4.xml"/><Relationship Id="rId33" Type="http://schemas.openxmlformats.org/officeDocument/2006/relationships/image" Target="media/image20.png"/><Relationship Id="rId38" Type="http://schemas.openxmlformats.org/officeDocument/2006/relationships/image" Target="media/image23.jpeg"/></Relationships>
</file>

<file path=word/_rels/footnotes.xml.rels><?xml version="1.0" encoding="UTF-8" standalone="yes"?>
<Relationships xmlns="http://schemas.openxmlformats.org/package/2006/relationships"><Relationship Id="rId8" Type="http://schemas.openxmlformats.org/officeDocument/2006/relationships/hyperlink" Target="https://hfisc.gr/sites/default/files/hfisc_2025_04_30_assessment_apr_2025_v2.pdf" TargetMode="External"/><Relationship Id="rId3" Type="http://schemas.openxmlformats.org/officeDocument/2006/relationships/hyperlink" Target="https://minfin.gov.gr/wp-content/uploads/2025/04/Greece_Annual_Progress_Report_2025_300425.pdf" TargetMode="External"/><Relationship Id="rId7" Type="http://schemas.openxmlformats.org/officeDocument/2006/relationships/hyperlink" Target="https://ec.europa.eu/economy_finance/recovery-and-resilience-scoreboard/country_overview.html?lang=en" TargetMode="External"/><Relationship Id="rId2" Type="http://schemas.openxmlformats.org/officeDocument/2006/relationships/hyperlink" Target="https://www.statistics.gr/documents/20181/92e7528c-bde7-7cc8-39d5-bd4fb9be1ac8" TargetMode="External"/><Relationship Id="rId1" Type="http://schemas.openxmlformats.org/officeDocument/2006/relationships/hyperlink" Target="https://www.statistics.gr/documents/20181/e7ca4f5d-d218-5037-290d-b671bdb84848" TargetMode="External"/><Relationship Id="rId6" Type="http://schemas.openxmlformats.org/officeDocument/2006/relationships/hyperlink" Target="https://economy-finance.ec.europa.eu/economic-forecast-and-surveys/economic-forecasts/spring-2025-economic-forecast-moderate-growth-amid-global-economic-uncertainty_en" TargetMode="External"/><Relationship Id="rId5" Type="http://schemas.openxmlformats.org/officeDocument/2006/relationships/hyperlink" Target="https://minfin.gov.gr/wp-content/uploads/2024/10/EN_Greece_MTFSP_2025_28_final-1.pdf" TargetMode="External"/><Relationship Id="rId4" Type="http://schemas.openxmlformats.org/officeDocument/2006/relationships/hyperlink" Target="https://minfin.gov.gr/wp-content/uploads/2023/11/%CE%9A%CE%A1%CE%91%CE%A4%CE%99%CE%9A%CE%9F%CE%A3-%CE%A0%CE%A1%CE%9F%CE%A5%CE%A0%CE%9F%CE%9B%CE%9F%CE%93%CE%99%CE%A3%CE%9C%CE%9F%CE%A3-2024.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FC9C-EE16-43EC-8905-9111C783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31379</Words>
  <Characters>169447</Characters>
  <Application>Microsoft Office Word</Application>
  <DocSecurity>0</DocSecurity>
  <Lines>1412</Lines>
  <Paragraphs>400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Greece | DBP_2026</vt:lpstr>
      <vt:lpstr>Greece | DBP_2026</vt:lpstr>
    </vt:vector>
  </TitlesOfParts>
  <Company>Athens, April 2021</Company>
  <LinksUpToDate>false</LinksUpToDate>
  <CharactersWithSpaces>200426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Greece | DBP_2026</dc:title>
  <dc:subject>2022</dc:subject>
  <dc:creator>Δημήτριος Χείλαρης</dc:creator>
  <cp:lastModifiedBy>Νεφέλη Θάνου</cp:lastModifiedBy>
  <cp:revision>2</cp:revision>
  <cp:lastPrinted>2025-10-15T08:02:00Z</cp:lastPrinted>
  <dcterms:created xsi:type="dcterms:W3CDTF">2025-10-15T11:24:00Z</dcterms:created>
  <dcterms:modified xsi:type="dcterms:W3CDTF">2025-10-15T11:24:00Z</dcterms:modified>
</cp:coreProperties>
</file>